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D5270" w14:textId="77777777" w:rsidR="00AB3BEE" w:rsidRPr="0057063E" w:rsidRDefault="00AB3BEE" w:rsidP="00AB3BEE">
      <w:pPr>
        <w:jc w:val="center"/>
        <w:rPr>
          <w:b/>
          <w:bCs/>
          <w:sz w:val="28"/>
          <w:szCs w:val="28"/>
          <w:lang w:val="en-GB"/>
        </w:rPr>
      </w:pPr>
    </w:p>
    <w:p w14:paraId="7AA07E0E" w14:textId="76B530A8" w:rsidR="00AB3BEE" w:rsidRPr="0057063E" w:rsidRDefault="00AB3BEE" w:rsidP="00AB3BEE">
      <w:pPr>
        <w:jc w:val="center"/>
        <w:rPr>
          <w:b/>
          <w:bCs/>
          <w:sz w:val="28"/>
          <w:szCs w:val="28"/>
          <w:lang w:val="en-GB"/>
        </w:rPr>
      </w:pPr>
      <w:r w:rsidRPr="0057063E">
        <w:rPr>
          <w:b/>
          <w:bCs/>
          <w:sz w:val="28"/>
          <w:szCs w:val="28"/>
          <w:lang w:val="en-GB"/>
        </w:rPr>
        <w:t>Slovak University of Technology in Bratislava</w:t>
      </w:r>
    </w:p>
    <w:p w14:paraId="7A10EA73" w14:textId="16264CAD" w:rsidR="00AB3BEE" w:rsidRPr="0016593E" w:rsidRDefault="0016593E" w:rsidP="0016593E">
      <w:pPr>
        <w:jc w:val="center"/>
        <w:rPr>
          <w:b/>
          <w:bCs/>
          <w:sz w:val="28"/>
          <w:szCs w:val="28"/>
          <w:lang w:val="en-GB"/>
        </w:rPr>
      </w:pPr>
      <w:r w:rsidRPr="0016593E">
        <w:rPr>
          <w:b/>
          <w:bCs/>
          <w:sz w:val="28"/>
          <w:szCs w:val="28"/>
          <w:lang w:val="en-GB"/>
        </w:rPr>
        <w:t>Call for Proposals for the Provision of Support for Doctoral Students and Young Researchers of STU to Start a Research Career</w:t>
      </w:r>
    </w:p>
    <w:p w14:paraId="75FF3848" w14:textId="77777777" w:rsidR="00AB3BEE" w:rsidRPr="0057063E" w:rsidRDefault="00AB3BEE" w:rsidP="00AB3BEE">
      <w:pPr>
        <w:jc w:val="center"/>
        <w:rPr>
          <w:lang w:val="en-GB"/>
        </w:rPr>
      </w:pPr>
    </w:p>
    <w:p w14:paraId="5B1F21C2" w14:textId="4B1ACB02" w:rsidR="00AB3BEE" w:rsidRPr="0057063E" w:rsidRDefault="0016593E" w:rsidP="00AB3BEE">
      <w:pPr>
        <w:jc w:val="both"/>
        <w:rPr>
          <w:lang w:val="en-GB"/>
        </w:rPr>
      </w:pPr>
      <w:r>
        <w:rPr>
          <w:lang w:val="en-GB"/>
        </w:rPr>
        <w:t>The R</w:t>
      </w:r>
      <w:r w:rsidR="00AB3BEE" w:rsidRPr="0057063E">
        <w:rPr>
          <w:lang w:val="en-GB"/>
        </w:rPr>
        <w:t xml:space="preserve">ector of the Slovak University of Technology in Bratislava announces an internal call for doctoral students and young researchers. The call aims to start the careers of doctoral students and </w:t>
      </w:r>
      <w:r>
        <w:rPr>
          <w:lang w:val="en-GB"/>
        </w:rPr>
        <w:t>early stage</w:t>
      </w:r>
      <w:r w:rsidR="00AB3BEE" w:rsidRPr="0057063E">
        <w:rPr>
          <w:lang w:val="en-GB"/>
        </w:rPr>
        <w:t xml:space="preserve"> researchers in their scientific field. The projects will enable young researchers to finance </w:t>
      </w:r>
      <w:r>
        <w:rPr>
          <w:lang w:val="en-GB"/>
        </w:rPr>
        <w:t>early stage</w:t>
      </w:r>
      <w:r w:rsidR="00AB3BEE" w:rsidRPr="0057063E">
        <w:rPr>
          <w:lang w:val="en-GB"/>
        </w:rPr>
        <w:t xml:space="preserve"> research</w:t>
      </w:r>
      <w:r>
        <w:rPr>
          <w:lang w:val="en-GB"/>
        </w:rPr>
        <w:t>, support their participation at</w:t>
      </w:r>
      <w:r w:rsidR="00AB3BEE" w:rsidRPr="0057063E">
        <w:rPr>
          <w:lang w:val="en-GB"/>
        </w:rPr>
        <w:t xml:space="preserve"> scientific conferences and </w:t>
      </w:r>
      <w:r>
        <w:rPr>
          <w:lang w:val="en-GB"/>
        </w:rPr>
        <w:t>an</w:t>
      </w:r>
      <w:r w:rsidR="00AB3BEE" w:rsidRPr="0057063E">
        <w:rPr>
          <w:lang w:val="en-GB"/>
        </w:rPr>
        <w:t xml:space="preserve"> exchange of experience with foreign countries. The experience gained in this way, can be used when submitting projects in other national or European schemes.</w:t>
      </w:r>
    </w:p>
    <w:p w14:paraId="545EF634" w14:textId="42042ADD" w:rsidR="00AB3BEE" w:rsidRPr="0057063E" w:rsidRDefault="00AB3BEE" w:rsidP="00AB3BEE">
      <w:pPr>
        <w:jc w:val="both"/>
        <w:rPr>
          <w:lang w:val="en-GB"/>
        </w:rPr>
      </w:pPr>
      <w:r w:rsidRPr="0057063E">
        <w:rPr>
          <w:lang w:val="en-GB"/>
        </w:rPr>
        <w:t>The call originates from and is financed through the Recovery and resilience plan of the S</w:t>
      </w:r>
      <w:r w:rsidR="0016593E">
        <w:rPr>
          <w:lang w:val="en-GB"/>
        </w:rPr>
        <w:t xml:space="preserve">lovak </w:t>
      </w:r>
      <w:r w:rsidRPr="0057063E">
        <w:rPr>
          <w:lang w:val="en-GB"/>
        </w:rPr>
        <w:t>R</w:t>
      </w:r>
      <w:r w:rsidR="0016593E">
        <w:rPr>
          <w:lang w:val="en-GB"/>
        </w:rPr>
        <w:t>epublic</w:t>
      </w:r>
      <w:r w:rsidRPr="0057063E">
        <w:rPr>
          <w:lang w:val="en-GB"/>
        </w:rPr>
        <w:t xml:space="preserve"> (</w:t>
      </w:r>
      <w:r w:rsidR="00D05827" w:rsidRPr="0057063E">
        <w:rPr>
          <w:lang w:val="en-GB"/>
        </w:rPr>
        <w:t>RRP SR) No</w:t>
      </w:r>
      <w:r w:rsidRPr="0057063E">
        <w:rPr>
          <w:lang w:val="en-GB"/>
        </w:rPr>
        <w:t xml:space="preserve">. </w:t>
      </w:r>
      <w:r w:rsidRPr="0057063E">
        <w:rPr>
          <w:b/>
          <w:bCs/>
          <w:lang w:val="en-GB"/>
        </w:rPr>
        <w:t>09I03-03-V05 „Early stage grant</w:t>
      </w:r>
      <w:r w:rsidR="00860BF4" w:rsidRPr="0057063E">
        <w:rPr>
          <w:b/>
          <w:bCs/>
          <w:lang w:val="en-GB"/>
        </w:rPr>
        <w:t>s</w:t>
      </w:r>
      <w:proofErr w:type="gramStart"/>
      <w:r w:rsidR="0016593E" w:rsidRPr="0057063E">
        <w:rPr>
          <w:b/>
          <w:bCs/>
          <w:lang w:val="en-GB"/>
        </w:rPr>
        <w:t>“</w:t>
      </w:r>
      <w:r w:rsidR="0016593E">
        <w:rPr>
          <w:b/>
          <w:bCs/>
          <w:lang w:val="en-GB"/>
        </w:rPr>
        <w:t xml:space="preserve"> </w:t>
      </w:r>
      <w:r w:rsidR="0016593E" w:rsidRPr="0057063E">
        <w:rPr>
          <w:b/>
          <w:bCs/>
          <w:lang w:val="en-GB"/>
        </w:rPr>
        <w:t>(</w:t>
      </w:r>
      <w:proofErr w:type="gramEnd"/>
      <w:r w:rsidRPr="0057063E">
        <w:rPr>
          <w:b/>
          <w:bCs/>
          <w:lang w:val="en-GB"/>
        </w:rPr>
        <w:t>further mentioned as ESG).</w:t>
      </w:r>
    </w:p>
    <w:p w14:paraId="5A1803DA" w14:textId="4793F850" w:rsidR="00AB3BEE" w:rsidRPr="0057063E" w:rsidRDefault="00AB3BEE" w:rsidP="00AB3BEE">
      <w:pPr>
        <w:spacing w:line="240" w:lineRule="auto"/>
        <w:rPr>
          <w:b/>
          <w:bCs/>
          <w:lang w:val="en-GB"/>
        </w:rPr>
      </w:pPr>
      <w:r w:rsidRPr="0057063E">
        <w:rPr>
          <w:b/>
          <w:bCs/>
          <w:lang w:val="en-GB"/>
        </w:rPr>
        <w:t xml:space="preserve">1. </w:t>
      </w:r>
      <w:r w:rsidR="00D05827" w:rsidRPr="0057063E">
        <w:rPr>
          <w:b/>
          <w:bCs/>
          <w:lang w:val="en-GB"/>
        </w:rPr>
        <w:t>Call schedule</w:t>
      </w:r>
      <w:r w:rsidRPr="0057063E">
        <w:rPr>
          <w:b/>
          <w:bCs/>
          <w:lang w:val="en-GB"/>
        </w:rPr>
        <w:t>:</w:t>
      </w:r>
    </w:p>
    <w:p w14:paraId="6658AFAA" w14:textId="34B040AF" w:rsidR="00AB3BEE" w:rsidRPr="0057063E" w:rsidRDefault="00C8314D" w:rsidP="00AB3BEE">
      <w:pPr>
        <w:spacing w:after="0" w:line="240" w:lineRule="auto"/>
        <w:rPr>
          <w:lang w:val="en-GB"/>
        </w:rPr>
      </w:pPr>
      <w:r>
        <w:rPr>
          <w:lang w:val="en-GB"/>
        </w:rPr>
        <w:t>10</w:t>
      </w:r>
      <w:r w:rsidR="00AB3BEE" w:rsidRPr="0057063E">
        <w:rPr>
          <w:lang w:val="en-GB"/>
        </w:rPr>
        <w:t>.11.2023</w:t>
      </w:r>
      <w:r w:rsidR="00AB3BEE" w:rsidRPr="0057063E">
        <w:rPr>
          <w:lang w:val="en-GB"/>
        </w:rPr>
        <w:tab/>
      </w:r>
      <w:r w:rsidR="00AB3BEE" w:rsidRPr="0057063E">
        <w:rPr>
          <w:lang w:val="en-GB"/>
        </w:rPr>
        <w:tab/>
      </w:r>
      <w:r w:rsidR="00AB3BEE" w:rsidRPr="0057063E">
        <w:rPr>
          <w:lang w:val="en-GB"/>
        </w:rPr>
        <w:tab/>
        <w:t xml:space="preserve">– </w:t>
      </w:r>
      <w:r w:rsidR="00AB3BEE" w:rsidRPr="0057063E">
        <w:rPr>
          <w:lang w:val="en-GB"/>
        </w:rPr>
        <w:tab/>
      </w:r>
      <w:r w:rsidR="00031239">
        <w:rPr>
          <w:lang w:val="en-GB"/>
        </w:rPr>
        <w:t>Publishing</w:t>
      </w:r>
      <w:r w:rsidR="00D05827" w:rsidRPr="0057063E">
        <w:rPr>
          <w:lang w:val="en-GB"/>
        </w:rPr>
        <w:t xml:space="preserve"> of the call</w:t>
      </w:r>
    </w:p>
    <w:p w14:paraId="7357F50E" w14:textId="45923C79" w:rsidR="00AB3BEE" w:rsidRPr="0057063E" w:rsidRDefault="00AB3BEE" w:rsidP="00AB3BEE">
      <w:pPr>
        <w:spacing w:after="0" w:line="240" w:lineRule="auto"/>
        <w:rPr>
          <w:lang w:val="en-GB"/>
        </w:rPr>
      </w:pPr>
      <w:r w:rsidRPr="0057063E">
        <w:rPr>
          <w:lang w:val="en-GB"/>
        </w:rPr>
        <w:t>30.11.2023</w:t>
      </w:r>
      <w:r w:rsidRPr="0057063E">
        <w:rPr>
          <w:lang w:val="en-GB"/>
        </w:rPr>
        <w:tab/>
      </w:r>
      <w:r w:rsidRPr="0057063E">
        <w:rPr>
          <w:lang w:val="en-GB"/>
        </w:rPr>
        <w:tab/>
      </w:r>
      <w:r w:rsidRPr="0057063E">
        <w:rPr>
          <w:lang w:val="en-GB"/>
        </w:rPr>
        <w:tab/>
        <w:t xml:space="preserve">– </w:t>
      </w:r>
      <w:r w:rsidRPr="0057063E">
        <w:rPr>
          <w:lang w:val="en-GB"/>
        </w:rPr>
        <w:tab/>
      </w:r>
      <w:r w:rsidR="00031239">
        <w:rPr>
          <w:lang w:val="en-GB"/>
        </w:rPr>
        <w:t>Call deadline</w:t>
      </w:r>
      <w:r w:rsidR="00D05827" w:rsidRPr="0057063E">
        <w:rPr>
          <w:lang w:val="en-GB"/>
        </w:rPr>
        <w:t xml:space="preserve"> at the STU units</w:t>
      </w:r>
    </w:p>
    <w:p w14:paraId="1061144C" w14:textId="68D9061D" w:rsidR="00AB3BEE" w:rsidRPr="0057063E" w:rsidRDefault="00AB3BEE" w:rsidP="00AB3BEE">
      <w:pPr>
        <w:spacing w:after="0" w:line="240" w:lineRule="auto"/>
        <w:ind w:left="2835" w:hanging="2835"/>
        <w:rPr>
          <w:lang w:val="en-GB"/>
        </w:rPr>
      </w:pPr>
      <w:r w:rsidRPr="0057063E">
        <w:rPr>
          <w:lang w:val="en-GB"/>
        </w:rPr>
        <w:t>14.12.2023</w:t>
      </w:r>
      <w:r w:rsidRPr="0057063E">
        <w:rPr>
          <w:lang w:val="en-GB"/>
        </w:rPr>
        <w:tab/>
        <w:t xml:space="preserve">– </w:t>
      </w:r>
      <w:r w:rsidRPr="0057063E">
        <w:rPr>
          <w:lang w:val="en-GB"/>
        </w:rPr>
        <w:tab/>
      </w:r>
      <w:r w:rsidR="00031239">
        <w:rPr>
          <w:lang w:val="en-GB"/>
        </w:rPr>
        <w:t>C</w:t>
      </w:r>
      <w:r w:rsidR="00D05827" w:rsidRPr="0057063E">
        <w:rPr>
          <w:lang w:val="en-GB"/>
        </w:rPr>
        <w:t xml:space="preserve">all </w:t>
      </w:r>
      <w:r w:rsidR="00031239">
        <w:rPr>
          <w:lang w:val="en-GB"/>
        </w:rPr>
        <w:t xml:space="preserve">deadline </w:t>
      </w:r>
      <w:r w:rsidR="00D05827" w:rsidRPr="0057063E">
        <w:rPr>
          <w:lang w:val="en-GB"/>
        </w:rPr>
        <w:t>at the University level, applications</w:t>
      </w:r>
      <w:r w:rsidR="00C8314D">
        <w:rPr>
          <w:lang w:val="en-GB"/>
        </w:rPr>
        <w:br/>
        <w:t xml:space="preserve"> </w:t>
      </w:r>
      <w:r w:rsidR="00C8314D">
        <w:rPr>
          <w:lang w:val="en-GB"/>
        </w:rPr>
        <w:tab/>
        <w:t>have to be delivered to the R</w:t>
      </w:r>
      <w:r w:rsidR="00D05827" w:rsidRPr="0057063E">
        <w:rPr>
          <w:lang w:val="en-GB"/>
        </w:rPr>
        <w:t>ectorate of the STU</w:t>
      </w:r>
    </w:p>
    <w:p w14:paraId="2D1AF0B3" w14:textId="77777777" w:rsidR="00C8314D" w:rsidRDefault="00AB3BEE" w:rsidP="00C8314D">
      <w:pPr>
        <w:spacing w:after="0" w:line="240" w:lineRule="auto"/>
        <w:ind w:left="2840" w:hanging="2840"/>
        <w:jc w:val="both"/>
        <w:rPr>
          <w:lang w:val="en-GB"/>
        </w:rPr>
      </w:pPr>
      <w:r w:rsidRPr="0057063E">
        <w:rPr>
          <w:lang w:val="en-GB"/>
        </w:rPr>
        <w:t>19.12.2023</w:t>
      </w:r>
      <w:r w:rsidRPr="0057063E">
        <w:rPr>
          <w:lang w:val="en-GB"/>
        </w:rPr>
        <w:tab/>
        <w:t xml:space="preserve">– </w:t>
      </w:r>
      <w:r w:rsidRPr="0057063E">
        <w:rPr>
          <w:lang w:val="en-GB"/>
        </w:rPr>
        <w:tab/>
      </w:r>
      <w:r w:rsidR="00D05827" w:rsidRPr="0057063E">
        <w:rPr>
          <w:lang w:val="en-GB"/>
        </w:rPr>
        <w:t xml:space="preserve">Evaluation of the call and </w:t>
      </w:r>
      <w:r w:rsidR="00C8314D">
        <w:rPr>
          <w:lang w:val="en-GB"/>
        </w:rPr>
        <w:t xml:space="preserve">following publication of results at     </w:t>
      </w:r>
    </w:p>
    <w:p w14:paraId="7BB29B97" w14:textId="12F9F365" w:rsidR="00AB3BEE" w:rsidRPr="0057063E" w:rsidRDefault="00C8314D" w:rsidP="00C8314D">
      <w:pPr>
        <w:spacing w:after="0" w:line="240" w:lineRule="auto"/>
        <w:ind w:left="2840" w:hanging="2840"/>
        <w:jc w:val="both"/>
        <w:rPr>
          <w:lang w:val="en-GB"/>
        </w:rPr>
      </w:pPr>
      <w:r>
        <w:rPr>
          <w:lang w:val="en-GB"/>
        </w:rPr>
        <w:t xml:space="preserve">                      </w:t>
      </w:r>
      <w:r>
        <w:rPr>
          <w:lang w:val="en-GB"/>
        </w:rPr>
        <w:tab/>
      </w:r>
      <w:r>
        <w:rPr>
          <w:lang w:val="en-GB"/>
        </w:rPr>
        <w:tab/>
      </w:r>
      <w:r w:rsidR="00AB3BEE" w:rsidRPr="0057063E">
        <w:rPr>
          <w:lang w:val="en-GB"/>
        </w:rPr>
        <w:t xml:space="preserve">www.stuba.sk </w:t>
      </w:r>
      <w:r>
        <w:rPr>
          <w:lang w:val="en-GB"/>
        </w:rPr>
        <w:t>website</w:t>
      </w:r>
    </w:p>
    <w:p w14:paraId="0E07E8DE" w14:textId="165FA21E" w:rsidR="00AB3BEE" w:rsidRPr="0057063E" w:rsidRDefault="00AB3BEE" w:rsidP="00AB3BEE">
      <w:pPr>
        <w:jc w:val="both"/>
        <w:rPr>
          <w:lang w:val="en-GB"/>
        </w:rPr>
      </w:pPr>
      <w:r w:rsidRPr="0057063E">
        <w:rPr>
          <w:lang w:val="en-GB"/>
        </w:rPr>
        <w:t xml:space="preserve">01.03.2024 </w:t>
      </w:r>
      <w:r w:rsidRPr="0057063E">
        <w:rPr>
          <w:lang w:val="en-GB"/>
        </w:rPr>
        <w:tab/>
      </w:r>
      <w:r w:rsidRPr="0057063E">
        <w:rPr>
          <w:lang w:val="en-GB"/>
        </w:rPr>
        <w:tab/>
      </w:r>
      <w:r w:rsidRPr="0057063E">
        <w:rPr>
          <w:lang w:val="en-GB"/>
        </w:rPr>
        <w:tab/>
        <w:t xml:space="preserve">– </w:t>
      </w:r>
      <w:r w:rsidRPr="0057063E">
        <w:rPr>
          <w:lang w:val="en-GB"/>
        </w:rPr>
        <w:tab/>
      </w:r>
      <w:r w:rsidR="00031239">
        <w:rPr>
          <w:lang w:val="en-GB"/>
        </w:rPr>
        <w:t>Expected</w:t>
      </w:r>
      <w:r w:rsidR="00D05827" w:rsidRPr="0057063E">
        <w:rPr>
          <w:lang w:val="en-GB"/>
        </w:rPr>
        <w:t xml:space="preserve"> start of project implementation</w:t>
      </w:r>
    </w:p>
    <w:p w14:paraId="607D4D9C" w14:textId="77777777" w:rsidR="00AB3BEE" w:rsidRPr="0057063E" w:rsidRDefault="00AB3BEE" w:rsidP="00AB3BEE">
      <w:pPr>
        <w:jc w:val="both"/>
        <w:rPr>
          <w:lang w:val="en-GB"/>
        </w:rPr>
      </w:pPr>
    </w:p>
    <w:p w14:paraId="42174605" w14:textId="06365FE0" w:rsidR="00AB3BEE" w:rsidRPr="0057063E" w:rsidRDefault="00AB3BEE" w:rsidP="00AB3BEE">
      <w:pPr>
        <w:spacing w:line="240" w:lineRule="auto"/>
        <w:rPr>
          <w:b/>
          <w:bCs/>
          <w:lang w:val="en-GB"/>
        </w:rPr>
      </w:pPr>
      <w:r w:rsidRPr="0057063E">
        <w:rPr>
          <w:b/>
          <w:bCs/>
          <w:lang w:val="en-GB"/>
        </w:rPr>
        <w:t xml:space="preserve">2. </w:t>
      </w:r>
      <w:r w:rsidR="00D05827" w:rsidRPr="0057063E">
        <w:rPr>
          <w:b/>
          <w:bCs/>
          <w:lang w:val="en-GB"/>
        </w:rPr>
        <w:t>Project duration</w:t>
      </w:r>
    </w:p>
    <w:p w14:paraId="6DFE0406" w14:textId="3DFB8E5A" w:rsidR="00D05827" w:rsidRPr="0057063E" w:rsidRDefault="00D05827" w:rsidP="00AB3BEE">
      <w:pPr>
        <w:jc w:val="both"/>
        <w:rPr>
          <w:lang w:val="en-GB"/>
        </w:rPr>
      </w:pPr>
      <w:r w:rsidRPr="0057063E">
        <w:rPr>
          <w:lang w:val="en-GB"/>
        </w:rPr>
        <w:t>The minimum duration of the project is 12 months and the maximum is 24 months. Project implementation is expected to start on 01.03.2024. The activities supported by the project must be completed by 30.04.2026 at the latest.</w:t>
      </w:r>
    </w:p>
    <w:p w14:paraId="3EC0E0B9" w14:textId="5917ABB5" w:rsidR="00AB3BEE" w:rsidRPr="0057063E" w:rsidRDefault="00AB3BEE" w:rsidP="00AB3BEE">
      <w:pPr>
        <w:jc w:val="both"/>
        <w:rPr>
          <w:b/>
          <w:bCs/>
          <w:lang w:val="en-GB"/>
        </w:rPr>
      </w:pPr>
      <w:r w:rsidRPr="0057063E">
        <w:rPr>
          <w:b/>
          <w:bCs/>
          <w:lang w:val="en-GB"/>
        </w:rPr>
        <w:t xml:space="preserve">3. </w:t>
      </w:r>
      <w:r w:rsidR="00D05827" w:rsidRPr="0057063E">
        <w:rPr>
          <w:b/>
          <w:bCs/>
          <w:lang w:val="en-GB"/>
        </w:rPr>
        <w:t>Number of supported projects</w:t>
      </w:r>
    </w:p>
    <w:p w14:paraId="0879F73F" w14:textId="57BAA8BD" w:rsidR="00AB3BEE" w:rsidRPr="0057063E" w:rsidRDefault="00F753CD" w:rsidP="00AB3BEE">
      <w:pPr>
        <w:jc w:val="both"/>
        <w:rPr>
          <w:bCs/>
          <w:lang w:val="en-GB"/>
        </w:rPr>
      </w:pPr>
      <w:r w:rsidRPr="0057063E">
        <w:rPr>
          <w:bCs/>
          <w:lang w:val="en-GB"/>
        </w:rPr>
        <w:t xml:space="preserve">Based on the performance of individual units of STU in the field of scientific and research activities for the year 2022, the total number of grants will be distributed to the </w:t>
      </w:r>
      <w:r w:rsidR="00C8314D">
        <w:rPr>
          <w:bCs/>
          <w:lang w:val="en-GB"/>
        </w:rPr>
        <w:t xml:space="preserve">STU </w:t>
      </w:r>
      <w:r w:rsidRPr="0057063E">
        <w:rPr>
          <w:bCs/>
          <w:lang w:val="en-GB"/>
        </w:rPr>
        <w:t>units as follows</w:t>
      </w:r>
      <w:r w:rsidR="00AB3BEE" w:rsidRPr="0057063E">
        <w:rPr>
          <w:bCs/>
          <w:lang w:val="en-GB"/>
        </w:rPr>
        <w:t xml:space="preserve">:  </w:t>
      </w:r>
    </w:p>
    <w:tbl>
      <w:tblPr>
        <w:tblW w:w="7645" w:type="dxa"/>
        <w:tblCellMar>
          <w:left w:w="70" w:type="dxa"/>
          <w:right w:w="70" w:type="dxa"/>
        </w:tblCellMar>
        <w:tblLook w:val="04A0" w:firstRow="1" w:lastRow="0" w:firstColumn="1" w:lastColumn="0" w:noHBand="0" w:noVBand="1"/>
      </w:tblPr>
      <w:tblGrid>
        <w:gridCol w:w="2272"/>
        <w:gridCol w:w="543"/>
        <w:gridCol w:w="567"/>
        <w:gridCol w:w="492"/>
        <w:gridCol w:w="723"/>
        <w:gridCol w:w="513"/>
        <w:gridCol w:w="543"/>
        <w:gridCol w:w="574"/>
        <w:gridCol w:w="567"/>
        <w:gridCol w:w="851"/>
      </w:tblGrid>
      <w:tr w:rsidR="00AB3BEE" w:rsidRPr="0057063E" w14:paraId="3DC9A1AB" w14:textId="77777777" w:rsidTr="00AE6773">
        <w:trPr>
          <w:trHeight w:val="915"/>
        </w:trPr>
        <w:tc>
          <w:tcPr>
            <w:tcW w:w="22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0EDDCA" w14:textId="1D1BF510" w:rsidR="00AB3BEE" w:rsidRPr="0057063E" w:rsidRDefault="00F753CD" w:rsidP="00031239">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Grant type/</w:t>
            </w:r>
            <w:r w:rsidR="00031239">
              <w:rPr>
                <w:rFonts w:ascii="Calibri" w:eastAsia="Times New Roman" w:hAnsi="Calibri" w:cs="Calibri"/>
                <w:b/>
                <w:bCs/>
                <w:color w:val="000000"/>
                <w:lang w:val="en-GB" w:eastAsia="sk-SK"/>
              </w:rPr>
              <w:t>STU unit</w:t>
            </w:r>
          </w:p>
        </w:tc>
        <w:tc>
          <w:tcPr>
            <w:tcW w:w="543" w:type="dxa"/>
            <w:tcBorders>
              <w:top w:val="single" w:sz="8" w:space="0" w:color="auto"/>
              <w:left w:val="nil"/>
              <w:bottom w:val="single" w:sz="8" w:space="0" w:color="auto"/>
              <w:right w:val="single" w:sz="8" w:space="0" w:color="auto"/>
            </w:tcBorders>
            <w:shd w:val="clear" w:color="auto" w:fill="auto"/>
            <w:noWrap/>
            <w:vAlign w:val="center"/>
            <w:hideMark/>
          </w:tcPr>
          <w:p w14:paraId="375F672C" w14:textId="77777777" w:rsidR="00AB3BEE" w:rsidRPr="0057063E" w:rsidRDefault="00AB3BEE" w:rsidP="00AE6773">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SvF</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6205E630" w14:textId="77777777" w:rsidR="00AB3BEE" w:rsidRPr="0057063E" w:rsidRDefault="00AB3BEE" w:rsidP="00AE6773">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SjF</w:t>
            </w:r>
          </w:p>
        </w:tc>
        <w:tc>
          <w:tcPr>
            <w:tcW w:w="492" w:type="dxa"/>
            <w:tcBorders>
              <w:top w:val="single" w:sz="8" w:space="0" w:color="auto"/>
              <w:left w:val="nil"/>
              <w:bottom w:val="single" w:sz="8" w:space="0" w:color="auto"/>
              <w:right w:val="single" w:sz="8" w:space="0" w:color="auto"/>
            </w:tcBorders>
            <w:shd w:val="clear" w:color="auto" w:fill="auto"/>
            <w:noWrap/>
            <w:vAlign w:val="center"/>
            <w:hideMark/>
          </w:tcPr>
          <w:p w14:paraId="175CAC29" w14:textId="77777777" w:rsidR="00AB3BEE" w:rsidRPr="0057063E" w:rsidRDefault="00AB3BEE" w:rsidP="00AE6773">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FEI</w:t>
            </w:r>
          </w:p>
        </w:tc>
        <w:tc>
          <w:tcPr>
            <w:tcW w:w="723" w:type="dxa"/>
            <w:tcBorders>
              <w:top w:val="single" w:sz="8" w:space="0" w:color="auto"/>
              <w:left w:val="nil"/>
              <w:bottom w:val="single" w:sz="8" w:space="0" w:color="auto"/>
              <w:right w:val="single" w:sz="8" w:space="0" w:color="auto"/>
            </w:tcBorders>
            <w:shd w:val="clear" w:color="auto" w:fill="auto"/>
            <w:noWrap/>
            <w:vAlign w:val="center"/>
            <w:hideMark/>
          </w:tcPr>
          <w:p w14:paraId="594569E0" w14:textId="77777777" w:rsidR="00AB3BEE" w:rsidRPr="0057063E" w:rsidRDefault="00AB3BEE" w:rsidP="00AE6773">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FCHPT</w:t>
            </w:r>
          </w:p>
        </w:tc>
        <w:tc>
          <w:tcPr>
            <w:tcW w:w="513" w:type="dxa"/>
            <w:tcBorders>
              <w:top w:val="single" w:sz="8" w:space="0" w:color="auto"/>
              <w:left w:val="nil"/>
              <w:bottom w:val="single" w:sz="8" w:space="0" w:color="auto"/>
              <w:right w:val="single" w:sz="8" w:space="0" w:color="auto"/>
            </w:tcBorders>
            <w:shd w:val="clear" w:color="auto" w:fill="auto"/>
            <w:noWrap/>
            <w:vAlign w:val="center"/>
            <w:hideMark/>
          </w:tcPr>
          <w:p w14:paraId="56FB8D11" w14:textId="77777777" w:rsidR="00AB3BEE" w:rsidRPr="0057063E" w:rsidRDefault="00AB3BEE" w:rsidP="00AE6773">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FAD</w:t>
            </w:r>
          </w:p>
        </w:tc>
        <w:tc>
          <w:tcPr>
            <w:tcW w:w="543" w:type="dxa"/>
            <w:tcBorders>
              <w:top w:val="single" w:sz="8" w:space="0" w:color="auto"/>
              <w:left w:val="nil"/>
              <w:bottom w:val="single" w:sz="8" w:space="0" w:color="auto"/>
              <w:right w:val="single" w:sz="8" w:space="0" w:color="auto"/>
            </w:tcBorders>
            <w:shd w:val="clear" w:color="auto" w:fill="auto"/>
            <w:noWrap/>
            <w:vAlign w:val="center"/>
            <w:hideMark/>
          </w:tcPr>
          <w:p w14:paraId="0B5FA516" w14:textId="77777777" w:rsidR="00AB3BEE" w:rsidRPr="0057063E" w:rsidRDefault="00AB3BEE" w:rsidP="00AE6773">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MTF</w:t>
            </w:r>
          </w:p>
        </w:tc>
        <w:tc>
          <w:tcPr>
            <w:tcW w:w="574" w:type="dxa"/>
            <w:tcBorders>
              <w:top w:val="single" w:sz="8" w:space="0" w:color="auto"/>
              <w:left w:val="nil"/>
              <w:bottom w:val="single" w:sz="8" w:space="0" w:color="auto"/>
              <w:right w:val="single" w:sz="8" w:space="0" w:color="auto"/>
            </w:tcBorders>
            <w:shd w:val="clear" w:color="auto" w:fill="auto"/>
            <w:noWrap/>
            <w:vAlign w:val="center"/>
            <w:hideMark/>
          </w:tcPr>
          <w:p w14:paraId="6F4D03A6" w14:textId="77777777" w:rsidR="00AB3BEE" w:rsidRPr="0057063E" w:rsidRDefault="00AB3BEE" w:rsidP="00AE6773">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FIIT</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7891DC28" w14:textId="77777777" w:rsidR="00AB3BEE" w:rsidRPr="0057063E" w:rsidRDefault="00AB3BEE" w:rsidP="00AE6773">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UM</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0EB7D741" w14:textId="1AF3EA4F" w:rsidR="00AB3BEE" w:rsidRPr="0057063E" w:rsidRDefault="00F753CD" w:rsidP="00AE6773">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Sum</w:t>
            </w:r>
          </w:p>
        </w:tc>
      </w:tr>
      <w:tr w:rsidR="00AB3BEE" w:rsidRPr="0057063E" w14:paraId="6DDEB8D8" w14:textId="77777777" w:rsidTr="00AE6773">
        <w:trPr>
          <w:trHeight w:val="315"/>
        </w:trPr>
        <w:tc>
          <w:tcPr>
            <w:tcW w:w="2272" w:type="dxa"/>
            <w:tcBorders>
              <w:top w:val="nil"/>
              <w:left w:val="single" w:sz="8" w:space="0" w:color="auto"/>
              <w:bottom w:val="single" w:sz="8" w:space="0" w:color="auto"/>
              <w:right w:val="single" w:sz="8" w:space="0" w:color="auto"/>
            </w:tcBorders>
            <w:shd w:val="clear" w:color="auto" w:fill="auto"/>
            <w:vAlign w:val="center"/>
            <w:hideMark/>
          </w:tcPr>
          <w:p w14:paraId="7B4BFAC7" w14:textId="5851C745" w:rsidR="00AB3BEE" w:rsidRPr="0057063E" w:rsidRDefault="00F753CD"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 xml:space="preserve">Research activity </w:t>
            </w:r>
            <w:r w:rsidR="00AB3BEE" w:rsidRPr="0057063E">
              <w:rPr>
                <w:rFonts w:ascii="Calibri" w:eastAsia="Times New Roman" w:hAnsi="Calibri" w:cs="Calibri"/>
                <w:color w:val="000000"/>
                <w:lang w:val="en-GB" w:eastAsia="sk-SK"/>
              </w:rPr>
              <w:t>A</w:t>
            </w:r>
          </w:p>
        </w:tc>
        <w:tc>
          <w:tcPr>
            <w:tcW w:w="543" w:type="dxa"/>
            <w:tcBorders>
              <w:top w:val="nil"/>
              <w:left w:val="nil"/>
              <w:bottom w:val="single" w:sz="8" w:space="0" w:color="auto"/>
              <w:right w:val="single" w:sz="8" w:space="0" w:color="auto"/>
            </w:tcBorders>
            <w:shd w:val="clear" w:color="auto" w:fill="auto"/>
            <w:noWrap/>
            <w:vAlign w:val="center"/>
            <w:hideMark/>
          </w:tcPr>
          <w:p w14:paraId="2CE0A672"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9</w:t>
            </w:r>
          </w:p>
        </w:tc>
        <w:tc>
          <w:tcPr>
            <w:tcW w:w="567" w:type="dxa"/>
            <w:tcBorders>
              <w:top w:val="nil"/>
              <w:left w:val="nil"/>
              <w:bottom w:val="single" w:sz="8" w:space="0" w:color="auto"/>
              <w:right w:val="single" w:sz="8" w:space="0" w:color="auto"/>
            </w:tcBorders>
            <w:shd w:val="clear" w:color="auto" w:fill="auto"/>
            <w:noWrap/>
            <w:vAlign w:val="center"/>
            <w:hideMark/>
          </w:tcPr>
          <w:p w14:paraId="415E2A85"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3</w:t>
            </w:r>
          </w:p>
        </w:tc>
        <w:tc>
          <w:tcPr>
            <w:tcW w:w="492" w:type="dxa"/>
            <w:tcBorders>
              <w:top w:val="nil"/>
              <w:left w:val="nil"/>
              <w:bottom w:val="single" w:sz="8" w:space="0" w:color="auto"/>
              <w:right w:val="single" w:sz="8" w:space="0" w:color="auto"/>
            </w:tcBorders>
            <w:shd w:val="clear" w:color="auto" w:fill="auto"/>
            <w:noWrap/>
            <w:vAlign w:val="center"/>
            <w:hideMark/>
          </w:tcPr>
          <w:p w14:paraId="5492189E"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13</w:t>
            </w:r>
          </w:p>
        </w:tc>
        <w:tc>
          <w:tcPr>
            <w:tcW w:w="723" w:type="dxa"/>
            <w:tcBorders>
              <w:top w:val="nil"/>
              <w:left w:val="nil"/>
              <w:bottom w:val="single" w:sz="8" w:space="0" w:color="auto"/>
              <w:right w:val="single" w:sz="8" w:space="0" w:color="auto"/>
            </w:tcBorders>
            <w:shd w:val="clear" w:color="auto" w:fill="auto"/>
            <w:noWrap/>
            <w:vAlign w:val="center"/>
            <w:hideMark/>
          </w:tcPr>
          <w:p w14:paraId="03C7393F"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12</w:t>
            </w:r>
          </w:p>
        </w:tc>
        <w:tc>
          <w:tcPr>
            <w:tcW w:w="513" w:type="dxa"/>
            <w:tcBorders>
              <w:top w:val="nil"/>
              <w:left w:val="nil"/>
              <w:bottom w:val="single" w:sz="8" w:space="0" w:color="auto"/>
              <w:right w:val="single" w:sz="8" w:space="0" w:color="auto"/>
            </w:tcBorders>
            <w:shd w:val="clear" w:color="auto" w:fill="auto"/>
            <w:noWrap/>
            <w:vAlign w:val="center"/>
            <w:hideMark/>
          </w:tcPr>
          <w:p w14:paraId="0CEBE32E"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3</w:t>
            </w:r>
          </w:p>
        </w:tc>
        <w:tc>
          <w:tcPr>
            <w:tcW w:w="543" w:type="dxa"/>
            <w:tcBorders>
              <w:top w:val="nil"/>
              <w:left w:val="nil"/>
              <w:bottom w:val="single" w:sz="8" w:space="0" w:color="auto"/>
              <w:right w:val="single" w:sz="8" w:space="0" w:color="auto"/>
            </w:tcBorders>
            <w:shd w:val="clear" w:color="auto" w:fill="auto"/>
            <w:noWrap/>
            <w:vAlign w:val="center"/>
            <w:hideMark/>
          </w:tcPr>
          <w:p w14:paraId="50772584"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5</w:t>
            </w:r>
          </w:p>
        </w:tc>
        <w:tc>
          <w:tcPr>
            <w:tcW w:w="574" w:type="dxa"/>
            <w:tcBorders>
              <w:top w:val="nil"/>
              <w:left w:val="nil"/>
              <w:bottom w:val="single" w:sz="8" w:space="0" w:color="auto"/>
              <w:right w:val="single" w:sz="8" w:space="0" w:color="auto"/>
            </w:tcBorders>
            <w:shd w:val="clear" w:color="auto" w:fill="auto"/>
            <w:noWrap/>
            <w:vAlign w:val="center"/>
            <w:hideMark/>
          </w:tcPr>
          <w:p w14:paraId="05E70F93"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1</w:t>
            </w:r>
          </w:p>
        </w:tc>
        <w:tc>
          <w:tcPr>
            <w:tcW w:w="567" w:type="dxa"/>
            <w:tcBorders>
              <w:top w:val="nil"/>
              <w:left w:val="nil"/>
              <w:bottom w:val="single" w:sz="8" w:space="0" w:color="auto"/>
              <w:right w:val="single" w:sz="8" w:space="0" w:color="auto"/>
            </w:tcBorders>
            <w:shd w:val="clear" w:color="auto" w:fill="auto"/>
            <w:noWrap/>
            <w:vAlign w:val="center"/>
            <w:hideMark/>
          </w:tcPr>
          <w:p w14:paraId="0C4D2CFC"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07C363F7" w14:textId="77777777" w:rsidR="00AB3BEE" w:rsidRPr="0057063E" w:rsidRDefault="00AB3BEE" w:rsidP="00AE6773">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47</w:t>
            </w:r>
          </w:p>
        </w:tc>
      </w:tr>
      <w:tr w:rsidR="00AB3BEE" w:rsidRPr="0057063E" w14:paraId="3E753B10" w14:textId="77777777" w:rsidTr="00AE6773">
        <w:trPr>
          <w:trHeight w:val="315"/>
        </w:trPr>
        <w:tc>
          <w:tcPr>
            <w:tcW w:w="2272" w:type="dxa"/>
            <w:tcBorders>
              <w:top w:val="nil"/>
              <w:left w:val="single" w:sz="8" w:space="0" w:color="auto"/>
              <w:bottom w:val="single" w:sz="12" w:space="0" w:color="auto"/>
              <w:right w:val="single" w:sz="8" w:space="0" w:color="auto"/>
            </w:tcBorders>
            <w:shd w:val="clear" w:color="auto" w:fill="auto"/>
            <w:vAlign w:val="center"/>
            <w:hideMark/>
          </w:tcPr>
          <w:p w14:paraId="14662691" w14:textId="576C560D" w:rsidR="00AB3BEE" w:rsidRPr="0057063E" w:rsidRDefault="00F753CD"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 xml:space="preserve">Research activity </w:t>
            </w:r>
            <w:r w:rsidR="00AB3BEE" w:rsidRPr="0057063E">
              <w:rPr>
                <w:rFonts w:ascii="Calibri" w:eastAsia="Times New Roman" w:hAnsi="Calibri" w:cs="Calibri"/>
                <w:color w:val="000000"/>
                <w:lang w:val="en-GB" w:eastAsia="sk-SK"/>
              </w:rPr>
              <w:t>B</w:t>
            </w:r>
          </w:p>
        </w:tc>
        <w:tc>
          <w:tcPr>
            <w:tcW w:w="543" w:type="dxa"/>
            <w:tcBorders>
              <w:top w:val="nil"/>
              <w:left w:val="nil"/>
              <w:bottom w:val="single" w:sz="12" w:space="0" w:color="auto"/>
              <w:right w:val="single" w:sz="8" w:space="0" w:color="auto"/>
            </w:tcBorders>
            <w:shd w:val="clear" w:color="auto" w:fill="auto"/>
            <w:noWrap/>
            <w:vAlign w:val="center"/>
            <w:hideMark/>
          </w:tcPr>
          <w:p w14:paraId="2DE231F6"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3</w:t>
            </w:r>
          </w:p>
        </w:tc>
        <w:tc>
          <w:tcPr>
            <w:tcW w:w="567" w:type="dxa"/>
            <w:tcBorders>
              <w:top w:val="nil"/>
              <w:left w:val="nil"/>
              <w:bottom w:val="single" w:sz="12" w:space="0" w:color="auto"/>
              <w:right w:val="single" w:sz="8" w:space="0" w:color="auto"/>
            </w:tcBorders>
            <w:shd w:val="clear" w:color="auto" w:fill="auto"/>
            <w:noWrap/>
            <w:vAlign w:val="center"/>
            <w:hideMark/>
          </w:tcPr>
          <w:p w14:paraId="59A3876D"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1</w:t>
            </w:r>
          </w:p>
        </w:tc>
        <w:tc>
          <w:tcPr>
            <w:tcW w:w="492" w:type="dxa"/>
            <w:tcBorders>
              <w:top w:val="nil"/>
              <w:left w:val="nil"/>
              <w:bottom w:val="single" w:sz="12" w:space="0" w:color="auto"/>
              <w:right w:val="single" w:sz="8" w:space="0" w:color="auto"/>
            </w:tcBorders>
            <w:shd w:val="clear" w:color="auto" w:fill="auto"/>
            <w:noWrap/>
            <w:vAlign w:val="center"/>
            <w:hideMark/>
          </w:tcPr>
          <w:p w14:paraId="718F515D"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5</w:t>
            </w:r>
          </w:p>
        </w:tc>
        <w:tc>
          <w:tcPr>
            <w:tcW w:w="723" w:type="dxa"/>
            <w:tcBorders>
              <w:top w:val="nil"/>
              <w:left w:val="nil"/>
              <w:bottom w:val="single" w:sz="12" w:space="0" w:color="auto"/>
              <w:right w:val="single" w:sz="8" w:space="0" w:color="auto"/>
            </w:tcBorders>
            <w:shd w:val="clear" w:color="auto" w:fill="auto"/>
            <w:noWrap/>
            <w:vAlign w:val="center"/>
            <w:hideMark/>
          </w:tcPr>
          <w:p w14:paraId="223144CA"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4</w:t>
            </w:r>
          </w:p>
        </w:tc>
        <w:tc>
          <w:tcPr>
            <w:tcW w:w="513" w:type="dxa"/>
            <w:tcBorders>
              <w:top w:val="nil"/>
              <w:left w:val="nil"/>
              <w:bottom w:val="single" w:sz="12" w:space="0" w:color="auto"/>
              <w:right w:val="single" w:sz="8" w:space="0" w:color="auto"/>
            </w:tcBorders>
            <w:shd w:val="clear" w:color="auto" w:fill="auto"/>
            <w:noWrap/>
            <w:vAlign w:val="center"/>
            <w:hideMark/>
          </w:tcPr>
          <w:p w14:paraId="5728B15A"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1</w:t>
            </w:r>
          </w:p>
        </w:tc>
        <w:tc>
          <w:tcPr>
            <w:tcW w:w="543" w:type="dxa"/>
            <w:tcBorders>
              <w:top w:val="nil"/>
              <w:left w:val="nil"/>
              <w:bottom w:val="single" w:sz="12" w:space="0" w:color="auto"/>
              <w:right w:val="single" w:sz="8" w:space="0" w:color="auto"/>
            </w:tcBorders>
            <w:shd w:val="clear" w:color="auto" w:fill="auto"/>
            <w:noWrap/>
            <w:vAlign w:val="center"/>
            <w:hideMark/>
          </w:tcPr>
          <w:p w14:paraId="4F28BDD5"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2</w:t>
            </w:r>
          </w:p>
        </w:tc>
        <w:tc>
          <w:tcPr>
            <w:tcW w:w="574" w:type="dxa"/>
            <w:tcBorders>
              <w:top w:val="nil"/>
              <w:left w:val="nil"/>
              <w:bottom w:val="single" w:sz="12" w:space="0" w:color="auto"/>
              <w:right w:val="single" w:sz="8" w:space="0" w:color="auto"/>
            </w:tcBorders>
            <w:shd w:val="clear" w:color="auto" w:fill="auto"/>
            <w:noWrap/>
            <w:vAlign w:val="center"/>
            <w:hideMark/>
          </w:tcPr>
          <w:p w14:paraId="6907830C"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1</w:t>
            </w:r>
          </w:p>
        </w:tc>
        <w:tc>
          <w:tcPr>
            <w:tcW w:w="567" w:type="dxa"/>
            <w:tcBorders>
              <w:top w:val="nil"/>
              <w:left w:val="nil"/>
              <w:bottom w:val="single" w:sz="12" w:space="0" w:color="auto"/>
              <w:right w:val="single" w:sz="8" w:space="0" w:color="auto"/>
            </w:tcBorders>
            <w:shd w:val="clear" w:color="auto" w:fill="auto"/>
            <w:noWrap/>
            <w:vAlign w:val="center"/>
            <w:hideMark/>
          </w:tcPr>
          <w:p w14:paraId="603B4810" w14:textId="77777777" w:rsidR="00AB3BEE" w:rsidRPr="0057063E" w:rsidRDefault="00AB3BEE" w:rsidP="00AE6773">
            <w:pPr>
              <w:spacing w:after="0" w:line="240" w:lineRule="auto"/>
              <w:jc w:val="center"/>
              <w:rPr>
                <w:rFonts w:ascii="Calibri" w:eastAsia="Times New Roman" w:hAnsi="Calibri" w:cs="Calibri"/>
                <w:color w:val="000000"/>
                <w:lang w:val="en-GB" w:eastAsia="sk-SK"/>
              </w:rPr>
            </w:pPr>
            <w:r w:rsidRPr="0057063E">
              <w:rPr>
                <w:rFonts w:ascii="Calibri" w:eastAsia="Times New Roman" w:hAnsi="Calibri" w:cs="Calibri"/>
                <w:color w:val="000000"/>
                <w:lang w:val="en-GB" w:eastAsia="sk-SK"/>
              </w:rPr>
              <w:t>0</w:t>
            </w:r>
          </w:p>
        </w:tc>
        <w:tc>
          <w:tcPr>
            <w:tcW w:w="851" w:type="dxa"/>
            <w:tcBorders>
              <w:top w:val="nil"/>
              <w:left w:val="nil"/>
              <w:bottom w:val="single" w:sz="12" w:space="0" w:color="auto"/>
              <w:right w:val="single" w:sz="8" w:space="0" w:color="auto"/>
            </w:tcBorders>
            <w:shd w:val="clear" w:color="auto" w:fill="auto"/>
            <w:noWrap/>
            <w:vAlign w:val="center"/>
            <w:hideMark/>
          </w:tcPr>
          <w:p w14:paraId="5D486C72" w14:textId="77777777" w:rsidR="00AB3BEE" w:rsidRPr="0057063E" w:rsidRDefault="00AB3BEE" w:rsidP="00AE6773">
            <w:pPr>
              <w:spacing w:after="0" w:line="240" w:lineRule="auto"/>
              <w:jc w:val="center"/>
              <w:rPr>
                <w:rFonts w:ascii="Calibri" w:eastAsia="Times New Roman" w:hAnsi="Calibri" w:cs="Calibri"/>
                <w:b/>
                <w:bCs/>
                <w:color w:val="000000"/>
                <w:lang w:val="en-GB" w:eastAsia="sk-SK"/>
              </w:rPr>
            </w:pPr>
            <w:r w:rsidRPr="0057063E">
              <w:rPr>
                <w:rFonts w:ascii="Calibri" w:eastAsia="Times New Roman" w:hAnsi="Calibri" w:cs="Calibri"/>
                <w:b/>
                <w:bCs/>
                <w:color w:val="000000"/>
                <w:lang w:val="en-GB" w:eastAsia="sk-SK"/>
              </w:rPr>
              <w:t>17</w:t>
            </w:r>
          </w:p>
        </w:tc>
      </w:tr>
    </w:tbl>
    <w:p w14:paraId="3267B300" w14:textId="77777777" w:rsidR="00AB3BEE" w:rsidRPr="0057063E" w:rsidRDefault="00AB3BEE" w:rsidP="00AB3BEE">
      <w:pPr>
        <w:jc w:val="both"/>
        <w:rPr>
          <w:b/>
          <w:bCs/>
          <w:lang w:val="en-GB"/>
        </w:rPr>
      </w:pPr>
    </w:p>
    <w:p w14:paraId="02BAF6A8" w14:textId="4BE4B886" w:rsidR="00AB3BEE" w:rsidRPr="0057063E" w:rsidRDefault="00F753CD" w:rsidP="00AB3BEE">
      <w:pPr>
        <w:jc w:val="both"/>
        <w:rPr>
          <w:lang w:val="en-GB"/>
        </w:rPr>
      </w:pPr>
      <w:r w:rsidRPr="0057063E">
        <w:rPr>
          <w:lang w:val="en-GB"/>
        </w:rPr>
        <w:lastRenderedPageBreak/>
        <w:t xml:space="preserve">If the number of grants </w:t>
      </w:r>
      <w:r w:rsidR="00C8314D">
        <w:rPr>
          <w:lang w:val="en-GB"/>
        </w:rPr>
        <w:t>at</w:t>
      </w:r>
      <w:r w:rsidRPr="0057063E">
        <w:rPr>
          <w:lang w:val="en-GB"/>
        </w:rPr>
        <w:t xml:space="preserve"> one of the units is not fulfilled, the grants will be allocated to another unit based on the decision of the evaluation committee at the university level.</w:t>
      </w:r>
    </w:p>
    <w:p w14:paraId="5995489F" w14:textId="518E6D08" w:rsidR="00AB3BEE" w:rsidRPr="0057063E" w:rsidRDefault="00AB3BEE" w:rsidP="00AB3BEE">
      <w:pPr>
        <w:jc w:val="both"/>
        <w:rPr>
          <w:b/>
          <w:bCs/>
          <w:lang w:val="en-GB"/>
        </w:rPr>
      </w:pPr>
      <w:r w:rsidRPr="0057063E">
        <w:rPr>
          <w:b/>
          <w:bCs/>
          <w:lang w:val="en-GB"/>
        </w:rPr>
        <w:t xml:space="preserve">4. </w:t>
      </w:r>
      <w:r w:rsidR="00F753CD" w:rsidRPr="0057063E">
        <w:rPr>
          <w:b/>
          <w:bCs/>
          <w:lang w:val="en-GB"/>
        </w:rPr>
        <w:t xml:space="preserve">Research activity </w:t>
      </w:r>
      <w:proofErr w:type="gramStart"/>
      <w:r w:rsidR="00F753CD" w:rsidRPr="0057063E">
        <w:rPr>
          <w:b/>
          <w:bCs/>
          <w:lang w:val="en-GB"/>
        </w:rPr>
        <w:t>A</w:t>
      </w:r>
      <w:proofErr w:type="gramEnd"/>
      <w:r w:rsidR="00F753CD" w:rsidRPr="0057063E">
        <w:rPr>
          <w:b/>
          <w:bCs/>
          <w:lang w:val="en-GB"/>
        </w:rPr>
        <w:t xml:space="preserve"> – doctoral </w:t>
      </w:r>
      <w:r w:rsidR="00C8314D">
        <w:rPr>
          <w:b/>
          <w:bCs/>
          <w:lang w:val="en-GB"/>
        </w:rPr>
        <w:t>projects</w:t>
      </w:r>
    </w:p>
    <w:p w14:paraId="5E599AEE" w14:textId="77777777" w:rsidR="00F753CD" w:rsidRPr="0057063E" w:rsidRDefault="00F753CD" w:rsidP="00AB3BEE">
      <w:pPr>
        <w:jc w:val="both"/>
        <w:rPr>
          <w:b/>
          <w:lang w:val="en-GB"/>
        </w:rPr>
      </w:pPr>
      <w:r w:rsidRPr="0057063E">
        <w:rPr>
          <w:b/>
          <w:lang w:val="en-GB"/>
        </w:rPr>
        <w:t>Eligible applicants</w:t>
      </w:r>
    </w:p>
    <w:p w14:paraId="2F488930" w14:textId="2FC22346" w:rsidR="00AB3BEE" w:rsidRPr="0057063E" w:rsidRDefault="00F753CD" w:rsidP="00AB3BEE">
      <w:pPr>
        <w:jc w:val="both"/>
        <w:rPr>
          <w:lang w:val="en-GB"/>
        </w:rPr>
      </w:pPr>
      <w:r w:rsidRPr="0057063E">
        <w:rPr>
          <w:lang w:val="en-GB"/>
        </w:rPr>
        <w:t xml:space="preserve">An eligible applicant for Research Activity A is exclusively a full-time doctoral student (internal doctoral student) </w:t>
      </w:r>
      <w:r w:rsidR="0073518A">
        <w:rPr>
          <w:lang w:val="en-GB"/>
        </w:rPr>
        <w:t>studying</w:t>
      </w:r>
      <w:r w:rsidRPr="0057063E">
        <w:rPr>
          <w:lang w:val="en-GB"/>
        </w:rPr>
        <w:t xml:space="preserve"> at one of the STU units in Bratislava. Grants will be awarded exclusively to students of full-time doctoral studies in the standard length of study, whose expected date of </w:t>
      </w:r>
      <w:r w:rsidR="0057063E" w:rsidRPr="0057063E">
        <w:rPr>
          <w:lang w:val="en-GB"/>
        </w:rPr>
        <w:t>defence</w:t>
      </w:r>
      <w:r w:rsidRPr="0057063E">
        <w:rPr>
          <w:lang w:val="en-GB"/>
        </w:rPr>
        <w:t xml:space="preserve"> of the dissertation does not precede the date of completion of the project implementation.</w:t>
      </w:r>
    </w:p>
    <w:p w14:paraId="31DC8AEC" w14:textId="5510B1A0" w:rsidR="00F753CD" w:rsidRPr="0057063E" w:rsidRDefault="00F753CD" w:rsidP="00AB3BEE">
      <w:pPr>
        <w:jc w:val="both"/>
        <w:rPr>
          <w:lang w:val="en-GB"/>
        </w:rPr>
      </w:pPr>
      <w:r w:rsidRPr="0057063E">
        <w:rPr>
          <w:lang w:val="en-GB"/>
        </w:rPr>
        <w:t>Research activity A should be based on the topic of the PhD student's dissertation with the aim of financially supporting and increasing the quality of the achieved scientific and artistic outputs of the dissertation.</w:t>
      </w:r>
      <w:r w:rsidR="0073518A">
        <w:rPr>
          <w:lang w:val="en-GB"/>
        </w:rPr>
        <w:t xml:space="preserve"> </w:t>
      </w:r>
      <w:r w:rsidR="0073518A" w:rsidRPr="0057063E">
        <w:rPr>
          <w:lang w:val="en-GB"/>
        </w:rPr>
        <w:t xml:space="preserve">The research activity must be of non-economic nature and </w:t>
      </w:r>
      <w:r w:rsidR="0073518A">
        <w:rPr>
          <w:lang w:val="en-GB"/>
        </w:rPr>
        <w:t xml:space="preserve">an </w:t>
      </w:r>
      <w:r w:rsidR="0073518A" w:rsidRPr="0057063E">
        <w:rPr>
          <w:lang w:val="en-GB"/>
        </w:rPr>
        <w:t>indirect state aid cannot be provided in connection with its solution.</w:t>
      </w:r>
    </w:p>
    <w:p w14:paraId="4DD53414" w14:textId="45FDBA30" w:rsidR="00AB3BEE" w:rsidRPr="0057063E" w:rsidRDefault="00F753CD" w:rsidP="00AB3BEE">
      <w:pPr>
        <w:jc w:val="both"/>
        <w:rPr>
          <w:b/>
          <w:bCs/>
          <w:lang w:val="en-GB"/>
        </w:rPr>
      </w:pPr>
      <w:r w:rsidRPr="0057063E">
        <w:rPr>
          <w:b/>
          <w:bCs/>
          <w:lang w:val="en-GB"/>
        </w:rPr>
        <w:t>Budget of the Research activity A</w:t>
      </w:r>
    </w:p>
    <w:p w14:paraId="073BC1FB" w14:textId="05B3B111" w:rsidR="00AB3BEE" w:rsidRPr="0057063E" w:rsidRDefault="00F753CD" w:rsidP="00AB3BEE">
      <w:pPr>
        <w:jc w:val="both"/>
        <w:rPr>
          <w:lang w:val="en-GB"/>
        </w:rPr>
      </w:pPr>
      <w:r w:rsidRPr="0057063E">
        <w:rPr>
          <w:lang w:val="en-GB"/>
        </w:rPr>
        <w:t xml:space="preserve">The budget for Research Activity A is a maximum of </w:t>
      </w:r>
      <w:r w:rsidR="00AB3BEE" w:rsidRPr="0057063E">
        <w:rPr>
          <w:lang w:val="en-GB"/>
        </w:rPr>
        <w:t xml:space="preserve">6 000 EUR. </w:t>
      </w:r>
    </w:p>
    <w:p w14:paraId="08D4C78E" w14:textId="77777777" w:rsidR="00F753CD" w:rsidRPr="0057063E" w:rsidRDefault="00F753CD" w:rsidP="00AB3BEE">
      <w:pPr>
        <w:jc w:val="both"/>
        <w:rPr>
          <w:b/>
          <w:bCs/>
          <w:lang w:val="en-GB"/>
        </w:rPr>
      </w:pPr>
      <w:r w:rsidRPr="0057063E">
        <w:rPr>
          <w:b/>
          <w:bCs/>
          <w:lang w:val="en-GB"/>
        </w:rPr>
        <w:t>Measurable indicators of the project</w:t>
      </w:r>
    </w:p>
    <w:p w14:paraId="1DB6624F" w14:textId="58140FAE" w:rsidR="00AB3BEE" w:rsidRPr="0057063E" w:rsidRDefault="00F753CD" w:rsidP="00AB3BEE">
      <w:pPr>
        <w:spacing w:after="0"/>
        <w:jc w:val="both"/>
        <w:rPr>
          <w:lang w:val="en-GB"/>
        </w:rPr>
      </w:pPr>
      <w:r w:rsidRPr="0057063E">
        <w:rPr>
          <w:lang w:val="en-GB"/>
        </w:rPr>
        <w:t xml:space="preserve">Mandatory measurable project indicators for Research </w:t>
      </w:r>
      <w:r w:rsidR="00886B8B">
        <w:rPr>
          <w:lang w:val="en-GB"/>
        </w:rPr>
        <w:t>a</w:t>
      </w:r>
      <w:r w:rsidRPr="0057063E">
        <w:rPr>
          <w:lang w:val="en-GB"/>
        </w:rPr>
        <w:t>ctivity type A are one active participation in a foreign conference for each started year of the project, documented by publication in an indexed collection</w:t>
      </w:r>
      <w:r w:rsidR="00886B8B">
        <w:rPr>
          <w:lang w:val="en-GB"/>
        </w:rPr>
        <w:t>,</w:t>
      </w:r>
      <w:r w:rsidRPr="0057063E">
        <w:rPr>
          <w:lang w:val="en-GB"/>
        </w:rPr>
        <w:t xml:space="preserve"> one article </w:t>
      </w:r>
      <w:r w:rsidR="005D174A">
        <w:rPr>
          <w:lang w:val="en-GB"/>
        </w:rPr>
        <w:t xml:space="preserve">in the </w:t>
      </w:r>
      <w:proofErr w:type="spellStart"/>
      <w:r w:rsidR="005D174A">
        <w:rPr>
          <w:lang w:val="en-GB"/>
        </w:rPr>
        <w:t>Wo</w:t>
      </w:r>
      <w:r w:rsidR="00886B8B">
        <w:rPr>
          <w:lang w:val="en-GB"/>
        </w:rPr>
        <w:t>S</w:t>
      </w:r>
      <w:proofErr w:type="spellEnd"/>
      <w:r w:rsidR="00886B8B">
        <w:rPr>
          <w:lang w:val="en-GB"/>
        </w:rPr>
        <w:t>/Scopus database (</w:t>
      </w:r>
      <w:r w:rsidR="00886B8B" w:rsidRPr="00886B8B">
        <w:rPr>
          <w:lang w:val="en-GB"/>
        </w:rPr>
        <w:t xml:space="preserve">accepted </w:t>
      </w:r>
      <w:r w:rsidR="00460311">
        <w:rPr>
          <w:lang w:val="en-GB"/>
        </w:rPr>
        <w:t>for</w:t>
      </w:r>
      <w:r w:rsidR="00886B8B" w:rsidRPr="00886B8B">
        <w:rPr>
          <w:lang w:val="en-GB"/>
        </w:rPr>
        <w:t xml:space="preserve"> the review procedure</w:t>
      </w:r>
      <w:r w:rsidR="00886B8B">
        <w:rPr>
          <w:lang w:val="en-GB"/>
        </w:rPr>
        <w:t xml:space="preserve">) during the first year and </w:t>
      </w:r>
      <w:r w:rsidRPr="0057063E">
        <w:rPr>
          <w:lang w:val="en-GB"/>
        </w:rPr>
        <w:t>at least</w:t>
      </w:r>
      <w:r w:rsidR="00886B8B">
        <w:rPr>
          <w:lang w:val="en-GB"/>
        </w:rPr>
        <w:t xml:space="preserve"> one article</w:t>
      </w:r>
      <w:r w:rsidRPr="0057063E">
        <w:rPr>
          <w:lang w:val="en-GB"/>
        </w:rPr>
        <w:t xml:space="preserve"> in Q3 </w:t>
      </w:r>
      <w:r w:rsidR="00886B8B">
        <w:rPr>
          <w:lang w:val="en-GB"/>
        </w:rPr>
        <w:t>(</w:t>
      </w:r>
      <w:r w:rsidR="00886B8B" w:rsidRPr="00886B8B">
        <w:rPr>
          <w:lang w:val="en-GB"/>
        </w:rPr>
        <w:t xml:space="preserve">accepted </w:t>
      </w:r>
      <w:r w:rsidR="00460311">
        <w:rPr>
          <w:lang w:val="en-GB"/>
        </w:rPr>
        <w:t>for</w:t>
      </w:r>
      <w:r w:rsidR="00886B8B" w:rsidRPr="00886B8B">
        <w:rPr>
          <w:lang w:val="en-GB"/>
        </w:rPr>
        <w:t xml:space="preserve"> the review procedure</w:t>
      </w:r>
      <w:r w:rsidR="00886B8B">
        <w:rPr>
          <w:lang w:val="en-GB"/>
        </w:rPr>
        <w:t xml:space="preserve">) </w:t>
      </w:r>
      <w:r w:rsidRPr="0057063E">
        <w:rPr>
          <w:lang w:val="en-GB"/>
        </w:rPr>
        <w:t xml:space="preserve">for </w:t>
      </w:r>
      <w:r w:rsidR="00886B8B">
        <w:rPr>
          <w:lang w:val="en-GB"/>
        </w:rPr>
        <w:t>the second</w:t>
      </w:r>
      <w:r w:rsidRPr="0057063E">
        <w:rPr>
          <w:lang w:val="en-GB"/>
        </w:rPr>
        <w:t xml:space="preserve"> year of the project. </w:t>
      </w:r>
      <w:r w:rsidR="00AB711B" w:rsidRPr="0057063E">
        <w:rPr>
          <w:lang w:val="en-GB"/>
        </w:rPr>
        <w:t xml:space="preserve">A submitted final project report, which will contain evaluation of the solution, achieved results and identification of project outputs, is </w:t>
      </w:r>
      <w:r w:rsidRPr="0057063E">
        <w:rPr>
          <w:lang w:val="en-GB"/>
        </w:rPr>
        <w:t xml:space="preserve">a mandatory measurable indicator </w:t>
      </w:r>
      <w:r w:rsidR="00AB711B" w:rsidRPr="0057063E">
        <w:rPr>
          <w:lang w:val="en-GB"/>
        </w:rPr>
        <w:t>as well.</w:t>
      </w:r>
    </w:p>
    <w:p w14:paraId="0480AC4D" w14:textId="77777777" w:rsidR="00F753CD" w:rsidRPr="0057063E" w:rsidRDefault="00F753CD" w:rsidP="00AB3BEE">
      <w:pPr>
        <w:spacing w:after="0"/>
        <w:jc w:val="both"/>
        <w:rPr>
          <w:lang w:val="en-GB"/>
        </w:rPr>
      </w:pPr>
    </w:p>
    <w:p w14:paraId="78E63DB9" w14:textId="1B21532E" w:rsidR="00AB3BEE" w:rsidRPr="0057063E" w:rsidRDefault="00AB3BEE" w:rsidP="00AB3BEE">
      <w:pPr>
        <w:jc w:val="both"/>
        <w:rPr>
          <w:b/>
          <w:bCs/>
          <w:lang w:val="en-GB"/>
        </w:rPr>
      </w:pPr>
      <w:r w:rsidRPr="0057063E">
        <w:rPr>
          <w:b/>
          <w:bCs/>
          <w:lang w:val="en-GB"/>
        </w:rPr>
        <w:t xml:space="preserve">5. </w:t>
      </w:r>
      <w:r w:rsidR="00AB711B" w:rsidRPr="0057063E">
        <w:rPr>
          <w:b/>
          <w:bCs/>
          <w:lang w:val="en-GB"/>
        </w:rPr>
        <w:t xml:space="preserve">Research activity </w:t>
      </w:r>
      <w:r w:rsidRPr="0057063E">
        <w:rPr>
          <w:b/>
          <w:bCs/>
          <w:lang w:val="en-GB"/>
        </w:rPr>
        <w:t xml:space="preserve">B – </w:t>
      </w:r>
      <w:r w:rsidR="00AB711B" w:rsidRPr="0057063E">
        <w:rPr>
          <w:b/>
          <w:bCs/>
          <w:lang w:val="en-GB"/>
        </w:rPr>
        <w:t xml:space="preserve">postdoctoral </w:t>
      </w:r>
      <w:r w:rsidR="00C8314D">
        <w:rPr>
          <w:b/>
          <w:bCs/>
          <w:lang w:val="en-GB"/>
        </w:rPr>
        <w:t>projects</w:t>
      </w:r>
    </w:p>
    <w:p w14:paraId="47214371" w14:textId="77777777" w:rsidR="00AB711B" w:rsidRPr="0057063E" w:rsidRDefault="00AB711B" w:rsidP="00AB711B">
      <w:pPr>
        <w:jc w:val="both"/>
        <w:rPr>
          <w:b/>
          <w:lang w:val="en-GB"/>
        </w:rPr>
      </w:pPr>
      <w:r w:rsidRPr="0057063E">
        <w:rPr>
          <w:b/>
          <w:lang w:val="en-GB"/>
        </w:rPr>
        <w:t>Eligible applicants</w:t>
      </w:r>
    </w:p>
    <w:p w14:paraId="39F9D706" w14:textId="1EE23B41" w:rsidR="00AB711B" w:rsidRPr="0057063E" w:rsidRDefault="00AB711B" w:rsidP="00AB3BEE">
      <w:pPr>
        <w:jc w:val="both"/>
        <w:rPr>
          <w:lang w:val="en-GB"/>
        </w:rPr>
      </w:pPr>
      <w:r w:rsidRPr="0057063E">
        <w:rPr>
          <w:lang w:val="en-GB"/>
        </w:rPr>
        <w:t xml:space="preserve">An eligible applicant for Research Activity B is a young researcher working at one of the STU units. Grants will be awarded exclusively to </w:t>
      </w:r>
      <w:r w:rsidR="0006013B">
        <w:rPr>
          <w:lang w:val="en-GB"/>
        </w:rPr>
        <w:t xml:space="preserve">teaching or research staff who </w:t>
      </w:r>
      <w:r w:rsidRPr="0057063E">
        <w:rPr>
          <w:lang w:val="en-GB"/>
        </w:rPr>
        <w:t xml:space="preserve">have an employment contract at </w:t>
      </w:r>
      <w:r w:rsidR="00460311">
        <w:rPr>
          <w:lang w:val="en-GB"/>
        </w:rPr>
        <w:t xml:space="preserve">the </w:t>
      </w:r>
      <w:r w:rsidRPr="0057063E">
        <w:rPr>
          <w:lang w:val="en-GB"/>
        </w:rPr>
        <w:t>STU for the esta</w:t>
      </w:r>
      <w:r w:rsidR="00460311">
        <w:rPr>
          <w:lang w:val="en-GB"/>
        </w:rPr>
        <w:t xml:space="preserve">blished weekly working hours </w:t>
      </w:r>
      <w:r w:rsidRPr="0057063E">
        <w:rPr>
          <w:lang w:val="en-GB"/>
        </w:rPr>
        <w:t>for the</w:t>
      </w:r>
      <w:r w:rsidR="00460311">
        <w:rPr>
          <w:lang w:val="en-GB"/>
        </w:rPr>
        <w:t xml:space="preserve"> whole</w:t>
      </w:r>
      <w:r w:rsidRPr="0057063E">
        <w:rPr>
          <w:lang w:val="en-GB"/>
        </w:rPr>
        <w:t xml:space="preserve"> duration of the project implementation, and at the same time, on the day of awarding the postdoctoral project, they have not yet reached the period of 5 years since obtaining the PhD degree. At the same time,</w:t>
      </w:r>
      <w:r w:rsidR="0006013B">
        <w:rPr>
          <w:lang w:val="en-GB"/>
        </w:rPr>
        <w:t xml:space="preserve"> it is not possible to provide the</w:t>
      </w:r>
      <w:r w:rsidRPr="0057063E">
        <w:rPr>
          <w:lang w:val="en-GB"/>
        </w:rPr>
        <w:t xml:space="preserve"> postdoctoral grant to other employees or students of third-level university study programs.</w:t>
      </w:r>
    </w:p>
    <w:p w14:paraId="50D7E764" w14:textId="1E598E8E" w:rsidR="00AB711B" w:rsidRPr="0057063E" w:rsidRDefault="00AB711B" w:rsidP="00AB3BEE">
      <w:pPr>
        <w:jc w:val="both"/>
        <w:rPr>
          <w:lang w:val="en-GB"/>
        </w:rPr>
      </w:pPr>
      <w:r w:rsidRPr="0057063E">
        <w:rPr>
          <w:lang w:val="en-GB"/>
        </w:rPr>
        <w:t xml:space="preserve">Research activity B should follow up on the worker's previous research with the aim of financially supporting and increasing the quality of achieved scientific outputs. The research activity must be of non-economic nature and </w:t>
      </w:r>
      <w:r w:rsidR="0073518A">
        <w:rPr>
          <w:lang w:val="en-GB"/>
        </w:rPr>
        <w:t xml:space="preserve">an </w:t>
      </w:r>
      <w:r w:rsidRPr="0057063E">
        <w:rPr>
          <w:lang w:val="en-GB"/>
        </w:rPr>
        <w:t>indirect state aid cannot be provided in connection with its solution.</w:t>
      </w:r>
    </w:p>
    <w:p w14:paraId="036B3D4F" w14:textId="564FDCD6" w:rsidR="00AB3BEE" w:rsidRPr="0057063E" w:rsidRDefault="00AB711B" w:rsidP="00AB3BEE">
      <w:pPr>
        <w:jc w:val="both"/>
        <w:rPr>
          <w:b/>
          <w:bCs/>
          <w:lang w:val="en-GB"/>
        </w:rPr>
      </w:pPr>
      <w:r w:rsidRPr="0057063E">
        <w:rPr>
          <w:b/>
          <w:bCs/>
          <w:lang w:val="en-GB"/>
        </w:rPr>
        <w:t xml:space="preserve">Budget of the Research activity </w:t>
      </w:r>
      <w:r w:rsidR="00AB3BEE" w:rsidRPr="0057063E">
        <w:rPr>
          <w:b/>
          <w:bCs/>
          <w:lang w:val="en-GB"/>
        </w:rPr>
        <w:t>B</w:t>
      </w:r>
    </w:p>
    <w:p w14:paraId="441BADB5" w14:textId="565AC2CB" w:rsidR="00AB3BEE" w:rsidRPr="0057063E" w:rsidRDefault="00AB711B" w:rsidP="00AB3BEE">
      <w:pPr>
        <w:jc w:val="both"/>
        <w:rPr>
          <w:lang w:val="en-GB"/>
        </w:rPr>
      </w:pPr>
      <w:r w:rsidRPr="0057063E">
        <w:rPr>
          <w:lang w:val="en-GB"/>
        </w:rPr>
        <w:t>Th</w:t>
      </w:r>
      <w:r w:rsidR="0006013B">
        <w:rPr>
          <w:lang w:val="en-GB"/>
        </w:rPr>
        <w:t>e budget for Research Activity B</w:t>
      </w:r>
      <w:r w:rsidRPr="0057063E">
        <w:rPr>
          <w:lang w:val="en-GB"/>
        </w:rPr>
        <w:t xml:space="preserve"> is a maximum of </w:t>
      </w:r>
      <w:r w:rsidR="00AB3BEE" w:rsidRPr="0057063E">
        <w:rPr>
          <w:lang w:val="en-GB"/>
        </w:rPr>
        <w:t xml:space="preserve">12 000 EUR. </w:t>
      </w:r>
    </w:p>
    <w:p w14:paraId="74E3C075" w14:textId="3E1C5A55" w:rsidR="00AB3BEE" w:rsidRPr="0057063E" w:rsidRDefault="00AB711B" w:rsidP="00AB3BEE">
      <w:pPr>
        <w:jc w:val="both"/>
        <w:rPr>
          <w:b/>
          <w:bCs/>
          <w:lang w:val="en-GB"/>
        </w:rPr>
      </w:pPr>
      <w:r w:rsidRPr="0057063E">
        <w:rPr>
          <w:b/>
          <w:bCs/>
          <w:lang w:val="en-GB"/>
        </w:rPr>
        <w:lastRenderedPageBreak/>
        <w:t>Measurable indicators of the project</w:t>
      </w:r>
      <w:r w:rsidR="00AB3BEE" w:rsidRPr="0057063E">
        <w:rPr>
          <w:b/>
          <w:bCs/>
          <w:lang w:val="en-GB"/>
        </w:rPr>
        <w:t>:</w:t>
      </w:r>
    </w:p>
    <w:p w14:paraId="280704AE" w14:textId="1488285F" w:rsidR="00AB3BEE" w:rsidRPr="0057063E" w:rsidRDefault="00AB711B" w:rsidP="0019210C">
      <w:pPr>
        <w:spacing w:after="0"/>
        <w:jc w:val="both"/>
        <w:rPr>
          <w:lang w:val="en-GB"/>
        </w:rPr>
      </w:pPr>
      <w:r w:rsidRPr="0057063E">
        <w:rPr>
          <w:lang w:val="en-GB"/>
        </w:rPr>
        <w:t>Mandatory measurable project indicat</w:t>
      </w:r>
      <w:r w:rsidR="00484B08">
        <w:rPr>
          <w:lang w:val="en-GB"/>
        </w:rPr>
        <w:t>ors for Research Activity type B</w:t>
      </w:r>
      <w:r w:rsidRPr="0057063E">
        <w:rPr>
          <w:lang w:val="en-GB"/>
        </w:rPr>
        <w:t xml:space="preserve"> are one active participation in a foreign conference for each started year of the project, documented by publication in an indexed collection and one article at least in Q3 </w:t>
      </w:r>
      <w:r w:rsidR="00460311">
        <w:rPr>
          <w:lang w:val="en-GB"/>
        </w:rPr>
        <w:t>(</w:t>
      </w:r>
      <w:r w:rsidR="00460311" w:rsidRPr="00886B8B">
        <w:rPr>
          <w:lang w:val="en-GB"/>
        </w:rPr>
        <w:t xml:space="preserve">accepted </w:t>
      </w:r>
      <w:r w:rsidR="00460311">
        <w:rPr>
          <w:lang w:val="en-GB"/>
        </w:rPr>
        <w:t>for</w:t>
      </w:r>
      <w:r w:rsidR="00460311" w:rsidRPr="00886B8B">
        <w:rPr>
          <w:lang w:val="en-GB"/>
        </w:rPr>
        <w:t xml:space="preserve"> the review procedure</w:t>
      </w:r>
      <w:r w:rsidR="00460311">
        <w:rPr>
          <w:lang w:val="en-GB"/>
        </w:rPr>
        <w:t xml:space="preserve">) </w:t>
      </w:r>
      <w:r w:rsidRPr="0057063E">
        <w:rPr>
          <w:lang w:val="en-GB"/>
        </w:rPr>
        <w:t>for each started year of the project.</w:t>
      </w:r>
      <w:r w:rsidR="00AB3BEE" w:rsidRPr="0057063E">
        <w:rPr>
          <w:lang w:val="en-GB"/>
        </w:rPr>
        <w:t xml:space="preserve"> </w:t>
      </w:r>
      <w:r w:rsidRPr="0057063E">
        <w:rPr>
          <w:lang w:val="en-GB"/>
        </w:rPr>
        <w:t xml:space="preserve">At the same time, a mandatory measurable indicator is </w:t>
      </w:r>
      <w:r w:rsidR="00484B08">
        <w:rPr>
          <w:lang w:val="en-GB"/>
        </w:rPr>
        <w:t>a</w:t>
      </w:r>
      <w:r w:rsidRPr="0057063E">
        <w:rPr>
          <w:lang w:val="en-GB"/>
        </w:rPr>
        <w:t xml:space="preserve"> </w:t>
      </w:r>
      <w:r w:rsidR="00460311">
        <w:rPr>
          <w:lang w:val="en-GB"/>
        </w:rPr>
        <w:t>participation</w:t>
      </w:r>
      <w:r w:rsidRPr="0057063E">
        <w:rPr>
          <w:lang w:val="en-GB"/>
        </w:rPr>
        <w:t xml:space="preserve"> </w:t>
      </w:r>
      <w:r w:rsidR="00460311">
        <w:rPr>
          <w:lang w:val="en-GB"/>
        </w:rPr>
        <w:t>in</w:t>
      </w:r>
      <w:r w:rsidR="00484B08">
        <w:rPr>
          <w:lang w:val="en-GB"/>
        </w:rPr>
        <w:t xml:space="preserve"> the</w:t>
      </w:r>
      <w:r w:rsidRPr="0057063E">
        <w:rPr>
          <w:lang w:val="en-GB"/>
        </w:rPr>
        <w:t xml:space="preserve"> project in one of the schemes of VEGA, KEGA, APVV, Operational Program Slovakia, or one of the foreign calls for submitting project applications, where the successful applicant will be either the </w:t>
      </w:r>
      <w:r w:rsidR="00443656" w:rsidRPr="0057063E">
        <w:rPr>
          <w:lang w:val="en-GB"/>
        </w:rPr>
        <w:t>principal</w:t>
      </w:r>
      <w:r w:rsidRPr="0057063E">
        <w:rPr>
          <w:lang w:val="en-GB"/>
        </w:rPr>
        <w:t xml:space="preserve"> investigator or co-investigato</w:t>
      </w:r>
      <w:r w:rsidR="00443656" w:rsidRPr="0057063E">
        <w:rPr>
          <w:lang w:val="en-GB"/>
        </w:rPr>
        <w:t>r. A submitted final project report, which will contain evaluation of the solution, achieved results and identification of project outputs, is a mandatory measurable indicator as well.</w:t>
      </w:r>
    </w:p>
    <w:p w14:paraId="536F6ABE" w14:textId="77777777" w:rsidR="0019210C" w:rsidRPr="0057063E" w:rsidRDefault="0019210C" w:rsidP="0019210C">
      <w:pPr>
        <w:spacing w:after="0"/>
        <w:jc w:val="both"/>
        <w:rPr>
          <w:lang w:val="en-GB"/>
        </w:rPr>
      </w:pPr>
    </w:p>
    <w:p w14:paraId="304B4780" w14:textId="04236628" w:rsidR="00AB3BEE" w:rsidRPr="0057063E" w:rsidRDefault="00AB3BEE" w:rsidP="00AB3BEE">
      <w:pPr>
        <w:jc w:val="both"/>
        <w:rPr>
          <w:b/>
          <w:bCs/>
          <w:lang w:val="en-GB"/>
        </w:rPr>
      </w:pPr>
      <w:r w:rsidRPr="0057063E">
        <w:rPr>
          <w:b/>
          <w:bCs/>
          <w:lang w:val="en-GB"/>
        </w:rPr>
        <w:t xml:space="preserve">6. </w:t>
      </w:r>
      <w:r w:rsidR="00443656" w:rsidRPr="0057063E">
        <w:rPr>
          <w:b/>
          <w:bCs/>
          <w:lang w:val="en-GB"/>
        </w:rPr>
        <w:t>Eligible costs</w:t>
      </w:r>
    </w:p>
    <w:p w14:paraId="5302CD7E" w14:textId="4B02DB31" w:rsidR="00AB3BEE" w:rsidRPr="0057063E" w:rsidRDefault="00443656" w:rsidP="00AB3BEE">
      <w:pPr>
        <w:jc w:val="both"/>
        <w:rPr>
          <w:lang w:val="en-GB"/>
        </w:rPr>
      </w:pPr>
      <w:r w:rsidRPr="0057063E">
        <w:rPr>
          <w:lang w:val="en-GB"/>
        </w:rPr>
        <w:t>Eligible costs are</w:t>
      </w:r>
      <w:r w:rsidR="00AB3BEE" w:rsidRPr="0057063E">
        <w:rPr>
          <w:lang w:val="en-GB"/>
        </w:rPr>
        <w:t>:</w:t>
      </w:r>
    </w:p>
    <w:p w14:paraId="2D924C5E" w14:textId="391162BC" w:rsidR="00AB3BEE" w:rsidRPr="0057063E" w:rsidRDefault="00AB3BEE" w:rsidP="00AB3BEE">
      <w:pPr>
        <w:spacing w:after="0"/>
        <w:jc w:val="both"/>
        <w:rPr>
          <w:i/>
          <w:iCs/>
          <w:lang w:val="en-GB"/>
        </w:rPr>
      </w:pPr>
      <w:r w:rsidRPr="0057063E">
        <w:rPr>
          <w:i/>
          <w:iCs/>
          <w:lang w:val="en-GB"/>
        </w:rPr>
        <w:t xml:space="preserve">a) </w:t>
      </w:r>
      <w:r w:rsidR="00443656" w:rsidRPr="0057063E">
        <w:rPr>
          <w:i/>
          <w:iCs/>
          <w:lang w:val="en-GB"/>
        </w:rPr>
        <w:t>Travel reimbursement of the grant holder</w:t>
      </w:r>
    </w:p>
    <w:p w14:paraId="608873B6" w14:textId="36A4A5A4" w:rsidR="00AB3BEE" w:rsidRPr="0057063E" w:rsidRDefault="00AB3BEE" w:rsidP="00AB3BEE">
      <w:pPr>
        <w:spacing w:after="0"/>
        <w:jc w:val="both"/>
        <w:rPr>
          <w:i/>
          <w:iCs/>
          <w:lang w:val="en-GB"/>
        </w:rPr>
      </w:pPr>
      <w:r w:rsidRPr="0057063E">
        <w:rPr>
          <w:i/>
          <w:iCs/>
          <w:lang w:val="en-GB"/>
        </w:rPr>
        <w:t xml:space="preserve">b) </w:t>
      </w:r>
      <w:r w:rsidR="00443656" w:rsidRPr="0057063E">
        <w:rPr>
          <w:i/>
          <w:iCs/>
          <w:lang w:val="en-GB"/>
        </w:rPr>
        <w:t>Consumables, other goods and services necessary for the implementation of the project</w:t>
      </w:r>
    </w:p>
    <w:p w14:paraId="6DCBE47B" w14:textId="3F1BC583" w:rsidR="00AB3BEE" w:rsidRPr="0057063E" w:rsidRDefault="00AB3BEE" w:rsidP="00AB3BEE">
      <w:pPr>
        <w:spacing w:after="0"/>
        <w:jc w:val="both"/>
        <w:rPr>
          <w:i/>
          <w:iCs/>
          <w:lang w:val="en-GB"/>
        </w:rPr>
      </w:pPr>
      <w:r w:rsidRPr="0057063E">
        <w:rPr>
          <w:i/>
          <w:iCs/>
          <w:lang w:val="en-GB"/>
        </w:rPr>
        <w:t xml:space="preserve">c) </w:t>
      </w:r>
      <w:r w:rsidR="00443656" w:rsidRPr="0057063E">
        <w:rPr>
          <w:i/>
          <w:iCs/>
          <w:lang w:val="en-GB"/>
        </w:rPr>
        <w:t>Devices and equipment, the entry price of which is not higher than 1 700 EUR incl. VAT</w:t>
      </w:r>
    </w:p>
    <w:p w14:paraId="42093AF2" w14:textId="51522B8A" w:rsidR="00AB3BEE" w:rsidRPr="0057063E" w:rsidRDefault="00AB3BEE" w:rsidP="00AB3BEE">
      <w:pPr>
        <w:spacing w:after="0"/>
        <w:jc w:val="both"/>
        <w:rPr>
          <w:i/>
          <w:iCs/>
          <w:lang w:val="en-GB"/>
        </w:rPr>
      </w:pPr>
      <w:r w:rsidRPr="0057063E">
        <w:rPr>
          <w:i/>
          <w:iCs/>
          <w:lang w:val="en-GB"/>
        </w:rPr>
        <w:t xml:space="preserve">d) </w:t>
      </w:r>
      <w:r w:rsidR="00443656" w:rsidRPr="0057063E">
        <w:rPr>
          <w:i/>
          <w:iCs/>
          <w:lang w:val="en-GB"/>
        </w:rPr>
        <w:t>Software, intellectual property rights, the entry price of which is not higher than 2 400 EUR incl. VAT</w:t>
      </w:r>
    </w:p>
    <w:p w14:paraId="77271DEB" w14:textId="57E37CBD" w:rsidR="00AB3BEE" w:rsidRPr="0057063E" w:rsidRDefault="00AB3BEE" w:rsidP="00AB3BEE">
      <w:pPr>
        <w:jc w:val="both"/>
        <w:rPr>
          <w:i/>
          <w:iCs/>
          <w:lang w:val="en-GB"/>
        </w:rPr>
      </w:pPr>
      <w:r w:rsidRPr="0057063E">
        <w:rPr>
          <w:i/>
          <w:iCs/>
          <w:lang w:val="en-GB"/>
        </w:rPr>
        <w:t xml:space="preserve">e) </w:t>
      </w:r>
      <w:r w:rsidR="00443656" w:rsidRPr="0057063E">
        <w:rPr>
          <w:i/>
          <w:lang w:val="en-GB"/>
        </w:rPr>
        <w:t>VAT</w:t>
      </w:r>
    </w:p>
    <w:p w14:paraId="32B3AF91" w14:textId="24002FAC" w:rsidR="00AB3BEE" w:rsidRPr="0057063E" w:rsidRDefault="00AB3BEE" w:rsidP="00AB3BEE">
      <w:pPr>
        <w:jc w:val="both"/>
        <w:rPr>
          <w:b/>
          <w:lang w:val="en-GB"/>
        </w:rPr>
      </w:pPr>
      <w:r w:rsidRPr="0057063E">
        <w:rPr>
          <w:b/>
          <w:lang w:val="en-GB"/>
        </w:rPr>
        <w:t xml:space="preserve">7. </w:t>
      </w:r>
      <w:r w:rsidR="00443656" w:rsidRPr="0057063E">
        <w:rPr>
          <w:b/>
          <w:lang w:val="en-GB"/>
        </w:rPr>
        <w:t>Cost eligibility conditions</w:t>
      </w:r>
    </w:p>
    <w:p w14:paraId="5885A0D9" w14:textId="77777777" w:rsidR="00443656" w:rsidRPr="0057063E" w:rsidRDefault="00443656" w:rsidP="00443656">
      <w:pPr>
        <w:jc w:val="both"/>
        <w:rPr>
          <w:lang w:val="en-GB"/>
        </w:rPr>
      </w:pPr>
      <w:r w:rsidRPr="0057063E">
        <w:rPr>
          <w:lang w:val="en-GB"/>
        </w:rPr>
        <w:t>Project expenses cannot be subject to double financing. This means that a successful grant applicant cannot finance the same project expenses at the same time with several forms of support from public sources, sources of the European Union or other instruments of financial assistance provided by the Slovak Republic.</w:t>
      </w:r>
    </w:p>
    <w:p w14:paraId="19789B99" w14:textId="77777777" w:rsidR="00443656" w:rsidRPr="0057063E" w:rsidRDefault="00443656" w:rsidP="00443656">
      <w:pPr>
        <w:jc w:val="both"/>
        <w:rPr>
          <w:lang w:val="en-GB"/>
        </w:rPr>
      </w:pPr>
      <w:r w:rsidRPr="0057063E">
        <w:rPr>
          <w:lang w:val="en-GB"/>
        </w:rPr>
        <w:t>The activities defined in the submitted application, through which the applicant achieves the results of the project, cannot be financed from the funds of this call and simultaneously from other public sources, if such financing would constitute double financing.</w:t>
      </w:r>
    </w:p>
    <w:p w14:paraId="42F5EC3D" w14:textId="77777777" w:rsidR="00443656" w:rsidRPr="0057063E" w:rsidRDefault="00443656" w:rsidP="00443656">
      <w:pPr>
        <w:jc w:val="both"/>
        <w:rPr>
          <w:lang w:val="en-GB"/>
        </w:rPr>
      </w:pPr>
      <w:r w:rsidRPr="0057063E">
        <w:rPr>
          <w:lang w:val="en-GB"/>
        </w:rPr>
        <w:t>In order to prevent double funding, the grant applicant cannot hold an R1 scholarship (call with code 09I03-03-V02), R2/R3/R4 scholarship (call with code 09I03-03-V04), or scholarships from the call to support researchers threatened by the conflict in Ukraine (call with code 09I03-03-V01).</w:t>
      </w:r>
    </w:p>
    <w:p w14:paraId="1AD0B2F3" w14:textId="6F74A7B7" w:rsidR="00AB3BEE" w:rsidRPr="0057063E" w:rsidRDefault="00443656" w:rsidP="00443656">
      <w:pPr>
        <w:jc w:val="both"/>
        <w:rPr>
          <w:lang w:val="en-GB"/>
        </w:rPr>
      </w:pPr>
      <w:r w:rsidRPr="0057063E">
        <w:rPr>
          <w:lang w:val="en-GB"/>
        </w:rPr>
        <w:t>Expenses that do not fall under the eligible expenses listed above are ineligible.</w:t>
      </w:r>
    </w:p>
    <w:p w14:paraId="536DDD55" w14:textId="65B9EFDD" w:rsidR="00AB3BEE" w:rsidRPr="0057063E" w:rsidRDefault="00AB3BEE" w:rsidP="00AB3BEE">
      <w:pPr>
        <w:jc w:val="both"/>
        <w:rPr>
          <w:b/>
          <w:bCs/>
          <w:lang w:val="en-GB"/>
        </w:rPr>
      </w:pPr>
      <w:r w:rsidRPr="0057063E">
        <w:rPr>
          <w:b/>
          <w:bCs/>
          <w:lang w:val="en-GB"/>
        </w:rPr>
        <w:t xml:space="preserve">8. </w:t>
      </w:r>
      <w:r w:rsidR="00860BF4" w:rsidRPr="0057063E">
        <w:rPr>
          <w:b/>
          <w:bCs/>
          <w:lang w:val="en-GB"/>
        </w:rPr>
        <w:t>Project financing</w:t>
      </w:r>
    </w:p>
    <w:p w14:paraId="38D0E38A" w14:textId="6E85ECB0" w:rsidR="00AB3BEE" w:rsidRPr="0057063E" w:rsidRDefault="00736C7D" w:rsidP="00AB3BEE">
      <w:pPr>
        <w:jc w:val="both"/>
        <w:rPr>
          <w:lang w:val="en-GB"/>
        </w:rPr>
      </w:pPr>
      <w:r w:rsidRPr="0057063E">
        <w:rPr>
          <w:lang w:val="en-GB"/>
        </w:rPr>
        <w:t xml:space="preserve">The </w:t>
      </w:r>
      <w:r w:rsidR="009C0216">
        <w:rPr>
          <w:lang w:val="en-GB"/>
        </w:rPr>
        <w:t xml:space="preserve">full amount of the grant will be allocated to the </w:t>
      </w:r>
      <w:r w:rsidRPr="0057063E">
        <w:rPr>
          <w:lang w:val="en-GB"/>
        </w:rPr>
        <w:t xml:space="preserve">successful applicant in </w:t>
      </w:r>
      <w:r w:rsidR="009C0216">
        <w:rPr>
          <w:lang w:val="en-GB"/>
        </w:rPr>
        <w:t xml:space="preserve">the </w:t>
      </w:r>
      <w:proofErr w:type="spellStart"/>
      <w:r w:rsidRPr="0057063E">
        <w:rPr>
          <w:lang w:val="en-GB"/>
        </w:rPr>
        <w:t>Magion</w:t>
      </w:r>
      <w:proofErr w:type="spellEnd"/>
      <w:r w:rsidRPr="0057063E">
        <w:rPr>
          <w:lang w:val="en-GB"/>
        </w:rPr>
        <w:t xml:space="preserve"> IS. The applicant can subsequently draw funds from it in accordance with the terms of the grant</w:t>
      </w:r>
      <w:r w:rsidR="00AB3BEE" w:rsidRPr="0057063E">
        <w:rPr>
          <w:rStyle w:val="Odkaznapoznmkupodiarou"/>
          <w:lang w:val="en-GB"/>
        </w:rPr>
        <w:footnoteReference w:id="1"/>
      </w:r>
      <w:r w:rsidR="00AB3BEE" w:rsidRPr="0057063E">
        <w:rPr>
          <w:lang w:val="en-GB"/>
        </w:rPr>
        <w:t xml:space="preserve">. </w:t>
      </w:r>
      <w:r w:rsidRPr="0057063E">
        <w:rPr>
          <w:lang w:val="en-GB"/>
        </w:rPr>
        <w:t>In the event that funds from the RRP SR have not yet been provided to the STU by the project start date, the applicant will be provided with funds without delay as soon as STU receives them. The expected start of the project may be postponed based on the grant approval date by the RRP SR - ESG.</w:t>
      </w:r>
      <w:r w:rsidR="00AB3BEE" w:rsidRPr="0057063E">
        <w:rPr>
          <w:lang w:val="en-GB"/>
        </w:rPr>
        <w:t xml:space="preserve"> </w:t>
      </w:r>
    </w:p>
    <w:p w14:paraId="40B600EC" w14:textId="0CBE64E2" w:rsidR="00AB3BEE" w:rsidRPr="0057063E" w:rsidRDefault="00AB3BEE" w:rsidP="00AB3BEE">
      <w:pPr>
        <w:jc w:val="both"/>
        <w:rPr>
          <w:b/>
          <w:lang w:val="en-GB"/>
        </w:rPr>
      </w:pPr>
      <w:r w:rsidRPr="0057063E">
        <w:rPr>
          <w:b/>
          <w:lang w:val="en-GB"/>
        </w:rPr>
        <w:lastRenderedPageBreak/>
        <w:t xml:space="preserve">9. </w:t>
      </w:r>
      <w:r w:rsidR="0015358C" w:rsidRPr="0057063E">
        <w:rPr>
          <w:b/>
          <w:lang w:val="en-GB"/>
        </w:rPr>
        <w:t xml:space="preserve">Changes in the project during </w:t>
      </w:r>
      <w:r w:rsidR="00AE6773">
        <w:rPr>
          <w:b/>
          <w:lang w:val="en-GB"/>
        </w:rPr>
        <w:t>its implementation</w:t>
      </w:r>
    </w:p>
    <w:p w14:paraId="563825C7" w14:textId="4906C016" w:rsidR="0015358C" w:rsidRPr="0057063E" w:rsidRDefault="0015358C" w:rsidP="00AB3BEE">
      <w:pPr>
        <w:jc w:val="both"/>
        <w:rPr>
          <w:lang w:val="en-GB"/>
        </w:rPr>
      </w:pPr>
      <w:r w:rsidRPr="0057063E">
        <w:rPr>
          <w:lang w:val="en-GB"/>
        </w:rPr>
        <w:t xml:space="preserve">Changes in the project </w:t>
      </w:r>
      <w:r w:rsidR="002F1029">
        <w:rPr>
          <w:lang w:val="en-GB"/>
        </w:rPr>
        <w:t xml:space="preserve">implementation </w:t>
      </w:r>
      <w:r w:rsidRPr="0057063E">
        <w:rPr>
          <w:lang w:val="en-GB"/>
        </w:rPr>
        <w:t>and changes in the budget above 30</w:t>
      </w:r>
      <w:r w:rsidR="00031239">
        <w:rPr>
          <w:lang w:val="en-GB"/>
        </w:rPr>
        <w:t xml:space="preserve"> </w:t>
      </w:r>
      <w:r w:rsidRPr="0057063E">
        <w:rPr>
          <w:lang w:val="en-GB"/>
        </w:rPr>
        <w:t>% of a budget item are subject to approval by the vice-rector for science and research. Budget changes up to 30</w:t>
      </w:r>
      <w:r w:rsidR="00031239">
        <w:rPr>
          <w:lang w:val="en-GB"/>
        </w:rPr>
        <w:t xml:space="preserve"> </w:t>
      </w:r>
      <w:r w:rsidRPr="0057063E">
        <w:rPr>
          <w:lang w:val="en-GB"/>
        </w:rPr>
        <w:t xml:space="preserve">% are not subject to approval by the vice-rector for science </w:t>
      </w:r>
      <w:r w:rsidR="00A701F0">
        <w:rPr>
          <w:lang w:val="en-GB"/>
        </w:rPr>
        <w:t xml:space="preserve">and research, and the applicant </w:t>
      </w:r>
      <w:r w:rsidRPr="0057063E">
        <w:rPr>
          <w:lang w:val="en-GB"/>
        </w:rPr>
        <w:t>will state all deviations from the planned budget in the final project report. Changes in the project are administered by the relevant Department for Science and Research at the Faculty or the Institute of Management.</w:t>
      </w:r>
    </w:p>
    <w:p w14:paraId="4DE55489" w14:textId="14675E69" w:rsidR="00AB3BEE" w:rsidRPr="0057063E" w:rsidRDefault="00AB3BEE" w:rsidP="00AB3BEE">
      <w:pPr>
        <w:jc w:val="both"/>
        <w:rPr>
          <w:b/>
          <w:lang w:val="en-GB"/>
        </w:rPr>
      </w:pPr>
      <w:r w:rsidRPr="0057063E">
        <w:rPr>
          <w:b/>
          <w:lang w:val="en-GB"/>
        </w:rPr>
        <w:t xml:space="preserve">10. </w:t>
      </w:r>
      <w:r w:rsidR="0015358C" w:rsidRPr="0057063E">
        <w:rPr>
          <w:b/>
          <w:lang w:val="en-GB"/>
        </w:rPr>
        <w:t>Final report submission</w:t>
      </w:r>
    </w:p>
    <w:p w14:paraId="05E9D8C1" w14:textId="5E321335" w:rsidR="0015358C" w:rsidRPr="0057063E" w:rsidRDefault="0015358C" w:rsidP="00AB3BEE">
      <w:pPr>
        <w:jc w:val="both"/>
        <w:rPr>
          <w:rFonts w:ascii="Calibri" w:hAnsi="Calibri" w:cs="Calibri"/>
          <w:lang w:val="en-GB"/>
        </w:rPr>
      </w:pPr>
      <w:r w:rsidRPr="0057063E">
        <w:rPr>
          <w:rFonts w:ascii="Calibri" w:hAnsi="Calibri" w:cs="Calibri"/>
          <w:lang w:val="en-GB"/>
        </w:rPr>
        <w:t xml:space="preserve">The applicant awarded a grant for the solution of the project is obliged to submit a final report on the </w:t>
      </w:r>
      <w:r w:rsidR="005D1C70">
        <w:rPr>
          <w:rFonts w:ascii="Calibri" w:hAnsi="Calibri" w:cs="Calibri"/>
          <w:lang w:val="en-GB"/>
        </w:rPr>
        <w:t>implementation</w:t>
      </w:r>
      <w:r w:rsidRPr="0057063E">
        <w:rPr>
          <w:rFonts w:ascii="Calibri" w:hAnsi="Calibri" w:cs="Calibri"/>
          <w:lang w:val="en-GB"/>
        </w:rPr>
        <w:t xml:space="preserve"> of the project and a report on the financial </w:t>
      </w:r>
      <w:r w:rsidR="005D1C70">
        <w:rPr>
          <w:rFonts w:ascii="Calibri" w:hAnsi="Calibri" w:cs="Calibri"/>
          <w:lang w:val="en-GB"/>
        </w:rPr>
        <w:t>spending</w:t>
      </w:r>
      <w:r w:rsidRPr="0057063E">
        <w:rPr>
          <w:rFonts w:ascii="Calibri" w:hAnsi="Calibri" w:cs="Calibri"/>
          <w:lang w:val="en-GB"/>
        </w:rPr>
        <w:t xml:space="preserve"> of the allocated funds to his</w:t>
      </w:r>
      <w:r w:rsidR="005D1C70">
        <w:rPr>
          <w:rFonts w:ascii="Calibri" w:hAnsi="Calibri" w:cs="Calibri"/>
          <w:lang w:val="en-GB"/>
        </w:rPr>
        <w:t>/her</w:t>
      </w:r>
      <w:r w:rsidRPr="0057063E">
        <w:rPr>
          <w:rFonts w:ascii="Calibri" w:hAnsi="Calibri" w:cs="Calibri"/>
          <w:lang w:val="en-GB"/>
        </w:rPr>
        <w:t xml:space="preserve"> vice-dean for science and research within one month </w:t>
      </w:r>
      <w:r w:rsidR="005D1C70">
        <w:rPr>
          <w:rFonts w:ascii="Calibri" w:hAnsi="Calibri" w:cs="Calibri"/>
          <w:lang w:val="en-GB"/>
        </w:rPr>
        <w:t xml:space="preserve">from the </w:t>
      </w:r>
      <w:r w:rsidRPr="0057063E">
        <w:rPr>
          <w:rFonts w:ascii="Calibri" w:hAnsi="Calibri" w:cs="Calibri"/>
          <w:lang w:val="en-GB"/>
        </w:rPr>
        <w:t xml:space="preserve">project </w:t>
      </w:r>
      <w:r w:rsidR="005D1C70">
        <w:rPr>
          <w:rFonts w:ascii="Calibri" w:hAnsi="Calibri" w:cs="Calibri"/>
          <w:lang w:val="en-GB"/>
        </w:rPr>
        <w:t>end date</w:t>
      </w:r>
      <w:r w:rsidRPr="0057063E">
        <w:rPr>
          <w:rFonts w:ascii="Calibri" w:hAnsi="Calibri" w:cs="Calibri"/>
          <w:lang w:val="en-GB"/>
        </w:rPr>
        <w:t xml:space="preserve">. The report will include an evaluation of the usefulness of the project, the </w:t>
      </w:r>
      <w:r w:rsidR="0057063E" w:rsidRPr="0057063E">
        <w:rPr>
          <w:rFonts w:ascii="Calibri" w:hAnsi="Calibri" w:cs="Calibri"/>
          <w:lang w:val="en-GB"/>
        </w:rPr>
        <w:t>fulfilment</w:t>
      </w:r>
      <w:r w:rsidRPr="0057063E">
        <w:rPr>
          <w:rFonts w:ascii="Calibri" w:hAnsi="Calibri" w:cs="Calibri"/>
          <w:lang w:val="en-GB"/>
        </w:rPr>
        <w:t xml:space="preserve"> of measurable indicators and copies of published outputs (publications in magazines, proceedings, abstracts from conferences, etc.). The final report is the basis for the final evaluation of the performed tasks.</w:t>
      </w:r>
    </w:p>
    <w:p w14:paraId="0E758695" w14:textId="13A241E0" w:rsidR="00AB3BEE" w:rsidRPr="0057063E" w:rsidRDefault="00AB3BEE" w:rsidP="00AB3BEE">
      <w:pPr>
        <w:jc w:val="both"/>
        <w:rPr>
          <w:b/>
          <w:bCs/>
          <w:lang w:val="en-GB"/>
        </w:rPr>
      </w:pPr>
      <w:r w:rsidRPr="0057063E">
        <w:rPr>
          <w:b/>
          <w:bCs/>
          <w:lang w:val="en-GB"/>
        </w:rPr>
        <w:t xml:space="preserve">11. </w:t>
      </w:r>
      <w:r w:rsidR="00E1104E">
        <w:rPr>
          <w:b/>
          <w:bCs/>
          <w:lang w:val="en-GB"/>
        </w:rPr>
        <w:t>A</w:t>
      </w:r>
      <w:r w:rsidR="0015358C" w:rsidRPr="0057063E">
        <w:rPr>
          <w:b/>
          <w:bCs/>
          <w:lang w:val="en-GB"/>
        </w:rPr>
        <w:t>pplication submission</w:t>
      </w:r>
    </w:p>
    <w:p w14:paraId="2ABE0C38" w14:textId="253F50C8" w:rsidR="0015358C" w:rsidRPr="0057063E" w:rsidRDefault="0015358C" w:rsidP="00AB3BEE">
      <w:pPr>
        <w:jc w:val="both"/>
        <w:rPr>
          <w:lang w:val="en-GB"/>
        </w:rPr>
      </w:pPr>
      <w:r w:rsidRPr="0057063E">
        <w:rPr>
          <w:lang w:val="en-GB"/>
        </w:rPr>
        <w:t>The applicant will send the completed Application</w:t>
      </w:r>
      <w:r w:rsidR="005D1C70">
        <w:rPr>
          <w:lang w:val="en-GB"/>
        </w:rPr>
        <w:t xml:space="preserve"> Form</w:t>
      </w:r>
      <w:r w:rsidRPr="0057063E">
        <w:rPr>
          <w:lang w:val="en-GB"/>
        </w:rPr>
        <w:t xml:space="preserve">, which is an attachment to this call, together with the requested attachments, in two copies, no later than the </w:t>
      </w:r>
      <w:r w:rsidR="005D1C70">
        <w:rPr>
          <w:lang w:val="en-GB"/>
        </w:rPr>
        <w:t xml:space="preserve">call </w:t>
      </w:r>
      <w:r w:rsidRPr="0057063E">
        <w:rPr>
          <w:lang w:val="en-GB"/>
        </w:rPr>
        <w:t xml:space="preserve">deadline to the relevant STU unit’s department for science and research. The application must be signed by the applicant and the mentor/head of the department. The application is also submitted electronically in .pdf format to the </w:t>
      </w:r>
      <w:r w:rsidR="00B55BE5" w:rsidRPr="0057063E">
        <w:rPr>
          <w:lang w:val="en-GB"/>
        </w:rPr>
        <w:t>d</w:t>
      </w:r>
      <w:r w:rsidRPr="0057063E">
        <w:rPr>
          <w:lang w:val="en-GB"/>
        </w:rPr>
        <w:t xml:space="preserve">epartment of </w:t>
      </w:r>
      <w:r w:rsidR="00B55BE5" w:rsidRPr="0057063E">
        <w:rPr>
          <w:lang w:val="en-GB"/>
        </w:rPr>
        <w:t>s</w:t>
      </w:r>
      <w:r w:rsidRPr="0057063E">
        <w:rPr>
          <w:lang w:val="en-GB"/>
        </w:rPr>
        <w:t xml:space="preserve">cience and </w:t>
      </w:r>
      <w:r w:rsidR="00B55BE5" w:rsidRPr="0057063E">
        <w:rPr>
          <w:lang w:val="en-GB"/>
        </w:rPr>
        <w:t>r</w:t>
      </w:r>
      <w:r w:rsidRPr="0057063E">
        <w:rPr>
          <w:lang w:val="en-GB"/>
        </w:rPr>
        <w:t xml:space="preserve">esearch at the </w:t>
      </w:r>
      <w:r w:rsidR="00B55BE5" w:rsidRPr="0057063E">
        <w:rPr>
          <w:lang w:val="en-GB"/>
        </w:rPr>
        <w:t>relevant f</w:t>
      </w:r>
      <w:r w:rsidRPr="0057063E">
        <w:rPr>
          <w:lang w:val="en-GB"/>
        </w:rPr>
        <w:t>aculty or the Institute of Management. The name of the file must start with the abbreviation of the faculty and contain the Type of research activity (A</w:t>
      </w:r>
      <w:r w:rsidR="00B55BE5" w:rsidRPr="0057063E">
        <w:rPr>
          <w:lang w:val="en-GB"/>
        </w:rPr>
        <w:t xml:space="preserve"> or B</w:t>
      </w:r>
      <w:r w:rsidRPr="0057063E">
        <w:rPr>
          <w:lang w:val="en-GB"/>
        </w:rPr>
        <w:t xml:space="preserve">). The recommended format is e.g. </w:t>
      </w:r>
      <w:r w:rsidRPr="00886B8B">
        <w:rPr>
          <w:i/>
          <w:lang w:val="en-GB"/>
        </w:rPr>
        <w:t>SvF_A_</w:t>
      </w:r>
      <w:r w:rsidR="00B55BE5" w:rsidRPr="00886B8B">
        <w:rPr>
          <w:i/>
          <w:lang w:val="en-GB"/>
        </w:rPr>
        <w:t>Smith</w:t>
      </w:r>
      <w:r w:rsidRPr="00886B8B">
        <w:rPr>
          <w:i/>
          <w:lang w:val="en-GB"/>
        </w:rPr>
        <w:t>_</w:t>
      </w:r>
      <w:r w:rsidR="00B55BE5" w:rsidRPr="00886B8B">
        <w:rPr>
          <w:i/>
          <w:lang w:val="en-GB"/>
        </w:rPr>
        <w:t>Grant</w:t>
      </w:r>
      <w:r w:rsidRPr="00886B8B">
        <w:rPr>
          <w:i/>
          <w:lang w:val="en-GB"/>
        </w:rPr>
        <w:t>_</w:t>
      </w:r>
      <w:r w:rsidR="00B55BE5" w:rsidRPr="00886B8B">
        <w:rPr>
          <w:i/>
          <w:lang w:val="en-GB"/>
        </w:rPr>
        <w:t>Application</w:t>
      </w:r>
      <w:r w:rsidRPr="00886B8B">
        <w:rPr>
          <w:i/>
          <w:lang w:val="en-GB"/>
        </w:rPr>
        <w:t>_ESG</w:t>
      </w:r>
      <w:r w:rsidRPr="0057063E">
        <w:rPr>
          <w:lang w:val="en-GB"/>
        </w:rPr>
        <w:t xml:space="preserve">. Failure to comply with the file name does not constitute grounds for disqualification of the application. The application can be prepared in Slovak or </w:t>
      </w:r>
      <w:r w:rsidR="00E1104E">
        <w:rPr>
          <w:lang w:val="en-GB"/>
        </w:rPr>
        <w:t xml:space="preserve">in </w:t>
      </w:r>
      <w:r w:rsidRPr="0057063E">
        <w:rPr>
          <w:lang w:val="en-GB"/>
        </w:rPr>
        <w:t>English.</w:t>
      </w:r>
    </w:p>
    <w:p w14:paraId="403EA273" w14:textId="04CB401A" w:rsidR="00AB3BEE" w:rsidRPr="0057063E" w:rsidRDefault="00AB3BEE" w:rsidP="00AB3BEE">
      <w:pPr>
        <w:jc w:val="both"/>
        <w:rPr>
          <w:b/>
          <w:bCs/>
          <w:lang w:val="en-GB"/>
        </w:rPr>
      </w:pPr>
      <w:r w:rsidRPr="0057063E">
        <w:rPr>
          <w:b/>
          <w:bCs/>
          <w:lang w:val="en-GB"/>
        </w:rPr>
        <w:t xml:space="preserve">12. </w:t>
      </w:r>
      <w:r w:rsidR="00E1104E">
        <w:rPr>
          <w:b/>
          <w:bCs/>
          <w:lang w:val="en-GB"/>
        </w:rPr>
        <w:t>A</w:t>
      </w:r>
      <w:r w:rsidR="00B55BE5" w:rsidRPr="0057063E">
        <w:rPr>
          <w:b/>
          <w:bCs/>
          <w:lang w:val="en-GB"/>
        </w:rPr>
        <w:t>pplication evaluation</w:t>
      </w:r>
    </w:p>
    <w:p w14:paraId="3DEAE8B9" w14:textId="61BB4E96" w:rsidR="00AB3BEE" w:rsidRPr="0057063E" w:rsidRDefault="00B55BE5" w:rsidP="00AB3BEE">
      <w:pPr>
        <w:jc w:val="both"/>
        <w:rPr>
          <w:lang w:val="en-GB"/>
        </w:rPr>
      </w:pPr>
      <w:r w:rsidRPr="0057063E">
        <w:rPr>
          <w:lang w:val="en-GB"/>
        </w:rPr>
        <w:t xml:space="preserve">Applications will be evaluated by a professional evaluation committee (collective body) at the faculty/UM level. The evaluation committee evaluates each project, writes a report (project evaluation) and determines the order of projects from the best to the lowest quality. The following criteria will be evaluated: a/ analysis of the state of the subject matter solved in the project, b/ formulation of the solution procedure, c/ appropriateness of the methods and procedures used, d/ contribution of the solution, e/ evaluation of the importance and possibilities of using the results. The applicant will be able to see the evaluation sheets, but the name of the evaluators will be anonymous. The faculty/UM will send the projects together with the evaluation and the resulting </w:t>
      </w:r>
      <w:r w:rsidR="00B905EA" w:rsidRPr="0057063E">
        <w:rPr>
          <w:lang w:val="en-GB"/>
        </w:rPr>
        <w:t>ranking</w:t>
      </w:r>
      <w:r w:rsidRPr="0057063E">
        <w:rPr>
          <w:lang w:val="en-GB"/>
        </w:rPr>
        <w:t xml:space="preserve"> to the Rectorate</w:t>
      </w:r>
      <w:r w:rsidR="00B905EA" w:rsidRPr="0057063E">
        <w:rPr>
          <w:lang w:val="en-GB"/>
        </w:rPr>
        <w:t xml:space="preserve"> of the STU</w:t>
      </w:r>
      <w:r w:rsidRPr="0057063E">
        <w:rPr>
          <w:lang w:val="en-GB"/>
        </w:rPr>
        <w:t>.</w:t>
      </w:r>
      <w:r w:rsidR="00AB3BEE" w:rsidRPr="0057063E">
        <w:rPr>
          <w:lang w:val="en-GB"/>
        </w:rPr>
        <w:t xml:space="preserve"> </w:t>
      </w:r>
    </w:p>
    <w:p w14:paraId="21C647FD" w14:textId="26A238DD" w:rsidR="00AB3BEE" w:rsidRPr="009B6904" w:rsidRDefault="00B905EA" w:rsidP="009B6904">
      <w:pPr>
        <w:jc w:val="both"/>
        <w:rPr>
          <w:lang w:val="en-GB"/>
        </w:rPr>
      </w:pPr>
      <w:r w:rsidRPr="0057063E">
        <w:rPr>
          <w:lang w:val="en-GB"/>
        </w:rPr>
        <w:t>The approval/non-approval of the project for funding is decided by the expert evaluation committee at the university level. The commission is composed of vice-deans for science and res</w:t>
      </w:r>
      <w:r w:rsidR="000D2B06">
        <w:rPr>
          <w:lang w:val="en-GB"/>
        </w:rPr>
        <w:t>earch of all STU faculties and U</w:t>
      </w:r>
      <w:r w:rsidRPr="0057063E">
        <w:rPr>
          <w:lang w:val="en-GB"/>
        </w:rPr>
        <w:t xml:space="preserve">M. The </w:t>
      </w:r>
      <w:r w:rsidR="0057063E" w:rsidRPr="0057063E">
        <w:rPr>
          <w:lang w:val="en-GB"/>
        </w:rPr>
        <w:t>chairperson</w:t>
      </w:r>
      <w:r w:rsidRPr="0057063E">
        <w:rPr>
          <w:lang w:val="en-GB"/>
        </w:rPr>
        <w:t xml:space="preserve"> of the commission is the vice-rector for science and research. The commission's meeting is called by its </w:t>
      </w:r>
      <w:r w:rsidR="0057063E" w:rsidRPr="0057063E">
        <w:rPr>
          <w:lang w:val="en-GB"/>
        </w:rPr>
        <w:t>chairperson</w:t>
      </w:r>
      <w:r w:rsidRPr="0057063E">
        <w:rPr>
          <w:lang w:val="en-GB"/>
        </w:rPr>
        <w:t xml:space="preserve">. The commission has reached a quorum if at least five members and the </w:t>
      </w:r>
      <w:r w:rsidR="0057063E" w:rsidRPr="0057063E">
        <w:rPr>
          <w:lang w:val="en-GB"/>
        </w:rPr>
        <w:t>chairperson</w:t>
      </w:r>
      <w:r w:rsidRPr="0057063E">
        <w:rPr>
          <w:lang w:val="en-GB"/>
        </w:rPr>
        <w:t xml:space="preserve"> of the commission are present at its meeting.</w:t>
      </w:r>
    </w:p>
    <w:p w14:paraId="6FFC4FF5" w14:textId="77777777" w:rsidR="00642BED" w:rsidRDefault="00642BED" w:rsidP="00AB3BEE">
      <w:pPr>
        <w:pStyle w:val="Default"/>
        <w:rPr>
          <w:sz w:val="23"/>
          <w:szCs w:val="23"/>
          <w:lang w:val="en-GB"/>
        </w:rPr>
      </w:pPr>
    </w:p>
    <w:p w14:paraId="4EC4871B" w14:textId="57FBBFDC" w:rsidR="00AB3BEE" w:rsidRPr="0057063E" w:rsidRDefault="00AB3BEE" w:rsidP="00AB3BEE">
      <w:pPr>
        <w:pStyle w:val="Default"/>
        <w:rPr>
          <w:sz w:val="23"/>
          <w:szCs w:val="23"/>
          <w:lang w:val="en-GB"/>
        </w:rPr>
      </w:pPr>
      <w:r w:rsidRPr="0057063E">
        <w:rPr>
          <w:sz w:val="23"/>
          <w:szCs w:val="23"/>
          <w:lang w:val="en-GB"/>
        </w:rPr>
        <w:t xml:space="preserve"> </w:t>
      </w:r>
    </w:p>
    <w:p w14:paraId="647FFA9C" w14:textId="1412213A" w:rsidR="00AB3BEE" w:rsidRPr="0057063E" w:rsidRDefault="00AB3BEE" w:rsidP="00AB3BEE">
      <w:pPr>
        <w:jc w:val="both"/>
        <w:rPr>
          <w:b/>
          <w:bCs/>
          <w:lang w:val="en-GB"/>
        </w:rPr>
      </w:pPr>
      <w:r w:rsidRPr="0057063E">
        <w:rPr>
          <w:b/>
          <w:bCs/>
          <w:lang w:val="en-GB"/>
        </w:rPr>
        <w:lastRenderedPageBreak/>
        <w:t xml:space="preserve">13. </w:t>
      </w:r>
      <w:r w:rsidR="00B905EA" w:rsidRPr="0057063E">
        <w:rPr>
          <w:b/>
          <w:bCs/>
          <w:lang w:val="en-GB"/>
        </w:rPr>
        <w:t>Grant awarding</w:t>
      </w:r>
    </w:p>
    <w:p w14:paraId="1CBE30C7" w14:textId="1C5679C4" w:rsidR="00AB3BEE" w:rsidRPr="0057063E" w:rsidRDefault="00B905EA" w:rsidP="00AB3BEE">
      <w:pPr>
        <w:jc w:val="both"/>
        <w:rPr>
          <w:lang w:val="en-GB"/>
        </w:rPr>
      </w:pPr>
      <w:r w:rsidRPr="0057063E">
        <w:rPr>
          <w:lang w:val="en-GB"/>
        </w:rPr>
        <w:t>Successful applicants will receive a decree stating that they have been awarded an ESG grant. The decree will contain at least</w:t>
      </w:r>
      <w:r w:rsidR="0057063E" w:rsidRPr="0057063E">
        <w:rPr>
          <w:lang w:val="en-GB"/>
        </w:rPr>
        <w:t>:</w:t>
      </w:r>
    </w:p>
    <w:p w14:paraId="54D2F385" w14:textId="77777777" w:rsidR="00B905EA" w:rsidRPr="0057063E" w:rsidRDefault="00B905EA" w:rsidP="00B905EA">
      <w:pPr>
        <w:pStyle w:val="Odsekzoznamu"/>
        <w:numPr>
          <w:ilvl w:val="0"/>
          <w:numId w:val="3"/>
        </w:numPr>
        <w:spacing w:after="0"/>
        <w:jc w:val="both"/>
        <w:rPr>
          <w:lang w:val="en-GB"/>
        </w:rPr>
      </w:pPr>
      <w:r w:rsidRPr="0057063E">
        <w:rPr>
          <w:lang w:val="en-GB"/>
        </w:rPr>
        <w:t>identification of the researcher and the department within which the researcher will implement the project</w:t>
      </w:r>
    </w:p>
    <w:p w14:paraId="7EB40084" w14:textId="272531FE" w:rsidR="00B905EA" w:rsidRPr="0057063E" w:rsidRDefault="00B905EA" w:rsidP="00B905EA">
      <w:pPr>
        <w:pStyle w:val="Odsekzoznamu"/>
        <w:numPr>
          <w:ilvl w:val="0"/>
          <w:numId w:val="3"/>
        </w:numPr>
        <w:spacing w:after="0"/>
        <w:jc w:val="both"/>
        <w:rPr>
          <w:lang w:val="en-GB"/>
        </w:rPr>
      </w:pPr>
      <w:r w:rsidRPr="0057063E">
        <w:rPr>
          <w:lang w:val="en-GB"/>
        </w:rPr>
        <w:t>identification of the entity providing the grant - the gestor of the institutional scheme</w:t>
      </w:r>
    </w:p>
    <w:p w14:paraId="0FEA744D" w14:textId="62D6D5E5" w:rsidR="00AB3BEE" w:rsidRPr="0057063E" w:rsidRDefault="00B905EA" w:rsidP="00B905EA">
      <w:pPr>
        <w:pStyle w:val="Odsekzoznamu"/>
        <w:numPr>
          <w:ilvl w:val="0"/>
          <w:numId w:val="3"/>
        </w:numPr>
        <w:spacing w:after="0"/>
        <w:jc w:val="both"/>
        <w:rPr>
          <w:lang w:val="en-GB"/>
        </w:rPr>
      </w:pPr>
      <w:r w:rsidRPr="0057063E">
        <w:rPr>
          <w:lang w:val="en-GB"/>
        </w:rPr>
        <w:t xml:space="preserve">project </w:t>
      </w:r>
      <w:r w:rsidR="00642BED">
        <w:rPr>
          <w:lang w:val="en-GB"/>
        </w:rPr>
        <w:t>title</w:t>
      </w:r>
    </w:p>
    <w:p w14:paraId="307C693E" w14:textId="12DF339A" w:rsidR="00AB3BEE" w:rsidRPr="0057063E" w:rsidRDefault="00B905EA" w:rsidP="00AB3BEE">
      <w:pPr>
        <w:pStyle w:val="Odsekzoznamu"/>
        <w:numPr>
          <w:ilvl w:val="0"/>
          <w:numId w:val="3"/>
        </w:numPr>
        <w:spacing w:after="0"/>
        <w:jc w:val="both"/>
        <w:rPr>
          <w:lang w:val="en-GB"/>
        </w:rPr>
      </w:pPr>
      <w:r w:rsidRPr="0057063E">
        <w:rPr>
          <w:lang w:val="en-GB"/>
        </w:rPr>
        <w:t>project identification</w:t>
      </w:r>
      <w:r w:rsidR="00AB3BEE" w:rsidRPr="0057063E">
        <w:rPr>
          <w:lang w:val="en-GB"/>
        </w:rPr>
        <w:t xml:space="preserve"> – </w:t>
      </w:r>
      <w:r w:rsidRPr="0057063E">
        <w:rPr>
          <w:lang w:val="en-GB"/>
        </w:rPr>
        <w:t>code or number</w:t>
      </w:r>
    </w:p>
    <w:p w14:paraId="3B7E574C" w14:textId="77777777" w:rsidR="00932A0C" w:rsidRPr="0057063E" w:rsidRDefault="00932A0C" w:rsidP="00932A0C">
      <w:pPr>
        <w:pStyle w:val="Odsekzoznamu"/>
        <w:numPr>
          <w:ilvl w:val="0"/>
          <w:numId w:val="3"/>
        </w:numPr>
        <w:spacing w:after="0"/>
        <w:jc w:val="both"/>
        <w:rPr>
          <w:lang w:val="en-GB"/>
        </w:rPr>
      </w:pPr>
      <w:r w:rsidRPr="0057063E">
        <w:rPr>
          <w:lang w:val="en-GB"/>
        </w:rPr>
        <w:t>allocated amount</w:t>
      </w:r>
    </w:p>
    <w:p w14:paraId="7BD6FBCB" w14:textId="5C1ED6E6" w:rsidR="00AB3BEE" w:rsidRPr="0057063E" w:rsidRDefault="00932A0C" w:rsidP="00932A0C">
      <w:pPr>
        <w:pStyle w:val="Odsekzoznamu"/>
        <w:numPr>
          <w:ilvl w:val="0"/>
          <w:numId w:val="3"/>
        </w:numPr>
        <w:spacing w:after="0"/>
        <w:jc w:val="both"/>
        <w:rPr>
          <w:lang w:val="en-GB"/>
        </w:rPr>
      </w:pPr>
      <w:r w:rsidRPr="0057063E">
        <w:rPr>
          <w:lang w:val="en-GB"/>
        </w:rPr>
        <w:t>project duration</w:t>
      </w:r>
    </w:p>
    <w:p w14:paraId="4BCFEAF7" w14:textId="45BFDA41" w:rsidR="00932A0C" w:rsidRPr="0057063E" w:rsidRDefault="00932A0C" w:rsidP="00AB3BEE">
      <w:pPr>
        <w:jc w:val="both"/>
        <w:rPr>
          <w:lang w:val="en-GB"/>
        </w:rPr>
      </w:pPr>
      <w:r w:rsidRPr="0057063E">
        <w:rPr>
          <w:lang w:val="en-GB"/>
        </w:rPr>
        <w:t xml:space="preserve">The decree must meet the visibility </w:t>
      </w:r>
      <w:r w:rsidR="009B6904">
        <w:rPr>
          <w:lang w:val="en-GB"/>
        </w:rPr>
        <w:t>conditions of the Recovery and R</w:t>
      </w:r>
      <w:r w:rsidRPr="0057063E">
        <w:rPr>
          <w:lang w:val="en-GB"/>
        </w:rPr>
        <w:t xml:space="preserve">esilience </w:t>
      </w:r>
      <w:r w:rsidR="009B6904">
        <w:rPr>
          <w:lang w:val="en-GB"/>
        </w:rPr>
        <w:t>P</w:t>
      </w:r>
      <w:r w:rsidRPr="0057063E">
        <w:rPr>
          <w:lang w:val="en-GB"/>
        </w:rPr>
        <w:t>lan of the Slovak Republic.</w:t>
      </w:r>
    </w:p>
    <w:p w14:paraId="224CA0F6" w14:textId="6A37044F" w:rsidR="00AB3BEE" w:rsidRPr="0057063E" w:rsidRDefault="00932A0C" w:rsidP="00AB3BEE">
      <w:pPr>
        <w:jc w:val="both"/>
        <w:rPr>
          <w:lang w:val="en-GB"/>
        </w:rPr>
      </w:pPr>
      <w:r w:rsidRPr="0057063E">
        <w:rPr>
          <w:lang w:val="en-GB"/>
        </w:rPr>
        <w:t xml:space="preserve">The results of the call will be published on the website </w:t>
      </w:r>
      <w:r w:rsidR="00AB3BEE" w:rsidRPr="0057063E">
        <w:rPr>
          <w:lang w:val="en-GB"/>
        </w:rPr>
        <w:t>www.stuba.sk.</w:t>
      </w:r>
    </w:p>
    <w:p w14:paraId="70C7CEBD" w14:textId="1756560D" w:rsidR="00AB3BEE" w:rsidRPr="0057063E" w:rsidRDefault="00AB3BEE" w:rsidP="00AB3BEE">
      <w:pPr>
        <w:jc w:val="both"/>
        <w:rPr>
          <w:b/>
          <w:bCs/>
          <w:lang w:val="en-GB"/>
        </w:rPr>
      </w:pPr>
      <w:r w:rsidRPr="0057063E">
        <w:rPr>
          <w:b/>
          <w:bCs/>
          <w:lang w:val="en-GB"/>
        </w:rPr>
        <w:t xml:space="preserve">14. </w:t>
      </w:r>
      <w:r w:rsidR="00932A0C" w:rsidRPr="0057063E">
        <w:rPr>
          <w:b/>
          <w:bCs/>
          <w:lang w:val="en-GB"/>
        </w:rPr>
        <w:t xml:space="preserve">Changing and </w:t>
      </w:r>
      <w:r w:rsidR="0057063E" w:rsidRPr="0057063E">
        <w:rPr>
          <w:b/>
          <w:bCs/>
          <w:lang w:val="en-GB"/>
        </w:rPr>
        <w:t>cancelling</w:t>
      </w:r>
      <w:r w:rsidR="00932A0C" w:rsidRPr="0057063E">
        <w:rPr>
          <w:b/>
          <w:bCs/>
          <w:lang w:val="en-GB"/>
        </w:rPr>
        <w:t xml:space="preserve"> of the call</w:t>
      </w:r>
    </w:p>
    <w:p w14:paraId="280F5EBB" w14:textId="77777777" w:rsidR="00D1033A" w:rsidRPr="00D1033A" w:rsidRDefault="00D1033A" w:rsidP="00D1033A">
      <w:pPr>
        <w:jc w:val="both"/>
        <w:rPr>
          <w:lang w:val="en-GB"/>
        </w:rPr>
      </w:pPr>
      <w:r w:rsidRPr="00D1033A">
        <w:rPr>
          <w:lang w:val="en-GB"/>
        </w:rPr>
        <w:t>The call is published in Slovak and in English languages.</w:t>
      </w:r>
      <w:r w:rsidR="00642BED" w:rsidRPr="00D1033A">
        <w:rPr>
          <w:lang w:val="en-GB"/>
        </w:rPr>
        <w:t xml:space="preserve"> </w:t>
      </w:r>
      <w:r w:rsidRPr="00D1033A">
        <w:rPr>
          <w:lang w:val="en-GB"/>
        </w:rPr>
        <w:t>In case of ambiguities or inconsistencies, the Slovak language version is binding.</w:t>
      </w:r>
    </w:p>
    <w:p w14:paraId="3C53180B" w14:textId="11B7F602" w:rsidR="00AB3BEE" w:rsidRPr="0057063E" w:rsidRDefault="0057063E" w:rsidP="00AB3BEE">
      <w:pPr>
        <w:jc w:val="both"/>
        <w:rPr>
          <w:lang w:val="en-GB"/>
        </w:rPr>
      </w:pPr>
      <w:r w:rsidRPr="0057063E">
        <w:rPr>
          <w:lang w:val="en-GB"/>
        </w:rPr>
        <w:t>The announcer of the call has the right to change or can</w:t>
      </w:r>
      <w:r w:rsidR="00D1033A">
        <w:rPr>
          <w:lang w:val="en-GB"/>
        </w:rPr>
        <w:t xml:space="preserve">cel the call in case </w:t>
      </w:r>
      <w:bookmarkStart w:id="0" w:name="_GoBack"/>
      <w:bookmarkEnd w:id="0"/>
      <w:r w:rsidRPr="0057063E">
        <w:rPr>
          <w:lang w:val="en-GB"/>
        </w:rPr>
        <w:t xml:space="preserve">of a change in the conditions of the </w:t>
      </w:r>
      <w:r w:rsidR="00860BF4" w:rsidRPr="0057063E">
        <w:rPr>
          <w:lang w:val="en-GB"/>
        </w:rPr>
        <w:t xml:space="preserve">RRP </w:t>
      </w:r>
      <w:r w:rsidR="00AB3BEE" w:rsidRPr="0057063E">
        <w:rPr>
          <w:lang w:val="en-GB"/>
        </w:rPr>
        <w:t xml:space="preserve">SR – ESG </w:t>
      </w:r>
      <w:r w:rsidRPr="0057063E">
        <w:rPr>
          <w:lang w:val="en-GB"/>
        </w:rPr>
        <w:t>call or non-approval of the RRP SR – ESG grant</w:t>
      </w:r>
      <w:r w:rsidR="00AB3BEE" w:rsidRPr="0057063E">
        <w:rPr>
          <w:lang w:val="en-GB"/>
        </w:rPr>
        <w:t>.</w:t>
      </w:r>
    </w:p>
    <w:p w14:paraId="5ACE251A" w14:textId="77777777" w:rsidR="00AB3BEE" w:rsidRPr="0057063E" w:rsidRDefault="00AB3BEE" w:rsidP="00AB3BEE">
      <w:pPr>
        <w:spacing w:after="0"/>
        <w:jc w:val="both"/>
        <w:rPr>
          <w:lang w:val="en-GB"/>
        </w:rPr>
      </w:pPr>
    </w:p>
    <w:p w14:paraId="31723EBF" w14:textId="5AC496FC" w:rsidR="00AB3BEE" w:rsidRPr="0057063E" w:rsidRDefault="0057063E" w:rsidP="00AB3BEE">
      <w:pPr>
        <w:jc w:val="both"/>
        <w:rPr>
          <w:b/>
          <w:bCs/>
          <w:i/>
          <w:iCs/>
          <w:lang w:val="en-GB"/>
        </w:rPr>
      </w:pPr>
      <w:r w:rsidRPr="0057063E">
        <w:rPr>
          <w:b/>
          <w:bCs/>
          <w:i/>
          <w:iCs/>
          <w:lang w:val="en-GB"/>
        </w:rPr>
        <w:t>Attachments:</w:t>
      </w:r>
    </w:p>
    <w:p w14:paraId="625FD15B" w14:textId="11FD60B6" w:rsidR="0057063E" w:rsidRPr="0057063E" w:rsidRDefault="0057063E" w:rsidP="00AB3BEE">
      <w:pPr>
        <w:spacing w:after="0"/>
        <w:jc w:val="both"/>
        <w:rPr>
          <w:i/>
          <w:iCs/>
          <w:lang w:val="en-GB"/>
        </w:rPr>
      </w:pPr>
      <w:r w:rsidRPr="0057063E">
        <w:rPr>
          <w:i/>
          <w:iCs/>
          <w:lang w:val="en-GB"/>
        </w:rPr>
        <w:t xml:space="preserve">Grant application – Research activity A – doctoral </w:t>
      </w:r>
      <w:r w:rsidR="00642BED">
        <w:rPr>
          <w:i/>
          <w:iCs/>
          <w:lang w:val="en-GB"/>
        </w:rPr>
        <w:t>projects</w:t>
      </w:r>
      <w:r w:rsidRPr="0057063E">
        <w:rPr>
          <w:i/>
          <w:iCs/>
          <w:lang w:val="en-GB"/>
        </w:rPr>
        <w:t xml:space="preserve"> </w:t>
      </w:r>
    </w:p>
    <w:p w14:paraId="37D4AC29" w14:textId="37FAB6DE" w:rsidR="00AB3BEE" w:rsidRPr="0057063E" w:rsidRDefault="0057063E" w:rsidP="00AB3BEE">
      <w:pPr>
        <w:spacing w:after="0"/>
        <w:jc w:val="both"/>
        <w:rPr>
          <w:i/>
          <w:iCs/>
          <w:lang w:val="en-GB"/>
        </w:rPr>
      </w:pPr>
      <w:r w:rsidRPr="0057063E">
        <w:rPr>
          <w:i/>
          <w:iCs/>
          <w:lang w:val="en-GB"/>
        </w:rPr>
        <w:t xml:space="preserve">Grant application – Research activity B – postdoctoral </w:t>
      </w:r>
      <w:r w:rsidR="00642BED">
        <w:rPr>
          <w:i/>
          <w:iCs/>
          <w:lang w:val="en-GB"/>
        </w:rPr>
        <w:t>projects</w:t>
      </w:r>
    </w:p>
    <w:p w14:paraId="21768E80" w14:textId="215C15BA" w:rsidR="007A3EEF" w:rsidRPr="0057063E" w:rsidRDefault="007A3EEF" w:rsidP="00AB3BEE">
      <w:pPr>
        <w:rPr>
          <w:lang w:val="en-GB"/>
        </w:rPr>
      </w:pPr>
    </w:p>
    <w:sectPr w:rsidR="007A3EEF" w:rsidRPr="0057063E" w:rsidSect="00293820">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14FFB" w14:textId="77777777" w:rsidR="00E356AD" w:rsidRDefault="00E356AD" w:rsidP="00594892">
      <w:pPr>
        <w:spacing w:after="0" w:line="240" w:lineRule="auto"/>
      </w:pPr>
      <w:r>
        <w:separator/>
      </w:r>
    </w:p>
  </w:endnote>
  <w:endnote w:type="continuationSeparator" w:id="0">
    <w:p w14:paraId="5A15A3EC" w14:textId="77777777" w:rsidR="00E356AD" w:rsidRDefault="00E356AD" w:rsidP="0059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E638" w14:textId="7B7183E3" w:rsidR="00AE6773" w:rsidRDefault="00AE6773">
    <w:pPr>
      <w:pStyle w:val="Pta"/>
    </w:pPr>
    <w:r>
      <w:rPr>
        <w:noProof/>
        <w:lang w:eastAsia="sk-SK"/>
      </w:rPr>
      <w:drawing>
        <wp:anchor distT="0" distB="0" distL="114300" distR="114300" simplePos="0" relativeHeight="251660288" behindDoc="1" locked="0" layoutInCell="1" allowOverlap="1" wp14:anchorId="41EF089D" wp14:editId="0E1BE2AD">
          <wp:simplePos x="0" y="0"/>
          <wp:positionH relativeFrom="margin">
            <wp:posOffset>-118744</wp:posOffset>
          </wp:positionH>
          <wp:positionV relativeFrom="paragraph">
            <wp:posOffset>-289560</wp:posOffset>
          </wp:positionV>
          <wp:extent cx="6286500" cy="707753"/>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23" cy="70982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B4875" w14:textId="77777777" w:rsidR="00E356AD" w:rsidRDefault="00E356AD" w:rsidP="00594892">
      <w:pPr>
        <w:spacing w:after="0" w:line="240" w:lineRule="auto"/>
      </w:pPr>
      <w:r>
        <w:separator/>
      </w:r>
    </w:p>
  </w:footnote>
  <w:footnote w:type="continuationSeparator" w:id="0">
    <w:p w14:paraId="51332FF2" w14:textId="77777777" w:rsidR="00E356AD" w:rsidRDefault="00E356AD" w:rsidP="00594892">
      <w:pPr>
        <w:spacing w:after="0" w:line="240" w:lineRule="auto"/>
      </w:pPr>
      <w:r>
        <w:continuationSeparator/>
      </w:r>
    </w:p>
  </w:footnote>
  <w:footnote w:id="1">
    <w:p w14:paraId="6F3EB587" w14:textId="2681FE8B" w:rsidR="00AE6773" w:rsidRPr="0057063E" w:rsidRDefault="00AE6773" w:rsidP="00AB3BEE">
      <w:pPr>
        <w:pStyle w:val="Textpoznmkypodiarou"/>
        <w:rPr>
          <w:lang w:val="en-GB"/>
        </w:rPr>
      </w:pPr>
      <w:r w:rsidRPr="0057063E">
        <w:rPr>
          <w:rStyle w:val="Odkaznapoznmkupodiarou"/>
          <w:lang w:val="en-GB"/>
        </w:rPr>
        <w:footnoteRef/>
      </w:r>
      <w:r w:rsidRPr="0057063E">
        <w:rPr>
          <w:lang w:val="en-GB"/>
        </w:rPr>
        <w:t xml:space="preserve"> The doctoral student uses the allocated grant funds in cooperation and under the supervision of the applicant’s mentor.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603FC" w14:textId="138F6560" w:rsidR="00AE6773" w:rsidRDefault="00AE6773">
    <w:pPr>
      <w:pStyle w:val="Hlavika"/>
    </w:pPr>
    <w:r>
      <w:rPr>
        <w:noProof/>
        <w:lang w:eastAsia="sk-SK"/>
      </w:rPr>
      <w:drawing>
        <wp:anchor distT="0" distB="0" distL="114300" distR="114300" simplePos="0" relativeHeight="251659264" behindDoc="1" locked="0" layoutInCell="1" allowOverlap="1" wp14:anchorId="7F30BF2E" wp14:editId="0EFE6B4E">
          <wp:simplePos x="0" y="0"/>
          <wp:positionH relativeFrom="margin">
            <wp:posOffset>-129540</wp:posOffset>
          </wp:positionH>
          <wp:positionV relativeFrom="paragraph">
            <wp:posOffset>-38735</wp:posOffset>
          </wp:positionV>
          <wp:extent cx="6311265" cy="180975"/>
          <wp:effectExtent l="0" t="0" r="0" b="952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6595"/>
                  <a:stretch/>
                </pic:blipFill>
                <pic:spPr bwMode="auto">
                  <a:xfrm>
                    <a:off x="0" y="0"/>
                    <a:ext cx="6311265" cy="180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4660D1" w14:textId="3855934D" w:rsidR="00AE6773" w:rsidRDefault="00AE67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1582"/>
    <w:multiLevelType w:val="hybridMultilevel"/>
    <w:tmpl w:val="71901F92"/>
    <w:lvl w:ilvl="0" w:tplc="554CBC1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6F7F70"/>
    <w:multiLevelType w:val="hybridMultilevel"/>
    <w:tmpl w:val="F1003662"/>
    <w:lvl w:ilvl="0" w:tplc="32AECBBE">
      <w:start w:val="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AAA4873"/>
    <w:multiLevelType w:val="hybridMultilevel"/>
    <w:tmpl w:val="6FE064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44"/>
    <w:rsid w:val="00001672"/>
    <w:rsid w:val="00031239"/>
    <w:rsid w:val="00032311"/>
    <w:rsid w:val="0004505D"/>
    <w:rsid w:val="00055361"/>
    <w:rsid w:val="0006013B"/>
    <w:rsid w:val="000900DB"/>
    <w:rsid w:val="00095B6C"/>
    <w:rsid w:val="000A2834"/>
    <w:rsid w:val="000A304B"/>
    <w:rsid w:val="000B7BC3"/>
    <w:rsid w:val="000D2B06"/>
    <w:rsid w:val="00100EAE"/>
    <w:rsid w:val="001050C0"/>
    <w:rsid w:val="00122E09"/>
    <w:rsid w:val="0015358C"/>
    <w:rsid w:val="0016593E"/>
    <w:rsid w:val="00182A02"/>
    <w:rsid w:val="001877A4"/>
    <w:rsid w:val="00190100"/>
    <w:rsid w:val="0019210C"/>
    <w:rsid w:val="001E2993"/>
    <w:rsid w:val="001F23AF"/>
    <w:rsid w:val="001F7BB7"/>
    <w:rsid w:val="00203311"/>
    <w:rsid w:val="00216688"/>
    <w:rsid w:val="00216AB4"/>
    <w:rsid w:val="00217B11"/>
    <w:rsid w:val="0022386F"/>
    <w:rsid w:val="002526DE"/>
    <w:rsid w:val="0025341C"/>
    <w:rsid w:val="00255E1A"/>
    <w:rsid w:val="002710B7"/>
    <w:rsid w:val="00286A32"/>
    <w:rsid w:val="00293820"/>
    <w:rsid w:val="002E432A"/>
    <w:rsid w:val="002F1029"/>
    <w:rsid w:val="0031585C"/>
    <w:rsid w:val="003300CD"/>
    <w:rsid w:val="00343EAE"/>
    <w:rsid w:val="00356718"/>
    <w:rsid w:val="00361D23"/>
    <w:rsid w:val="00386401"/>
    <w:rsid w:val="003B38F6"/>
    <w:rsid w:val="003B7B66"/>
    <w:rsid w:val="003C4780"/>
    <w:rsid w:val="004047E4"/>
    <w:rsid w:val="00412C32"/>
    <w:rsid w:val="004316EB"/>
    <w:rsid w:val="004405A2"/>
    <w:rsid w:val="00443656"/>
    <w:rsid w:val="00447827"/>
    <w:rsid w:val="00460311"/>
    <w:rsid w:val="00484B08"/>
    <w:rsid w:val="004B6022"/>
    <w:rsid w:val="004C4C00"/>
    <w:rsid w:val="004D431F"/>
    <w:rsid w:val="004D5F93"/>
    <w:rsid w:val="004F65B9"/>
    <w:rsid w:val="0057063E"/>
    <w:rsid w:val="005725CC"/>
    <w:rsid w:val="00594892"/>
    <w:rsid w:val="005A1BC1"/>
    <w:rsid w:val="005D174A"/>
    <w:rsid w:val="005D1C70"/>
    <w:rsid w:val="005D71F3"/>
    <w:rsid w:val="00615DF4"/>
    <w:rsid w:val="00635AF9"/>
    <w:rsid w:val="00642BED"/>
    <w:rsid w:val="00643E14"/>
    <w:rsid w:val="00647EFF"/>
    <w:rsid w:val="00655753"/>
    <w:rsid w:val="006707ED"/>
    <w:rsid w:val="006865B5"/>
    <w:rsid w:val="00695C79"/>
    <w:rsid w:val="006B337A"/>
    <w:rsid w:val="006C6C7A"/>
    <w:rsid w:val="0070363B"/>
    <w:rsid w:val="0073518A"/>
    <w:rsid w:val="00736C7D"/>
    <w:rsid w:val="0075036D"/>
    <w:rsid w:val="007777BD"/>
    <w:rsid w:val="00777CE3"/>
    <w:rsid w:val="00791149"/>
    <w:rsid w:val="007A381B"/>
    <w:rsid w:val="007A3EEF"/>
    <w:rsid w:val="007B3A23"/>
    <w:rsid w:val="007D1B22"/>
    <w:rsid w:val="007D4B90"/>
    <w:rsid w:val="00860BF4"/>
    <w:rsid w:val="00870FB3"/>
    <w:rsid w:val="00876CED"/>
    <w:rsid w:val="00886B8B"/>
    <w:rsid w:val="00896566"/>
    <w:rsid w:val="008A55F0"/>
    <w:rsid w:val="00906310"/>
    <w:rsid w:val="0092147D"/>
    <w:rsid w:val="00932A0C"/>
    <w:rsid w:val="009458C4"/>
    <w:rsid w:val="00993CD2"/>
    <w:rsid w:val="0099598B"/>
    <w:rsid w:val="009A0CCE"/>
    <w:rsid w:val="009B6904"/>
    <w:rsid w:val="009C0216"/>
    <w:rsid w:val="009C3325"/>
    <w:rsid w:val="009E653C"/>
    <w:rsid w:val="009F12D9"/>
    <w:rsid w:val="009F4E73"/>
    <w:rsid w:val="00A53BEF"/>
    <w:rsid w:val="00A701F0"/>
    <w:rsid w:val="00A754B8"/>
    <w:rsid w:val="00A95ED1"/>
    <w:rsid w:val="00AA0305"/>
    <w:rsid w:val="00AA74BD"/>
    <w:rsid w:val="00AB221F"/>
    <w:rsid w:val="00AB3BEE"/>
    <w:rsid w:val="00AB711B"/>
    <w:rsid w:val="00AC34D7"/>
    <w:rsid w:val="00AC5330"/>
    <w:rsid w:val="00AD2C3A"/>
    <w:rsid w:val="00AD30D1"/>
    <w:rsid w:val="00AE6773"/>
    <w:rsid w:val="00B02C24"/>
    <w:rsid w:val="00B14640"/>
    <w:rsid w:val="00B355DF"/>
    <w:rsid w:val="00B41035"/>
    <w:rsid w:val="00B516DF"/>
    <w:rsid w:val="00B55BE5"/>
    <w:rsid w:val="00B8401E"/>
    <w:rsid w:val="00B905EA"/>
    <w:rsid w:val="00BD7281"/>
    <w:rsid w:val="00C8314D"/>
    <w:rsid w:val="00CD3DCD"/>
    <w:rsid w:val="00D05827"/>
    <w:rsid w:val="00D1033A"/>
    <w:rsid w:val="00D76DF8"/>
    <w:rsid w:val="00D80169"/>
    <w:rsid w:val="00D853E6"/>
    <w:rsid w:val="00DC3A7A"/>
    <w:rsid w:val="00DC7D50"/>
    <w:rsid w:val="00DE74C2"/>
    <w:rsid w:val="00DF2333"/>
    <w:rsid w:val="00E01D44"/>
    <w:rsid w:val="00E1104E"/>
    <w:rsid w:val="00E15644"/>
    <w:rsid w:val="00E356AD"/>
    <w:rsid w:val="00E71C60"/>
    <w:rsid w:val="00EB61D3"/>
    <w:rsid w:val="00ED7EE4"/>
    <w:rsid w:val="00EF50B3"/>
    <w:rsid w:val="00F2792C"/>
    <w:rsid w:val="00F753CD"/>
    <w:rsid w:val="00F852AF"/>
    <w:rsid w:val="00FF3D8B"/>
    <w:rsid w:val="00FF71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7B9BA"/>
  <w15:chartTrackingRefBased/>
  <w15:docId w15:val="{0AC46D62-97C1-41CB-AF3B-EAA5E035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01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9489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4892"/>
  </w:style>
  <w:style w:type="paragraph" w:styleId="Pta">
    <w:name w:val="footer"/>
    <w:basedOn w:val="Normlny"/>
    <w:link w:val="PtaChar"/>
    <w:uiPriority w:val="99"/>
    <w:unhideWhenUsed/>
    <w:rsid w:val="00594892"/>
    <w:pPr>
      <w:tabs>
        <w:tab w:val="center" w:pos="4536"/>
        <w:tab w:val="right" w:pos="9072"/>
      </w:tabs>
      <w:spacing w:after="0" w:line="240" w:lineRule="auto"/>
    </w:pPr>
  </w:style>
  <w:style w:type="character" w:customStyle="1" w:styleId="PtaChar">
    <w:name w:val="Päta Char"/>
    <w:basedOn w:val="Predvolenpsmoodseku"/>
    <w:link w:val="Pta"/>
    <w:uiPriority w:val="99"/>
    <w:rsid w:val="00594892"/>
  </w:style>
  <w:style w:type="paragraph" w:styleId="Textpoznmkypodiarou">
    <w:name w:val="footnote text"/>
    <w:basedOn w:val="Normlny"/>
    <w:link w:val="TextpoznmkypodiarouChar"/>
    <w:uiPriority w:val="99"/>
    <w:semiHidden/>
    <w:unhideWhenUsed/>
    <w:rsid w:val="000A30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304B"/>
    <w:rPr>
      <w:sz w:val="20"/>
      <w:szCs w:val="20"/>
    </w:rPr>
  </w:style>
  <w:style w:type="character" w:styleId="Odkaznapoznmkupodiarou">
    <w:name w:val="footnote reference"/>
    <w:basedOn w:val="Predvolenpsmoodseku"/>
    <w:uiPriority w:val="99"/>
    <w:semiHidden/>
    <w:unhideWhenUsed/>
    <w:rsid w:val="000A304B"/>
    <w:rPr>
      <w:vertAlign w:val="superscript"/>
    </w:rPr>
  </w:style>
  <w:style w:type="character" w:styleId="Odkaznakomentr">
    <w:name w:val="annotation reference"/>
    <w:basedOn w:val="Predvolenpsmoodseku"/>
    <w:uiPriority w:val="99"/>
    <w:semiHidden/>
    <w:unhideWhenUsed/>
    <w:rsid w:val="000A2834"/>
    <w:rPr>
      <w:sz w:val="16"/>
      <w:szCs w:val="16"/>
    </w:rPr>
  </w:style>
  <w:style w:type="paragraph" w:styleId="Textkomentra">
    <w:name w:val="annotation text"/>
    <w:basedOn w:val="Normlny"/>
    <w:link w:val="TextkomentraChar"/>
    <w:uiPriority w:val="99"/>
    <w:unhideWhenUsed/>
    <w:rsid w:val="000A2834"/>
    <w:pPr>
      <w:spacing w:line="240" w:lineRule="auto"/>
    </w:pPr>
    <w:rPr>
      <w:sz w:val="20"/>
      <w:szCs w:val="20"/>
    </w:rPr>
  </w:style>
  <w:style w:type="character" w:customStyle="1" w:styleId="TextkomentraChar">
    <w:name w:val="Text komentára Char"/>
    <w:basedOn w:val="Predvolenpsmoodseku"/>
    <w:link w:val="Textkomentra"/>
    <w:uiPriority w:val="99"/>
    <w:rsid w:val="000A2834"/>
    <w:rPr>
      <w:sz w:val="20"/>
      <w:szCs w:val="20"/>
    </w:rPr>
  </w:style>
  <w:style w:type="paragraph" w:styleId="Predmetkomentra">
    <w:name w:val="annotation subject"/>
    <w:basedOn w:val="Textkomentra"/>
    <w:next w:val="Textkomentra"/>
    <w:link w:val="PredmetkomentraChar"/>
    <w:uiPriority w:val="99"/>
    <w:semiHidden/>
    <w:unhideWhenUsed/>
    <w:rsid w:val="000A2834"/>
    <w:rPr>
      <w:b/>
      <w:bCs/>
    </w:rPr>
  </w:style>
  <w:style w:type="character" w:customStyle="1" w:styleId="PredmetkomentraChar">
    <w:name w:val="Predmet komentára Char"/>
    <w:basedOn w:val="TextkomentraChar"/>
    <w:link w:val="Predmetkomentra"/>
    <w:uiPriority w:val="99"/>
    <w:semiHidden/>
    <w:rsid w:val="000A2834"/>
    <w:rPr>
      <w:b/>
      <w:bCs/>
      <w:sz w:val="20"/>
      <w:szCs w:val="20"/>
    </w:rPr>
  </w:style>
  <w:style w:type="paragraph" w:styleId="Textbubliny">
    <w:name w:val="Balloon Text"/>
    <w:basedOn w:val="Normlny"/>
    <w:link w:val="TextbublinyChar"/>
    <w:uiPriority w:val="99"/>
    <w:semiHidden/>
    <w:unhideWhenUsed/>
    <w:rsid w:val="002938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3820"/>
    <w:rPr>
      <w:rFonts w:ascii="Segoe UI" w:hAnsi="Segoe UI" w:cs="Segoe UI"/>
      <w:sz w:val="18"/>
      <w:szCs w:val="18"/>
    </w:rPr>
  </w:style>
  <w:style w:type="paragraph" w:styleId="Odsekzoznamu">
    <w:name w:val="List Paragraph"/>
    <w:basedOn w:val="Normlny"/>
    <w:uiPriority w:val="34"/>
    <w:qFormat/>
    <w:rsid w:val="009A0CCE"/>
    <w:pPr>
      <w:ind w:left="720"/>
      <w:contextualSpacing/>
    </w:pPr>
  </w:style>
  <w:style w:type="paragraph" w:styleId="Revzia">
    <w:name w:val="Revision"/>
    <w:hidden/>
    <w:uiPriority w:val="99"/>
    <w:semiHidden/>
    <w:rsid w:val="00447827"/>
    <w:pPr>
      <w:spacing w:after="0" w:line="240" w:lineRule="auto"/>
    </w:pPr>
  </w:style>
  <w:style w:type="character" w:styleId="Hypertextovprepojenie">
    <w:name w:val="Hyperlink"/>
    <w:basedOn w:val="Predvolenpsmoodseku"/>
    <w:uiPriority w:val="99"/>
    <w:unhideWhenUsed/>
    <w:rsid w:val="0070363B"/>
    <w:rPr>
      <w:color w:val="0000FF" w:themeColor="hyperlink"/>
      <w:u w:val="single"/>
    </w:rPr>
  </w:style>
  <w:style w:type="character" w:styleId="PouitHypertextovPrepojenie">
    <w:name w:val="FollowedHyperlink"/>
    <w:basedOn w:val="Predvolenpsmoodseku"/>
    <w:uiPriority w:val="99"/>
    <w:semiHidden/>
    <w:unhideWhenUsed/>
    <w:rsid w:val="0099598B"/>
    <w:rPr>
      <w:color w:val="800080" w:themeColor="followedHyperlink"/>
      <w:u w:val="single"/>
    </w:rPr>
  </w:style>
  <w:style w:type="paragraph" w:customStyle="1" w:styleId="Default">
    <w:name w:val="Default"/>
    <w:rsid w:val="00AB3BEE"/>
    <w:pPr>
      <w:autoSpaceDE w:val="0"/>
      <w:autoSpaceDN w:val="0"/>
      <w:adjustRightInd w:val="0"/>
      <w:spacing w:after="0" w:line="240" w:lineRule="auto"/>
    </w:pPr>
    <w:rPr>
      <w:rFonts w:ascii="Calibri" w:hAnsi="Calibri" w:cs="Calibri"/>
      <w:color w:val="000000"/>
      <w:sz w:val="24"/>
      <w:szCs w:val="24"/>
    </w:rPr>
  </w:style>
  <w:style w:type="paragraph" w:styleId="PredformtovanHTML">
    <w:name w:val="HTML Preformatted"/>
    <w:basedOn w:val="Normlny"/>
    <w:link w:val="PredformtovanHTMLChar"/>
    <w:uiPriority w:val="99"/>
    <w:semiHidden/>
    <w:unhideWhenUsed/>
    <w:rsid w:val="00D1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D1033A"/>
    <w:rPr>
      <w:rFonts w:ascii="Courier New" w:eastAsia="Times New Roman" w:hAnsi="Courier New" w:cs="Courier New"/>
      <w:sz w:val="20"/>
      <w:szCs w:val="20"/>
      <w:lang w:eastAsia="sk-SK"/>
    </w:rPr>
  </w:style>
  <w:style w:type="character" w:customStyle="1" w:styleId="y2iqfc">
    <w:name w:val="y2iqfc"/>
    <w:basedOn w:val="Predvolenpsmoodseku"/>
    <w:rsid w:val="00D10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1514">
      <w:bodyDiv w:val="1"/>
      <w:marLeft w:val="0"/>
      <w:marRight w:val="0"/>
      <w:marTop w:val="0"/>
      <w:marBottom w:val="0"/>
      <w:divBdr>
        <w:top w:val="none" w:sz="0" w:space="0" w:color="auto"/>
        <w:left w:val="none" w:sz="0" w:space="0" w:color="auto"/>
        <w:bottom w:val="none" w:sz="0" w:space="0" w:color="auto"/>
        <w:right w:val="none" w:sz="0" w:space="0" w:color="auto"/>
      </w:divBdr>
    </w:div>
    <w:div w:id="238099000">
      <w:bodyDiv w:val="1"/>
      <w:marLeft w:val="0"/>
      <w:marRight w:val="0"/>
      <w:marTop w:val="0"/>
      <w:marBottom w:val="0"/>
      <w:divBdr>
        <w:top w:val="none" w:sz="0" w:space="0" w:color="auto"/>
        <w:left w:val="none" w:sz="0" w:space="0" w:color="auto"/>
        <w:bottom w:val="none" w:sz="0" w:space="0" w:color="auto"/>
        <w:right w:val="none" w:sz="0" w:space="0" w:color="auto"/>
      </w:divBdr>
    </w:div>
    <w:div w:id="282005672">
      <w:bodyDiv w:val="1"/>
      <w:marLeft w:val="0"/>
      <w:marRight w:val="0"/>
      <w:marTop w:val="0"/>
      <w:marBottom w:val="0"/>
      <w:divBdr>
        <w:top w:val="none" w:sz="0" w:space="0" w:color="auto"/>
        <w:left w:val="none" w:sz="0" w:space="0" w:color="auto"/>
        <w:bottom w:val="none" w:sz="0" w:space="0" w:color="auto"/>
        <w:right w:val="none" w:sz="0" w:space="0" w:color="auto"/>
      </w:divBdr>
    </w:div>
    <w:div w:id="444622025">
      <w:bodyDiv w:val="1"/>
      <w:marLeft w:val="0"/>
      <w:marRight w:val="0"/>
      <w:marTop w:val="0"/>
      <w:marBottom w:val="0"/>
      <w:divBdr>
        <w:top w:val="none" w:sz="0" w:space="0" w:color="auto"/>
        <w:left w:val="none" w:sz="0" w:space="0" w:color="auto"/>
        <w:bottom w:val="none" w:sz="0" w:space="0" w:color="auto"/>
        <w:right w:val="none" w:sz="0" w:space="0" w:color="auto"/>
      </w:divBdr>
    </w:div>
    <w:div w:id="792023084">
      <w:bodyDiv w:val="1"/>
      <w:marLeft w:val="0"/>
      <w:marRight w:val="0"/>
      <w:marTop w:val="0"/>
      <w:marBottom w:val="0"/>
      <w:divBdr>
        <w:top w:val="none" w:sz="0" w:space="0" w:color="auto"/>
        <w:left w:val="none" w:sz="0" w:space="0" w:color="auto"/>
        <w:bottom w:val="none" w:sz="0" w:space="0" w:color="auto"/>
        <w:right w:val="none" w:sz="0" w:space="0" w:color="auto"/>
      </w:divBdr>
    </w:div>
    <w:div w:id="1183931078">
      <w:bodyDiv w:val="1"/>
      <w:marLeft w:val="0"/>
      <w:marRight w:val="0"/>
      <w:marTop w:val="0"/>
      <w:marBottom w:val="0"/>
      <w:divBdr>
        <w:top w:val="none" w:sz="0" w:space="0" w:color="auto"/>
        <w:left w:val="none" w:sz="0" w:space="0" w:color="auto"/>
        <w:bottom w:val="none" w:sz="0" w:space="0" w:color="auto"/>
        <w:right w:val="none" w:sz="0" w:space="0" w:color="auto"/>
      </w:divBdr>
    </w:div>
    <w:div w:id="1406490375">
      <w:bodyDiv w:val="1"/>
      <w:marLeft w:val="0"/>
      <w:marRight w:val="0"/>
      <w:marTop w:val="0"/>
      <w:marBottom w:val="0"/>
      <w:divBdr>
        <w:top w:val="none" w:sz="0" w:space="0" w:color="auto"/>
        <w:left w:val="none" w:sz="0" w:space="0" w:color="auto"/>
        <w:bottom w:val="none" w:sz="0" w:space="0" w:color="auto"/>
        <w:right w:val="none" w:sz="0" w:space="0" w:color="auto"/>
      </w:divBdr>
    </w:div>
    <w:div w:id="1729913120">
      <w:bodyDiv w:val="1"/>
      <w:marLeft w:val="0"/>
      <w:marRight w:val="0"/>
      <w:marTop w:val="0"/>
      <w:marBottom w:val="0"/>
      <w:divBdr>
        <w:top w:val="none" w:sz="0" w:space="0" w:color="auto"/>
        <w:left w:val="none" w:sz="0" w:space="0" w:color="auto"/>
        <w:bottom w:val="none" w:sz="0" w:space="0" w:color="auto"/>
        <w:right w:val="none" w:sz="0" w:space="0" w:color="auto"/>
      </w:divBdr>
    </w:div>
    <w:div w:id="1738699963">
      <w:bodyDiv w:val="1"/>
      <w:marLeft w:val="0"/>
      <w:marRight w:val="0"/>
      <w:marTop w:val="0"/>
      <w:marBottom w:val="0"/>
      <w:divBdr>
        <w:top w:val="none" w:sz="0" w:space="0" w:color="auto"/>
        <w:left w:val="none" w:sz="0" w:space="0" w:color="auto"/>
        <w:bottom w:val="none" w:sz="0" w:space="0" w:color="auto"/>
        <w:right w:val="none" w:sz="0" w:space="0" w:color="auto"/>
      </w:divBdr>
    </w:div>
    <w:div w:id="1758210692">
      <w:bodyDiv w:val="1"/>
      <w:marLeft w:val="0"/>
      <w:marRight w:val="0"/>
      <w:marTop w:val="0"/>
      <w:marBottom w:val="0"/>
      <w:divBdr>
        <w:top w:val="none" w:sz="0" w:space="0" w:color="auto"/>
        <w:left w:val="none" w:sz="0" w:space="0" w:color="auto"/>
        <w:bottom w:val="none" w:sz="0" w:space="0" w:color="auto"/>
        <w:right w:val="none" w:sz="0" w:space="0" w:color="auto"/>
      </w:divBdr>
    </w:div>
    <w:div w:id="2057777462">
      <w:bodyDiv w:val="1"/>
      <w:marLeft w:val="0"/>
      <w:marRight w:val="0"/>
      <w:marTop w:val="0"/>
      <w:marBottom w:val="0"/>
      <w:divBdr>
        <w:top w:val="none" w:sz="0" w:space="0" w:color="auto"/>
        <w:left w:val="none" w:sz="0" w:space="0" w:color="auto"/>
        <w:bottom w:val="none" w:sz="0" w:space="0" w:color="auto"/>
        <w:right w:val="none" w:sz="0" w:space="0" w:color="auto"/>
      </w:divBdr>
    </w:div>
    <w:div w:id="21225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0208-5892-4A91-915F-744BB762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5</Pages>
  <Words>1775</Words>
  <Characters>10118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andrejholic@gmail.com</dc:creator>
  <cp:keywords/>
  <dc:description/>
  <cp:lastModifiedBy>Administrator</cp:lastModifiedBy>
  <cp:revision>15</cp:revision>
  <cp:lastPrinted>2023-11-07T10:17:00Z</cp:lastPrinted>
  <dcterms:created xsi:type="dcterms:W3CDTF">2023-11-09T08:58:00Z</dcterms:created>
  <dcterms:modified xsi:type="dcterms:W3CDTF">2023-11-12T17:51:00Z</dcterms:modified>
</cp:coreProperties>
</file>