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4396" w14:textId="77777777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22"/>
          <w:szCs w:val="22"/>
        </w:rPr>
      </w:pPr>
      <w:r w:rsidRPr="00B7708E">
        <w:rPr>
          <w:rFonts w:asciiTheme="majorHAnsi" w:hAnsiTheme="majorHAnsi" w:cstheme="minorHAnsi"/>
          <w:sz w:val="22"/>
          <w:szCs w:val="22"/>
        </w:rPr>
        <w:t>SLOVENSKÁ TECHNICKÁ UNIVERZITA V BRATISLAVE</w:t>
      </w:r>
    </w:p>
    <w:p w14:paraId="672A6659" w14:textId="77777777" w:rsidR="000F7B91" w:rsidRPr="00B7708E" w:rsidRDefault="000F7B91" w:rsidP="007D42C2">
      <w:pPr>
        <w:rPr>
          <w:rFonts w:asciiTheme="majorHAnsi" w:hAnsiTheme="majorHAnsi" w:cstheme="minorHAnsi"/>
        </w:rPr>
      </w:pPr>
    </w:p>
    <w:p w14:paraId="358E47B0" w14:textId="77777777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ZÁPISNICA č. </w:t>
      </w:r>
      <w:r w:rsidR="00FB648F" w:rsidRPr="00B7708E">
        <w:rPr>
          <w:rFonts w:asciiTheme="majorHAnsi" w:hAnsiTheme="majorHAnsi" w:cstheme="minorHAnsi"/>
          <w:sz w:val="18"/>
          <w:szCs w:val="18"/>
        </w:rPr>
        <w:t>10</w:t>
      </w:r>
      <w:r w:rsidRPr="00B7708E">
        <w:rPr>
          <w:rFonts w:asciiTheme="majorHAnsi" w:hAnsiTheme="majorHAnsi" w:cstheme="minorHAnsi"/>
          <w:sz w:val="18"/>
          <w:szCs w:val="18"/>
        </w:rPr>
        <w:t>/201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68777B11" w14:textId="77777777" w:rsidR="000F7B91" w:rsidRPr="00B7708E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zo zasadnutia</w:t>
      </w:r>
      <w:r w:rsidR="006130B4" w:rsidRPr="00B7708E">
        <w:rPr>
          <w:rFonts w:asciiTheme="majorHAnsi" w:hAnsiTheme="majorHAnsi" w:cstheme="minorHAnsi"/>
          <w:sz w:val="18"/>
          <w:szCs w:val="18"/>
        </w:rPr>
        <w:t xml:space="preserve"> </w:t>
      </w:r>
      <w:r w:rsidRPr="00B7708E">
        <w:rPr>
          <w:rFonts w:asciiTheme="majorHAnsi" w:hAnsiTheme="majorHAnsi" w:cstheme="minorHAnsi"/>
          <w:sz w:val="18"/>
          <w:szCs w:val="18"/>
        </w:rPr>
        <w:t>Vedenia STU z</w:t>
      </w:r>
      <w:r w:rsidR="00DA0F84" w:rsidRPr="00B7708E">
        <w:rPr>
          <w:rFonts w:asciiTheme="majorHAnsi" w:hAnsiTheme="majorHAnsi" w:cstheme="minorHAnsi"/>
          <w:sz w:val="18"/>
          <w:szCs w:val="18"/>
        </w:rPr>
        <w:t>o dňa</w:t>
      </w:r>
      <w:r w:rsidRPr="00B7708E">
        <w:rPr>
          <w:rFonts w:asciiTheme="majorHAnsi" w:hAnsiTheme="majorHAnsi" w:cstheme="minorHAnsi"/>
          <w:sz w:val="18"/>
          <w:szCs w:val="18"/>
        </w:rPr>
        <w:t> </w:t>
      </w:r>
      <w:r w:rsidR="00FB648F" w:rsidRPr="00B7708E">
        <w:rPr>
          <w:rFonts w:asciiTheme="majorHAnsi" w:hAnsiTheme="majorHAnsi" w:cstheme="minorHAnsi"/>
          <w:sz w:val="18"/>
          <w:szCs w:val="18"/>
        </w:rPr>
        <w:t>29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="008E6AA1" w:rsidRPr="00B7708E">
        <w:rPr>
          <w:rFonts w:asciiTheme="majorHAnsi" w:hAnsiTheme="majorHAnsi" w:cstheme="minorHAnsi"/>
          <w:sz w:val="18"/>
          <w:szCs w:val="18"/>
        </w:rPr>
        <w:t>0</w:t>
      </w:r>
      <w:r w:rsidR="002063AE" w:rsidRPr="00B7708E">
        <w:rPr>
          <w:rFonts w:asciiTheme="majorHAnsi" w:hAnsiTheme="majorHAnsi" w:cstheme="minorHAnsi"/>
          <w:sz w:val="18"/>
          <w:szCs w:val="18"/>
        </w:rPr>
        <w:t>5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Pr="00B7708E">
        <w:rPr>
          <w:rFonts w:asciiTheme="majorHAnsi" w:hAnsiTheme="majorHAnsi" w:cstheme="minorHAnsi"/>
          <w:sz w:val="18"/>
          <w:szCs w:val="18"/>
        </w:rPr>
        <w:t>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0A37501D" w14:textId="77777777" w:rsidR="000F7B91" w:rsidRPr="00B7708E" w:rsidRDefault="000F7B91" w:rsidP="005C11BC">
      <w:pPr>
        <w:ind w:right="284"/>
        <w:jc w:val="both"/>
        <w:rPr>
          <w:rFonts w:asciiTheme="majorHAnsi" w:hAnsiTheme="majorHAnsi" w:cstheme="minorHAnsi"/>
          <w:i/>
        </w:rPr>
      </w:pPr>
    </w:p>
    <w:p w14:paraId="25692BB8" w14:textId="42F20BA1" w:rsidR="000F7B91" w:rsidRPr="00B7708E" w:rsidRDefault="000F7B91" w:rsidP="2100CB6A">
      <w:pPr>
        <w:pStyle w:val="Zarkazkladnhotextu"/>
        <w:ind w:left="1416" w:right="284" w:hanging="1416"/>
        <w:jc w:val="left"/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</w:pP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 xml:space="preserve">PRÍTOMNÍ: </w:t>
      </w:r>
      <w:r w:rsidRPr="00B7708E">
        <w:rPr>
          <w:rFonts w:asciiTheme="majorHAnsi" w:hAnsiTheme="majorHAnsi" w:cstheme="minorHAnsi"/>
          <w:b/>
          <w:sz w:val="18"/>
          <w:szCs w:val="18"/>
          <w:lang w:val="sk-SK"/>
        </w:rPr>
        <w:tab/>
      </w: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>podľa prezenčnej listiny</w:t>
      </w:r>
    </w:p>
    <w:p w14:paraId="5DAB6C7B" w14:textId="77777777" w:rsidR="000F7B91" w:rsidRPr="00B7708E" w:rsidRDefault="000F7B91" w:rsidP="008D0246">
      <w:pPr>
        <w:pStyle w:val="Zarkazkladnhotextu"/>
        <w:ind w:right="284"/>
        <w:jc w:val="left"/>
        <w:rPr>
          <w:rFonts w:asciiTheme="majorHAnsi" w:hAnsiTheme="majorHAnsi" w:cstheme="minorHAnsi"/>
          <w:i/>
          <w:sz w:val="18"/>
          <w:szCs w:val="18"/>
          <w:u w:val="single"/>
          <w:lang w:val="sk-SK"/>
        </w:rPr>
      </w:pPr>
    </w:p>
    <w:p w14:paraId="704C2642" w14:textId="77777777" w:rsidR="00AB3B0E" w:rsidRPr="00B7708E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</w:pP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t xml:space="preserve">PROGRAM:  </w:t>
      </w: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br/>
      </w:r>
    </w:p>
    <w:p w14:paraId="0D66AA9F" w14:textId="77777777" w:rsidR="0097245C" w:rsidRPr="00B7708E" w:rsidRDefault="0097245C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Otvorenie</w:t>
      </w:r>
    </w:p>
    <w:p w14:paraId="07C32997" w14:textId="77777777" w:rsidR="002063AE" w:rsidRPr="00B7708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Informácia o projekte ACCORD </w:t>
      </w:r>
    </w:p>
    <w:p w14:paraId="1889DD44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Kontrola úloh</w:t>
      </w:r>
    </w:p>
    <w:p w14:paraId="29FD4F9A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Ústav manažmentu - ďalšie podmienky prijímania na </w:t>
      </w:r>
      <w:proofErr w:type="spellStart"/>
      <w:r w:rsidRPr="00B7708E">
        <w:rPr>
          <w:rFonts w:asciiTheme="majorHAnsi" w:hAnsiTheme="majorHAnsi" w:cstheme="minorHAnsi"/>
          <w:sz w:val="18"/>
          <w:szCs w:val="18"/>
        </w:rPr>
        <w:t>Bc</w:t>
      </w:r>
      <w:proofErr w:type="spellEnd"/>
      <w:r w:rsidRPr="00B7708E">
        <w:rPr>
          <w:rFonts w:asciiTheme="majorHAnsi" w:hAnsiTheme="majorHAnsi" w:cstheme="minorHAnsi"/>
          <w:sz w:val="18"/>
          <w:szCs w:val="18"/>
        </w:rPr>
        <w:t xml:space="preserve"> (ŠO 3.3.20) IPPP 2020-2021</w:t>
      </w:r>
    </w:p>
    <w:p w14:paraId="46DAF767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Ústav manažmentu - ďalšie podmienky prijímania </w:t>
      </w:r>
      <w:proofErr w:type="spellStart"/>
      <w:r w:rsidRPr="00B7708E">
        <w:rPr>
          <w:rFonts w:asciiTheme="majorHAnsi" w:hAnsiTheme="majorHAnsi" w:cstheme="minorHAnsi"/>
          <w:sz w:val="18"/>
          <w:szCs w:val="18"/>
        </w:rPr>
        <w:t>Bc</w:t>
      </w:r>
      <w:proofErr w:type="spellEnd"/>
      <w:r w:rsidRPr="00B7708E">
        <w:rPr>
          <w:rFonts w:asciiTheme="majorHAnsi" w:hAnsiTheme="majorHAnsi" w:cstheme="minorHAnsi"/>
          <w:sz w:val="18"/>
          <w:szCs w:val="18"/>
        </w:rPr>
        <w:t xml:space="preserve"> (ŠO 5.1.2) PP 2020-2021 </w:t>
      </w:r>
    </w:p>
    <w:p w14:paraId="5A975A14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Usmernenie k použitiu účelovej dotácie na podporu úspešných výskumných tímov v rámci programu Horizont 2020</w:t>
      </w:r>
    </w:p>
    <w:p w14:paraId="351F88F0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Letná univerzita pre stredoškolákov 2019 </w:t>
      </w:r>
    </w:p>
    <w:p w14:paraId="5FC79150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Schválenie účasti na veľtrhu vysokých škôl na Ukrajine </w:t>
      </w:r>
    </w:p>
    <w:p w14:paraId="164C7956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i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Návrh príkazu rektora Opatrenia na odstránenie nedostatkov zistených kontrolou Najvyššieho kontrolného úradu SR v roku 2019 </w:t>
      </w:r>
    </w:p>
    <w:p w14:paraId="41045C3A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Aktualizácia údajov zapísaných na živnostenskom oprávnení Slovenskej technickej univerzity v Bratislave </w:t>
      </w:r>
    </w:p>
    <w:p w14:paraId="0AAB7675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Návrh Dodatku č. 1 k smernici kvestora číslo 2/2016-SK zo dňa 31.7.2016 Vykonávanie finančnej kontroly na Rektoráte STU v Bratislave a na centrálne financovaných súčastiach STU v Bratislave                     </w:t>
      </w:r>
    </w:p>
    <w:p w14:paraId="41906C59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Návrh na odsúhlasenie nájomných zmlúv a dodatkov k nájomným zmluvám </w:t>
      </w:r>
    </w:p>
    <w:p w14:paraId="685A5E4A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Grantová schéma na podporu excelentných tímov mladých výskumníkov – vyhodnotenie výzvy </w:t>
      </w:r>
    </w:p>
    <w:p w14:paraId="1A61190D" w14:textId="77777777" w:rsidR="00401860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Rôzne</w:t>
      </w:r>
    </w:p>
    <w:p w14:paraId="24349CC4" w14:textId="3EFCF194" w:rsidR="00401860" w:rsidRPr="00B7708E" w:rsidRDefault="00401860" w:rsidP="2100CB6A">
      <w:pPr>
        <w:pStyle w:val="Odsekzoznamu"/>
        <w:tabs>
          <w:tab w:val="left" w:pos="851"/>
        </w:tabs>
        <w:ind w:left="577"/>
        <w:rPr>
          <w:rFonts w:asciiTheme="majorHAnsi" w:hAnsiTheme="majorHAnsi" w:cstheme="minorBidi"/>
          <w:sz w:val="18"/>
          <w:szCs w:val="18"/>
        </w:rPr>
      </w:pPr>
      <w:r w:rsidRPr="2100CB6A">
        <w:rPr>
          <w:rFonts w:asciiTheme="majorHAnsi" w:hAnsiTheme="majorHAnsi" w:cstheme="minorBidi"/>
          <w:sz w:val="18"/>
          <w:szCs w:val="18"/>
        </w:rPr>
        <w:t xml:space="preserve">A. </w:t>
      </w:r>
      <w:r w:rsidRPr="00B7708E">
        <w:rPr>
          <w:rFonts w:asciiTheme="majorHAnsi" w:hAnsiTheme="majorHAnsi" w:cstheme="minorHAnsi"/>
          <w:sz w:val="18"/>
          <w:szCs w:val="18"/>
        </w:rPr>
        <w:tab/>
      </w:r>
      <w:r w:rsidR="00FB648F" w:rsidRPr="2100CB6A">
        <w:rPr>
          <w:rFonts w:asciiTheme="majorHAnsi" w:hAnsiTheme="majorHAnsi" w:cstheme="minorBidi"/>
          <w:sz w:val="18"/>
          <w:szCs w:val="18"/>
        </w:rPr>
        <w:t>Projekty p</w:t>
      </w:r>
      <w:r w:rsidRPr="2100CB6A">
        <w:rPr>
          <w:rFonts w:asciiTheme="majorHAnsi" w:hAnsiTheme="majorHAnsi" w:cstheme="minorBidi"/>
          <w:sz w:val="18"/>
          <w:szCs w:val="18"/>
        </w:rPr>
        <w:t>odané za STU v rámci H2020 MSCA</w:t>
      </w:r>
    </w:p>
    <w:p w14:paraId="7CDC7EE2" w14:textId="77777777" w:rsidR="00401860" w:rsidRPr="00B7708E" w:rsidRDefault="00401860" w:rsidP="00401860">
      <w:pPr>
        <w:pStyle w:val="Odsekzoznamu"/>
        <w:tabs>
          <w:tab w:val="left" w:pos="851"/>
        </w:tabs>
        <w:ind w:left="57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B.</w:t>
      </w:r>
      <w:r w:rsidRPr="00B7708E">
        <w:rPr>
          <w:rFonts w:asciiTheme="majorHAnsi" w:hAnsiTheme="majorHAnsi" w:cstheme="minorHAnsi"/>
          <w:sz w:val="18"/>
          <w:szCs w:val="18"/>
        </w:rPr>
        <w:tab/>
      </w:r>
      <w:r w:rsidR="00B7708E">
        <w:rPr>
          <w:rFonts w:asciiTheme="majorHAnsi" w:hAnsiTheme="majorHAnsi" w:cstheme="minorHAnsi"/>
          <w:sz w:val="18"/>
          <w:szCs w:val="18"/>
        </w:rPr>
        <w:t>Memorandum o spolupráci medzi STU, SAV a UK</w:t>
      </w:r>
      <w:r w:rsidR="00FB648F" w:rsidRPr="00B7708E">
        <w:rPr>
          <w:rFonts w:asciiTheme="majorHAnsi" w:hAnsiTheme="majorHAnsi" w:cstheme="minorHAnsi"/>
          <w:sz w:val="18"/>
          <w:szCs w:val="18"/>
        </w:rPr>
        <w:t xml:space="preserve"> </w:t>
      </w:r>
      <w:r w:rsidRPr="00B7708E">
        <w:rPr>
          <w:rFonts w:asciiTheme="majorHAnsi" w:hAnsiTheme="majorHAnsi" w:cstheme="minorHAnsi"/>
          <w:sz w:val="18"/>
          <w:szCs w:val="18"/>
        </w:rPr>
        <w:t>–</w:t>
      </w:r>
      <w:r w:rsidR="00FB648F" w:rsidRPr="00B7708E">
        <w:rPr>
          <w:rFonts w:asciiTheme="majorHAnsi" w:hAnsiTheme="majorHAnsi" w:cstheme="minorHAnsi"/>
          <w:sz w:val="18"/>
          <w:szCs w:val="18"/>
        </w:rPr>
        <w:t xml:space="preserve"> návrh</w:t>
      </w:r>
    </w:p>
    <w:p w14:paraId="336FBB10" w14:textId="77777777" w:rsidR="00FB648F" w:rsidRPr="00B7708E" w:rsidRDefault="00401860" w:rsidP="00401860">
      <w:pPr>
        <w:pStyle w:val="Odsekzoznamu"/>
        <w:tabs>
          <w:tab w:val="left" w:pos="851"/>
        </w:tabs>
        <w:ind w:left="57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C.</w:t>
      </w:r>
      <w:r w:rsidRPr="00B7708E">
        <w:rPr>
          <w:rFonts w:asciiTheme="majorHAnsi" w:hAnsiTheme="majorHAnsi" w:cstheme="minorHAnsi"/>
          <w:sz w:val="18"/>
          <w:szCs w:val="18"/>
        </w:rPr>
        <w:tab/>
      </w:r>
      <w:r w:rsidR="00FB648F" w:rsidRPr="00B7708E">
        <w:rPr>
          <w:rFonts w:asciiTheme="majorHAnsi" w:hAnsiTheme="majorHAnsi" w:cstheme="minorHAnsi"/>
          <w:sz w:val="18"/>
          <w:szCs w:val="18"/>
        </w:rPr>
        <w:t xml:space="preserve">Informácia k rekonštrukcii ŠD STU v Bratislave </w:t>
      </w:r>
    </w:p>
    <w:p w14:paraId="02EB378F" w14:textId="77777777" w:rsidR="00F11A51" w:rsidRDefault="00F11A51" w:rsidP="0097245C">
      <w:pPr>
        <w:pStyle w:val="Odsekzoznamu"/>
        <w:tabs>
          <w:tab w:val="left" w:pos="851"/>
        </w:tabs>
        <w:ind w:left="578"/>
      </w:pPr>
    </w:p>
    <w:p w14:paraId="57CE69F5" w14:textId="77777777"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14:paraId="6A05A809" w14:textId="77777777"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14:paraId="5AB88B26" w14:textId="77777777" w:rsidR="00B7708E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úvode rokovania rektor privítal prítomných</w:t>
      </w:r>
      <w:r w:rsidR="00B7708E">
        <w:rPr>
          <w:rFonts w:asciiTheme="majorHAnsi" w:hAnsiTheme="majorHAnsi"/>
          <w:sz w:val="18"/>
          <w:szCs w:val="18"/>
        </w:rPr>
        <w:t xml:space="preserve">, osobitne nového predsedu AS STU, prof. Peciara, ktorý bol zvolený do </w:t>
      </w:r>
      <w:r w:rsidR="007E2F2D">
        <w:rPr>
          <w:rFonts w:asciiTheme="majorHAnsi" w:hAnsiTheme="majorHAnsi"/>
          <w:sz w:val="18"/>
          <w:szCs w:val="18"/>
        </w:rPr>
        <w:t xml:space="preserve">uvedenej </w:t>
      </w:r>
      <w:r w:rsidR="00B7708E">
        <w:rPr>
          <w:rFonts w:asciiTheme="majorHAnsi" w:hAnsiTheme="majorHAnsi"/>
          <w:sz w:val="18"/>
          <w:szCs w:val="18"/>
        </w:rPr>
        <w:t xml:space="preserve">funkcie na zasadnutí AS STU dňa 27.5.2019. </w:t>
      </w:r>
    </w:p>
    <w:p w14:paraId="33BA0B32" w14:textId="77777777" w:rsidR="00DC6B11" w:rsidRDefault="00B7708E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="005F264C">
        <w:rPr>
          <w:rFonts w:asciiTheme="majorHAnsi" w:hAnsiTheme="majorHAnsi"/>
          <w:sz w:val="18"/>
          <w:szCs w:val="18"/>
        </w:rPr>
        <w:t xml:space="preserve">boznámil </w:t>
      </w:r>
      <w:r>
        <w:rPr>
          <w:rFonts w:asciiTheme="majorHAnsi" w:hAnsiTheme="majorHAnsi"/>
          <w:sz w:val="18"/>
          <w:szCs w:val="18"/>
        </w:rPr>
        <w:t xml:space="preserve">členov vedenia </w:t>
      </w:r>
      <w:r w:rsidR="005F264C">
        <w:rPr>
          <w:rFonts w:asciiTheme="majorHAnsi" w:hAnsiTheme="majorHAnsi"/>
          <w:sz w:val="18"/>
          <w:szCs w:val="18"/>
        </w:rPr>
        <w:t xml:space="preserve">s programom </w:t>
      </w:r>
      <w:r>
        <w:rPr>
          <w:rFonts w:asciiTheme="majorHAnsi" w:hAnsiTheme="majorHAnsi"/>
          <w:sz w:val="18"/>
          <w:szCs w:val="18"/>
        </w:rPr>
        <w:t>10</w:t>
      </w:r>
      <w:r w:rsidR="00DC6B11">
        <w:rPr>
          <w:rFonts w:asciiTheme="majorHAnsi" w:hAnsiTheme="majorHAnsi"/>
          <w:sz w:val="18"/>
          <w:szCs w:val="18"/>
        </w:rPr>
        <w:t>. zasadnut</w:t>
      </w:r>
      <w:r w:rsidR="005F264C">
        <w:rPr>
          <w:rFonts w:asciiTheme="majorHAnsi" w:hAnsiTheme="majorHAnsi"/>
          <w:sz w:val="18"/>
          <w:szCs w:val="18"/>
        </w:rPr>
        <w:t>ia</w:t>
      </w:r>
      <w:r w:rsidR="00DC6B11">
        <w:rPr>
          <w:rFonts w:asciiTheme="majorHAnsi" w:hAnsiTheme="majorHAnsi"/>
          <w:sz w:val="18"/>
          <w:szCs w:val="18"/>
        </w:rPr>
        <w:t xml:space="preserve"> Vedenia STU.</w:t>
      </w:r>
    </w:p>
    <w:p w14:paraId="5A39BBE3" w14:textId="77777777" w:rsidR="00D40E69" w:rsidRDefault="00D40E69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14:paraId="244CD2CA" w14:textId="77777777" w:rsidR="005F264C" w:rsidRDefault="005F264C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7708E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14:paraId="0500D59A" w14:textId="77777777" w:rsidR="005F264C" w:rsidRDefault="005F264C" w:rsidP="005F264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 STU schvaľuje program </w:t>
      </w:r>
      <w:r w:rsidR="00B7708E">
        <w:rPr>
          <w:rFonts w:ascii="Cambria" w:hAnsi="Cambria" w:cs="Arial"/>
          <w:sz w:val="18"/>
          <w:szCs w:val="18"/>
        </w:rPr>
        <w:t>10</w:t>
      </w:r>
      <w:r>
        <w:rPr>
          <w:rFonts w:ascii="Cambria" w:hAnsi="Cambria" w:cs="Arial"/>
          <w:sz w:val="18"/>
          <w:szCs w:val="18"/>
        </w:rPr>
        <w:t>. zasadnutia vedenia bez pripomienok.</w:t>
      </w:r>
    </w:p>
    <w:p w14:paraId="41C8F396" w14:textId="77777777"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14:paraId="3BE2CE52" w14:textId="77777777"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14:paraId="72A3D3EC" w14:textId="77777777"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14:paraId="592E7A30" w14:textId="77777777" w:rsidR="00D5168A" w:rsidRDefault="00457CB9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</w:t>
      </w:r>
      <w:r w:rsidR="00985F5A">
        <w:rPr>
          <w:rFonts w:asciiTheme="majorHAnsi" w:hAnsiTheme="majorHAnsi"/>
          <w:sz w:val="18"/>
          <w:szCs w:val="18"/>
        </w:rPr>
        <w:t xml:space="preserve"> 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projektu ACOORD</w:t>
      </w:r>
      <w:r w:rsidR="00FD7990">
        <w:rPr>
          <w:rFonts w:asciiTheme="majorHAnsi" w:hAnsiTheme="majorHAnsi"/>
          <w:sz w:val="18"/>
          <w:szCs w:val="18"/>
        </w:rPr>
        <w:t>.</w:t>
      </w:r>
      <w:r w:rsidR="00985F5A">
        <w:rPr>
          <w:rFonts w:asciiTheme="majorHAnsi" w:hAnsiTheme="majorHAnsi"/>
          <w:sz w:val="18"/>
          <w:szCs w:val="18"/>
        </w:rPr>
        <w:t xml:space="preserve"> </w:t>
      </w:r>
    </w:p>
    <w:p w14:paraId="4E555537" w14:textId="77777777" w:rsidR="00D5168A" w:rsidRDefault="00985F5A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457CB9">
        <w:rPr>
          <w:rFonts w:asciiTheme="majorHAnsi" w:hAnsiTheme="majorHAnsi"/>
          <w:sz w:val="18"/>
          <w:szCs w:val="18"/>
        </w:rPr>
        <w:t xml:space="preserve"> o</w:t>
      </w:r>
      <w:r w:rsidR="00B7708E">
        <w:rPr>
          <w:rFonts w:asciiTheme="majorHAnsi" w:hAnsiTheme="majorHAnsi"/>
          <w:sz w:val="18"/>
          <w:szCs w:val="18"/>
        </w:rPr>
        <w:t xml:space="preserve"> zásadných </w:t>
      </w:r>
      <w:r w:rsidR="00D5168A">
        <w:rPr>
          <w:rFonts w:asciiTheme="majorHAnsi" w:hAnsiTheme="majorHAnsi"/>
          <w:sz w:val="18"/>
          <w:szCs w:val="18"/>
        </w:rPr>
        <w:t>skutočnostiach</w:t>
      </w:r>
      <w:r w:rsidR="00DA35F7">
        <w:rPr>
          <w:rFonts w:asciiTheme="majorHAnsi" w:hAnsiTheme="majorHAnsi"/>
          <w:sz w:val="18"/>
          <w:szCs w:val="18"/>
        </w:rPr>
        <w:t>, ktoré posúvajú projekt do ďalšieho štádia</w:t>
      </w:r>
      <w:r w:rsidR="00D5168A">
        <w:rPr>
          <w:rFonts w:asciiTheme="majorHAnsi" w:hAnsiTheme="majorHAnsi"/>
          <w:sz w:val="18"/>
          <w:szCs w:val="18"/>
        </w:rPr>
        <w:t>:</w:t>
      </w:r>
    </w:p>
    <w:p w14:paraId="2D2B77B1" w14:textId="77777777" w:rsidR="00D5168A" w:rsidRPr="00400ED2" w:rsidRDefault="00D5168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>požiadavka na zmenu spôsob</w:t>
      </w:r>
      <w:r w:rsidR="00334CD1" w:rsidRPr="00400ED2">
        <w:rPr>
          <w:rFonts w:asciiTheme="majorHAnsi" w:hAnsiTheme="majorHAnsi"/>
          <w:sz w:val="18"/>
          <w:szCs w:val="18"/>
        </w:rPr>
        <w:t>u</w:t>
      </w:r>
      <w:r w:rsidRPr="00400ED2">
        <w:rPr>
          <w:rFonts w:asciiTheme="majorHAnsi" w:hAnsiTheme="majorHAnsi"/>
          <w:sz w:val="18"/>
          <w:szCs w:val="18"/>
        </w:rPr>
        <w:t xml:space="preserve"> spolufinancovania</w:t>
      </w:r>
      <w:r w:rsidR="00DA35F7" w:rsidRPr="00400ED2">
        <w:rPr>
          <w:rFonts w:asciiTheme="majorHAnsi" w:hAnsiTheme="majorHAnsi"/>
          <w:sz w:val="18"/>
          <w:szCs w:val="18"/>
        </w:rPr>
        <w:t xml:space="preserve"> nebola odsúhlasená </w:t>
      </w:r>
      <w:r w:rsidR="00400ED2">
        <w:rPr>
          <w:rFonts w:asciiTheme="majorHAnsi" w:hAnsiTheme="majorHAnsi"/>
          <w:sz w:val="18"/>
          <w:szCs w:val="18"/>
        </w:rPr>
        <w:t>riadiacim orgánom (</w:t>
      </w:r>
      <w:r w:rsidR="00DA35F7" w:rsidRPr="00400ED2">
        <w:rPr>
          <w:rFonts w:asciiTheme="majorHAnsi" w:hAnsiTheme="majorHAnsi"/>
          <w:sz w:val="18"/>
          <w:szCs w:val="18"/>
        </w:rPr>
        <w:t>RO</w:t>
      </w:r>
      <w:r w:rsidR="00400ED2">
        <w:rPr>
          <w:rFonts w:asciiTheme="majorHAnsi" w:hAnsiTheme="majorHAnsi"/>
          <w:sz w:val="18"/>
          <w:szCs w:val="18"/>
        </w:rPr>
        <w:t>)</w:t>
      </w:r>
    </w:p>
    <w:p w14:paraId="2CA36A2E" w14:textId="77777777" w:rsidR="00D5168A" w:rsidRPr="00400ED2" w:rsidRDefault="00400ED2" w:rsidP="00D5168A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</w:t>
      </w:r>
      <w:r w:rsidR="00D5168A" w:rsidRPr="00400ED2">
        <w:rPr>
          <w:rFonts w:asciiTheme="majorHAnsi" w:hAnsiTheme="majorHAnsi"/>
          <w:sz w:val="18"/>
          <w:szCs w:val="18"/>
        </w:rPr>
        <w:t xml:space="preserve"> trvá na pôvodnom rozdelení</w:t>
      </w:r>
    </w:p>
    <w:p w14:paraId="5FA03969" w14:textId="77777777" w:rsidR="00400ED2" w:rsidRDefault="00400ED2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RO </w:t>
      </w:r>
      <w:r w:rsidR="00D5168A" w:rsidRPr="00400ED2">
        <w:rPr>
          <w:rFonts w:asciiTheme="majorHAnsi" w:hAnsiTheme="majorHAnsi"/>
          <w:sz w:val="18"/>
          <w:szCs w:val="18"/>
        </w:rPr>
        <w:t>pripravuje usmernenie č. 2 k</w:t>
      </w:r>
      <w:r w:rsidR="00DA35F7" w:rsidRPr="00400ED2">
        <w:rPr>
          <w:rFonts w:asciiTheme="majorHAnsi" w:hAnsiTheme="majorHAnsi"/>
          <w:sz w:val="18"/>
          <w:szCs w:val="18"/>
        </w:rPr>
        <w:t> </w:t>
      </w:r>
      <w:r w:rsidR="00D5168A" w:rsidRPr="00400ED2">
        <w:rPr>
          <w:rFonts w:asciiTheme="majorHAnsi" w:hAnsiTheme="majorHAnsi"/>
          <w:sz w:val="18"/>
          <w:szCs w:val="18"/>
        </w:rPr>
        <w:t>vyzvaniu</w:t>
      </w:r>
      <w:r w:rsidR="00DA35F7" w:rsidRPr="00400ED2">
        <w:rPr>
          <w:rFonts w:asciiTheme="majorHAnsi" w:hAnsiTheme="majorHAnsi"/>
          <w:sz w:val="18"/>
          <w:szCs w:val="18"/>
        </w:rPr>
        <w:t>, ktoré bude riešiť zníženie oprávnených výdavkov na projekt na úrov</w:t>
      </w:r>
      <w:r w:rsidR="009A42AA">
        <w:rPr>
          <w:rFonts w:asciiTheme="majorHAnsi" w:hAnsiTheme="majorHAnsi"/>
          <w:sz w:val="18"/>
          <w:szCs w:val="18"/>
        </w:rPr>
        <w:t>eň</w:t>
      </w:r>
      <w:r w:rsidR="00DA35F7" w:rsidRPr="00400ED2">
        <w:rPr>
          <w:rFonts w:asciiTheme="majorHAnsi" w:hAnsiTheme="majorHAnsi"/>
          <w:sz w:val="18"/>
          <w:szCs w:val="18"/>
        </w:rPr>
        <w:t xml:space="preserve"> cca 111 300 tis. </w:t>
      </w:r>
      <w:r>
        <w:rPr>
          <w:rFonts w:asciiTheme="majorHAnsi" w:hAnsiTheme="majorHAnsi"/>
          <w:sz w:val="18"/>
          <w:szCs w:val="18"/>
        </w:rPr>
        <w:t xml:space="preserve">EUR </w:t>
      </w:r>
      <w:r w:rsidR="00DA35F7" w:rsidRPr="00400ED2">
        <w:rPr>
          <w:rFonts w:asciiTheme="majorHAnsi" w:hAnsiTheme="majorHAnsi"/>
          <w:sz w:val="18"/>
          <w:szCs w:val="18"/>
        </w:rPr>
        <w:t xml:space="preserve">namiesto </w:t>
      </w:r>
      <w:r w:rsidR="009A42AA">
        <w:rPr>
          <w:rFonts w:asciiTheme="majorHAnsi" w:hAnsiTheme="majorHAnsi"/>
          <w:sz w:val="18"/>
          <w:szCs w:val="18"/>
        </w:rPr>
        <w:t xml:space="preserve">pôvodných </w:t>
      </w:r>
      <w:r w:rsidR="00DA35F7" w:rsidRPr="00400ED2">
        <w:rPr>
          <w:rFonts w:asciiTheme="majorHAnsi" w:hAnsiTheme="majorHAnsi"/>
          <w:sz w:val="18"/>
          <w:szCs w:val="18"/>
        </w:rPr>
        <w:t>120 tis.</w:t>
      </w:r>
      <w:r>
        <w:rPr>
          <w:rFonts w:asciiTheme="majorHAnsi" w:hAnsiTheme="majorHAnsi"/>
          <w:sz w:val="18"/>
          <w:szCs w:val="18"/>
        </w:rPr>
        <w:t xml:space="preserve"> EUR</w:t>
      </w:r>
    </w:p>
    <w:p w14:paraId="6822A926" w14:textId="77777777" w:rsidR="00400ED2" w:rsidRDefault="00400ED2" w:rsidP="00400ED2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cca</w:t>
      </w:r>
      <w:r w:rsidR="00DA35F7" w:rsidRPr="00400ED2">
        <w:rPr>
          <w:rFonts w:asciiTheme="majorHAnsi" w:hAnsiTheme="majorHAnsi"/>
          <w:sz w:val="18"/>
          <w:szCs w:val="18"/>
        </w:rPr>
        <w:t xml:space="preserve"> 8 750 tis</w:t>
      </w:r>
      <w:r>
        <w:rPr>
          <w:rFonts w:asciiTheme="majorHAnsi" w:hAnsiTheme="majorHAnsi"/>
          <w:sz w:val="18"/>
          <w:szCs w:val="18"/>
        </w:rPr>
        <w:t>. EUR</w:t>
      </w:r>
      <w:r w:rsidR="00DA35F7" w:rsidRPr="00400ED2">
        <w:rPr>
          <w:rFonts w:asciiTheme="majorHAnsi" w:hAnsiTheme="majorHAnsi"/>
          <w:sz w:val="18"/>
          <w:szCs w:val="18"/>
        </w:rPr>
        <w:t xml:space="preserve"> ostáva </w:t>
      </w:r>
      <w:r w:rsidR="009A42AA">
        <w:rPr>
          <w:rFonts w:asciiTheme="majorHAnsi" w:hAnsiTheme="majorHAnsi"/>
          <w:sz w:val="18"/>
          <w:szCs w:val="18"/>
        </w:rPr>
        <w:t xml:space="preserve">STU </w:t>
      </w:r>
      <w:r w:rsidR="00DA35F7" w:rsidRPr="00400ED2">
        <w:rPr>
          <w:rFonts w:asciiTheme="majorHAnsi" w:hAnsiTheme="majorHAnsi"/>
          <w:sz w:val="18"/>
          <w:szCs w:val="18"/>
        </w:rPr>
        <w:t>ako súčasť výdavkov na projekt, ale budú kategorizované ako neoprávnené výdavky</w:t>
      </w:r>
    </w:p>
    <w:p w14:paraId="6A0EDD0D" w14:textId="77777777" w:rsidR="00D5168A" w:rsidRPr="00400ED2" w:rsidRDefault="00DA35F7" w:rsidP="00400ED2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 xml:space="preserve">nie je potrebné prepracovať </w:t>
      </w:r>
      <w:proofErr w:type="spellStart"/>
      <w:r w:rsidR="00400ED2">
        <w:rPr>
          <w:rFonts w:asciiTheme="majorHAnsi" w:hAnsiTheme="majorHAnsi"/>
          <w:sz w:val="18"/>
          <w:szCs w:val="18"/>
        </w:rPr>
        <w:t>cost</w:t>
      </w:r>
      <w:proofErr w:type="spellEnd"/>
      <w:r w:rsidR="00400ED2">
        <w:rPr>
          <w:rFonts w:asciiTheme="majorHAnsi" w:hAnsiTheme="majorHAnsi"/>
          <w:sz w:val="18"/>
          <w:szCs w:val="18"/>
        </w:rPr>
        <w:t xml:space="preserve"> benefit analýzu (</w:t>
      </w:r>
      <w:r w:rsidRPr="00400ED2">
        <w:rPr>
          <w:rFonts w:asciiTheme="majorHAnsi" w:hAnsiTheme="majorHAnsi"/>
          <w:sz w:val="18"/>
          <w:szCs w:val="18"/>
        </w:rPr>
        <w:t>CBA</w:t>
      </w:r>
      <w:r w:rsidR="00400ED2">
        <w:rPr>
          <w:rFonts w:asciiTheme="majorHAnsi" w:hAnsiTheme="majorHAnsi"/>
          <w:sz w:val="18"/>
          <w:szCs w:val="18"/>
        </w:rPr>
        <w:t>)</w:t>
      </w:r>
    </w:p>
    <w:p w14:paraId="08C54FA1" w14:textId="77777777" w:rsidR="00D5168A" w:rsidRPr="00400ED2" w:rsidRDefault="00400ED2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</w:t>
      </w:r>
      <w:r w:rsidR="00DA35F7" w:rsidRPr="00400ED2">
        <w:rPr>
          <w:rFonts w:asciiTheme="majorHAnsi" w:hAnsiTheme="majorHAnsi"/>
          <w:sz w:val="18"/>
          <w:szCs w:val="18"/>
        </w:rPr>
        <w:t xml:space="preserve"> dohodnutý postup s GR MŠVVaŠ SR a zástupcami UK, </w:t>
      </w:r>
      <w:r w:rsidR="009A42AA">
        <w:rPr>
          <w:rFonts w:asciiTheme="majorHAnsi" w:hAnsiTheme="majorHAnsi"/>
          <w:sz w:val="18"/>
          <w:szCs w:val="18"/>
        </w:rPr>
        <w:t xml:space="preserve">že </w:t>
      </w:r>
      <w:r w:rsidR="00D5168A" w:rsidRPr="00400ED2">
        <w:rPr>
          <w:rFonts w:asciiTheme="majorHAnsi" w:hAnsiTheme="majorHAnsi"/>
          <w:sz w:val="18"/>
          <w:szCs w:val="18"/>
        </w:rPr>
        <w:t>bude pripravená nová žiadosť so zapracovaním požiadavky RO na zníženie rozpočtu</w:t>
      </w:r>
    </w:p>
    <w:p w14:paraId="34ADA5AF" w14:textId="77777777" w:rsidR="00D5168A" w:rsidRPr="00400ED2" w:rsidRDefault="00D5168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 xml:space="preserve">po zapracovaní </w:t>
      </w:r>
      <w:r w:rsidR="00334CD1" w:rsidRPr="00400ED2">
        <w:rPr>
          <w:rFonts w:asciiTheme="majorHAnsi" w:hAnsiTheme="majorHAnsi"/>
          <w:sz w:val="18"/>
          <w:szCs w:val="18"/>
        </w:rPr>
        <w:t xml:space="preserve">všetkých </w:t>
      </w:r>
      <w:r w:rsidRPr="00400ED2">
        <w:rPr>
          <w:rFonts w:asciiTheme="majorHAnsi" w:hAnsiTheme="majorHAnsi"/>
          <w:sz w:val="18"/>
          <w:szCs w:val="18"/>
        </w:rPr>
        <w:t>pripomienok</w:t>
      </w:r>
      <w:r w:rsidR="00DA35F7" w:rsidRPr="00400ED2">
        <w:rPr>
          <w:rFonts w:asciiTheme="majorHAnsi" w:hAnsiTheme="majorHAnsi"/>
          <w:sz w:val="18"/>
          <w:szCs w:val="18"/>
        </w:rPr>
        <w:t xml:space="preserve"> RO</w:t>
      </w:r>
      <w:r w:rsidR="00334CD1" w:rsidRPr="00400ED2">
        <w:rPr>
          <w:rFonts w:asciiTheme="majorHAnsi" w:hAnsiTheme="majorHAnsi"/>
          <w:sz w:val="18"/>
          <w:szCs w:val="18"/>
        </w:rPr>
        <w:t>,</w:t>
      </w:r>
      <w:r w:rsidR="001664B7">
        <w:rPr>
          <w:rFonts w:asciiTheme="majorHAnsi" w:hAnsiTheme="majorHAnsi"/>
          <w:sz w:val="18"/>
          <w:szCs w:val="18"/>
        </w:rPr>
        <w:t xml:space="preserve"> STU stiahne žiadosť späť</w:t>
      </w:r>
      <w:r w:rsidR="00DA35F7" w:rsidRPr="00400ED2">
        <w:rPr>
          <w:rFonts w:asciiTheme="majorHAnsi" w:hAnsiTheme="majorHAnsi"/>
          <w:sz w:val="18"/>
          <w:szCs w:val="18"/>
        </w:rPr>
        <w:t> </w:t>
      </w:r>
      <w:r w:rsidRPr="00400ED2">
        <w:rPr>
          <w:rFonts w:asciiTheme="majorHAnsi" w:hAnsiTheme="majorHAnsi"/>
          <w:sz w:val="18"/>
          <w:szCs w:val="18"/>
        </w:rPr>
        <w:t>v </w:t>
      </w:r>
      <w:r w:rsidR="00DA35F7" w:rsidRPr="00400ED2">
        <w:rPr>
          <w:rFonts w:asciiTheme="majorHAnsi" w:hAnsiTheme="majorHAnsi"/>
          <w:sz w:val="18"/>
          <w:szCs w:val="18"/>
        </w:rPr>
        <w:t>momente</w:t>
      </w:r>
      <w:r w:rsidRPr="00400ED2">
        <w:rPr>
          <w:rFonts w:asciiTheme="majorHAnsi" w:hAnsiTheme="majorHAnsi"/>
          <w:sz w:val="18"/>
          <w:szCs w:val="18"/>
        </w:rPr>
        <w:t xml:space="preserve">, </w:t>
      </w:r>
      <w:r w:rsidR="00DA35F7" w:rsidRPr="00400ED2">
        <w:rPr>
          <w:rFonts w:asciiTheme="majorHAnsi" w:hAnsiTheme="majorHAnsi"/>
          <w:sz w:val="18"/>
          <w:szCs w:val="18"/>
        </w:rPr>
        <w:t xml:space="preserve">keď bude pripravená </w:t>
      </w:r>
      <w:r w:rsidR="00334CD1" w:rsidRPr="00400ED2">
        <w:rPr>
          <w:rFonts w:asciiTheme="majorHAnsi" w:hAnsiTheme="majorHAnsi"/>
          <w:sz w:val="18"/>
          <w:szCs w:val="18"/>
        </w:rPr>
        <w:t xml:space="preserve">kompletne </w:t>
      </w:r>
      <w:r w:rsidRPr="00400ED2">
        <w:rPr>
          <w:rFonts w:asciiTheme="majorHAnsi" w:hAnsiTheme="majorHAnsi"/>
          <w:sz w:val="18"/>
          <w:szCs w:val="18"/>
        </w:rPr>
        <w:t>nová žiadosť</w:t>
      </w:r>
    </w:p>
    <w:p w14:paraId="61C3163F" w14:textId="77777777" w:rsidR="00D5168A" w:rsidRPr="00400ED2" w:rsidRDefault="00D5168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>prebiehajú rokovania s Útvarom hodnoty za peniaze</w:t>
      </w:r>
      <w:r w:rsidR="00DA35F7" w:rsidRPr="00400ED2">
        <w:rPr>
          <w:rFonts w:asciiTheme="majorHAnsi" w:hAnsiTheme="majorHAnsi"/>
          <w:sz w:val="18"/>
          <w:szCs w:val="18"/>
        </w:rPr>
        <w:t xml:space="preserve"> – ich vyjadrenie je jednou z povinných príloh žiadosti o NFP, požadujú spresniť niektoré východiskové predpoklady </w:t>
      </w:r>
      <w:r w:rsidR="00400ED2" w:rsidRPr="00400ED2">
        <w:rPr>
          <w:rFonts w:asciiTheme="majorHAnsi" w:hAnsiTheme="majorHAnsi"/>
          <w:sz w:val="18"/>
          <w:szCs w:val="18"/>
        </w:rPr>
        <w:t>v prípade analýzy dopytu, ktorá je súčasťou CBA + doplniť údaje o prístrojoch</w:t>
      </w:r>
    </w:p>
    <w:p w14:paraId="317C586C" w14:textId="77777777" w:rsidR="00400ED2" w:rsidRPr="00400ED2" w:rsidRDefault="00400ED2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 xml:space="preserve">RO posunul ukončenie projektu z 30.6.2023 na 31.12.2023 - posun o pol </w:t>
      </w:r>
      <w:r w:rsidR="001664B7">
        <w:rPr>
          <w:rFonts w:asciiTheme="majorHAnsi" w:hAnsiTheme="majorHAnsi"/>
          <w:sz w:val="18"/>
          <w:szCs w:val="18"/>
        </w:rPr>
        <w:t>roka</w:t>
      </w:r>
      <w:r w:rsidRPr="00400ED2">
        <w:rPr>
          <w:rFonts w:asciiTheme="majorHAnsi" w:hAnsiTheme="majorHAnsi"/>
          <w:sz w:val="18"/>
          <w:szCs w:val="18"/>
        </w:rPr>
        <w:t xml:space="preserve"> </w:t>
      </w:r>
    </w:p>
    <w:p w14:paraId="1EC7E16A" w14:textId="77777777" w:rsidR="00334CD1" w:rsidRPr="00400ED2" w:rsidRDefault="00D5168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 xml:space="preserve">začiatok projektu </w:t>
      </w:r>
      <w:r w:rsidR="00334CD1" w:rsidRPr="00400ED2">
        <w:rPr>
          <w:rFonts w:asciiTheme="majorHAnsi" w:hAnsiTheme="majorHAnsi"/>
          <w:sz w:val="18"/>
          <w:szCs w:val="18"/>
        </w:rPr>
        <w:t>bol pôvodne plánovaný 1.7.2019 a mal trvať 4 roky, RO chce podpísať zmluvu o NFP k 31.7.2019, tzn. momentálny posun je 1 mesiac</w:t>
      </w:r>
      <w:r w:rsidR="00400ED2">
        <w:rPr>
          <w:rFonts w:asciiTheme="majorHAnsi" w:hAnsiTheme="majorHAnsi"/>
          <w:sz w:val="18"/>
          <w:szCs w:val="18"/>
        </w:rPr>
        <w:t>, ale aj tento termín nie je podľa predbežných odhadov konečný</w:t>
      </w:r>
    </w:p>
    <w:p w14:paraId="23AB5BC7" w14:textId="77777777" w:rsidR="00334CD1" w:rsidRDefault="00334CD1" w:rsidP="00334CD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Pr="00334CD1">
        <w:rPr>
          <w:rFonts w:asciiTheme="majorHAnsi" w:hAnsiTheme="majorHAnsi"/>
          <w:sz w:val="18"/>
          <w:szCs w:val="18"/>
        </w:rPr>
        <w:t xml:space="preserve"> rámci diskusie sa rektor informoval </w:t>
      </w:r>
      <w:r>
        <w:rPr>
          <w:rFonts w:asciiTheme="majorHAnsi" w:hAnsiTheme="majorHAnsi"/>
          <w:sz w:val="18"/>
          <w:szCs w:val="18"/>
        </w:rPr>
        <w:t xml:space="preserve">na </w:t>
      </w:r>
      <w:r w:rsidRPr="00334CD1">
        <w:rPr>
          <w:rFonts w:asciiTheme="majorHAnsi" w:hAnsiTheme="majorHAnsi"/>
          <w:sz w:val="18"/>
          <w:szCs w:val="18"/>
        </w:rPr>
        <w:t>stav opcie FEI STU</w:t>
      </w:r>
      <w:r>
        <w:rPr>
          <w:rFonts w:asciiTheme="majorHAnsi" w:hAnsiTheme="majorHAnsi"/>
          <w:sz w:val="18"/>
          <w:szCs w:val="18"/>
        </w:rPr>
        <w:t>. Ing. Belko informoval, že list bol odoslaný na MŠVVaŠ SR, zatiaľ bez spätnej väzby. RO zašle oficiálne písomné stanovisko v lehote.</w:t>
      </w:r>
    </w:p>
    <w:p w14:paraId="0D0B940D" w14:textId="77777777" w:rsidR="00D40E69" w:rsidRDefault="00D40E69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BD66A74" w14:textId="77777777"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4CD1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7028446" w14:textId="77777777"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14:paraId="0E27B00A" w14:textId="77777777"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14:paraId="2742C971" w14:textId="77777777"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34CD1" w:rsidRPr="00334CD1">
        <w:rPr>
          <w:rFonts w:asciiTheme="majorHAnsi" w:hAnsiTheme="majorHAnsi" w:cstheme="minorHAnsi"/>
          <w:b/>
          <w:sz w:val="18"/>
          <w:szCs w:val="18"/>
          <w:u w:val="single"/>
        </w:rPr>
        <w:t>Kontrola úloh</w:t>
      </w:r>
    </w:p>
    <w:p w14:paraId="60061E4C" w14:textId="77777777"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10220F55" w14:textId="77777777" w:rsidR="00F41580" w:rsidRDefault="00F41580" w:rsidP="00F4158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14:paraId="44EAFD9C" w14:textId="77777777" w:rsidR="00D40E69" w:rsidRDefault="00D40E69" w:rsidP="00F4158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F41580" w:rsidRPr="00EE30AE" w14:paraId="7A0CE159" w14:textId="77777777" w:rsidTr="00DA35F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497E78B" w14:textId="77777777" w:rsidR="00F41580" w:rsidRPr="00EE30AE" w:rsidRDefault="00F41580" w:rsidP="00DA35F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06F1C42A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42F9EB99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1DB90404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60767A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7B05840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14:paraId="4B94D5A5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41580" w:rsidRPr="00EE30AE" w14:paraId="04F0ADEA" w14:textId="77777777" w:rsidTr="00DA35F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9FD" w14:textId="77777777" w:rsidR="00F41580" w:rsidRPr="00F41580" w:rsidRDefault="00F41580" w:rsidP="00F41580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  <w:lang w:eastAsia="en-US"/>
              </w:rPr>
            </w:pPr>
            <w:r w:rsidRPr="00F4158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6.3A/20</w:t>
            </w:r>
            <w:r w:rsidRPr="00F4158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2377" w14:textId="77777777" w:rsidR="00F41580" w:rsidRPr="00F41580" w:rsidRDefault="00F415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158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Vedenie STU ukladá aktualizovať „</w:t>
            </w:r>
            <w:r w:rsidRPr="00F41580">
              <w:rPr>
                <w:rFonts w:asciiTheme="majorHAnsi" w:hAnsiTheme="majorHAnsi" w:cstheme="majorHAnsi"/>
                <w:sz w:val="18"/>
                <w:szCs w:val="18"/>
              </w:rPr>
              <w:t>Pravidlá podpory študentských organizácií Slovenskej technickej univerzity v Bratislave“.</w:t>
            </w:r>
          </w:p>
          <w:p w14:paraId="3DEEC669" w14:textId="77777777" w:rsidR="00F41580" w:rsidRPr="00F41580" w:rsidRDefault="00F41580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5FE37" w14:textId="77777777" w:rsidR="00F41580" w:rsidRPr="00F41580" w:rsidRDefault="00F41580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F4158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lastRenderedPageBreak/>
              <w:t>29.05.2019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4B0A" w14:textId="77777777" w:rsidR="00F41580" w:rsidRPr="00F41580" w:rsidRDefault="00F41580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F41580">
              <w:rPr>
                <w:rFonts w:asciiTheme="majorHAnsi" w:hAnsiTheme="majorHAnsi" w:cstheme="majorHAnsi"/>
                <w:sz w:val="18"/>
                <w:szCs w:val="18"/>
              </w:rPr>
              <w:t xml:space="preserve">prorektorka </w:t>
            </w:r>
            <w:proofErr w:type="spellStart"/>
            <w:r w:rsidRPr="00F41580">
              <w:rPr>
                <w:rFonts w:asciiTheme="majorHAnsi" w:hAnsiTheme="majorHAnsi" w:cstheme="majorHAnsi"/>
                <w:sz w:val="18"/>
                <w:szCs w:val="18"/>
              </w:rPr>
              <w:t>Bakošová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F41580" w:rsidRPr="00DC6B11" w:rsidRDefault="00F41580" w:rsidP="00DA35F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0042D8" w14:textId="77777777" w:rsidR="00F41580" w:rsidRPr="00EE30AE" w:rsidRDefault="00F41580" w:rsidP="00DA35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14:paraId="45FB0818" w14:textId="77777777" w:rsidR="00F41580" w:rsidRPr="00F41580" w:rsidRDefault="00F41580" w:rsidP="00F41580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4266EBE2" w14:textId="77777777"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00A971CE" w14:textId="77777777" w:rsidR="00F41580" w:rsidRDefault="00F41580" w:rsidP="00F41580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Pr="00EE30AE">
        <w:rPr>
          <w:rFonts w:asciiTheme="majorHAnsi" w:hAnsiTheme="majorHAnsi"/>
          <w:sz w:val="18"/>
          <w:szCs w:val="18"/>
        </w:rPr>
        <w:t>stav plnen</w:t>
      </w:r>
      <w:r>
        <w:rPr>
          <w:rFonts w:asciiTheme="majorHAnsi" w:hAnsiTheme="majorHAnsi"/>
          <w:sz w:val="18"/>
          <w:szCs w:val="18"/>
        </w:rPr>
        <w:t>ia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>
        <w:rPr>
          <w:rFonts w:asciiTheme="majorHAnsi" w:hAnsiTheme="majorHAnsi"/>
          <w:sz w:val="18"/>
          <w:szCs w:val="18"/>
        </w:rPr>
        <w:t>6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3A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/201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9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14:paraId="049F31CB" w14:textId="77777777"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33141BE1" w14:textId="77777777" w:rsidR="0048084B" w:rsidRPr="0048084B" w:rsidRDefault="00013D34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DD63A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41580" w:rsidRPr="00F41580">
        <w:rPr>
          <w:rFonts w:asciiTheme="majorHAnsi" w:hAnsiTheme="majorHAnsi" w:cstheme="minorHAnsi"/>
          <w:b/>
          <w:sz w:val="18"/>
          <w:szCs w:val="18"/>
          <w:u w:val="single"/>
        </w:rPr>
        <w:t xml:space="preserve">Ústav manažmentu - ďalšie podmienky prijímania na </w:t>
      </w:r>
      <w:proofErr w:type="spellStart"/>
      <w:r w:rsidR="00F41580" w:rsidRPr="00F41580">
        <w:rPr>
          <w:rFonts w:asciiTheme="majorHAnsi" w:hAnsiTheme="majorHAnsi" w:cstheme="minorHAnsi"/>
          <w:b/>
          <w:sz w:val="18"/>
          <w:szCs w:val="18"/>
          <w:u w:val="single"/>
        </w:rPr>
        <w:t>Bc</w:t>
      </w:r>
      <w:proofErr w:type="spellEnd"/>
      <w:r w:rsidR="00F41580" w:rsidRPr="00F41580">
        <w:rPr>
          <w:rFonts w:asciiTheme="majorHAnsi" w:hAnsiTheme="majorHAnsi" w:cstheme="minorHAnsi"/>
          <w:b/>
          <w:sz w:val="18"/>
          <w:szCs w:val="18"/>
          <w:u w:val="single"/>
        </w:rPr>
        <w:t xml:space="preserve">  (ŠO 3.3.20) IPPP 2020-2021</w:t>
      </w:r>
    </w:p>
    <w:p w14:paraId="53128261" w14:textId="77777777"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370D731A" w14:textId="5D0636F7" w:rsidR="00694CC4" w:rsidRPr="00F41580" w:rsidRDefault="2100CB6A" w:rsidP="2100CB6A">
      <w:pPr>
        <w:rPr>
          <w:rFonts w:asciiTheme="majorHAnsi" w:hAnsiTheme="majorHAnsi"/>
          <w:sz w:val="18"/>
          <w:szCs w:val="18"/>
        </w:rPr>
      </w:pPr>
      <w:r>
        <w:t xml:space="preserve">Materiál uviedla prorektorka </w:t>
      </w:r>
      <w:proofErr w:type="spellStart"/>
      <w:r>
        <w:t>Bakošová</w:t>
      </w:r>
      <w:proofErr w:type="spellEnd"/>
      <w:r>
        <w:t xml:space="preserve"> v zmysle § 9 ods. 1 písm. m) zákona č. 131/2002 Z. z. o vysokých školách a o zmene a doplnení niektorých zákonov v znení neskorších predpisov v spojení s čl. 4 bod 2 vnútorného predpisu STU č. 5/2013 zo dňa 25. 06. 2013. Je potrebné, aby Akademický senát STU schválil Ďalšie podmienky prijímania na štúdium bakalárskych študijných programov investičné plánovanie v priemyselnom podniku v ŠO 3.3.20. odvetvové ekonomiky a manažment v akademickom roku 2020/2021, ktoré sa budú uskutočňovať na Ústave manažmentu STU. STU je povinná podmienky prijatia zverejniť včas, najneskôr do 20. septembra v akademickom roku, ktorý predchádza akademickému roku, v ktorom sa má štúdium začať.</w:t>
      </w:r>
    </w:p>
    <w:p w14:paraId="3021ABBB" w14:textId="77777777" w:rsidR="00694CC4" w:rsidRPr="00F41580" w:rsidRDefault="00694CC4" w:rsidP="00694CC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Avizovala zmenu v podpisovaní dokumentu v zmysle volieb </w:t>
      </w:r>
      <w:r w:rsidR="009A42AA">
        <w:rPr>
          <w:rFonts w:asciiTheme="majorHAnsi" w:hAnsiTheme="majorHAnsi"/>
          <w:sz w:val="18"/>
          <w:szCs w:val="18"/>
        </w:rPr>
        <w:t xml:space="preserve">na </w:t>
      </w:r>
      <w:r>
        <w:rPr>
          <w:rFonts w:asciiTheme="majorHAnsi" w:hAnsiTheme="majorHAnsi"/>
          <w:sz w:val="18"/>
          <w:szCs w:val="18"/>
        </w:rPr>
        <w:t>predsedu AS STU.</w:t>
      </w:r>
    </w:p>
    <w:p w14:paraId="62486C05" w14:textId="77777777" w:rsidR="00D40E69" w:rsidRDefault="00D40E69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B3FCB7" w14:textId="77777777"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4D7FC5F3" w14:textId="77777777" w:rsidR="00A119B9" w:rsidRDefault="00013D34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2463A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463AF" w:rsidRPr="002463AF">
        <w:rPr>
          <w:rFonts w:asciiTheme="majorHAnsi" w:hAnsiTheme="majorHAnsi"/>
          <w:color w:val="auto"/>
          <w:sz w:val="18"/>
          <w:szCs w:val="18"/>
        </w:rPr>
        <w:t xml:space="preserve">schvaľuje </w:t>
      </w:r>
      <w:r w:rsidR="00F41580">
        <w:rPr>
          <w:rFonts w:asciiTheme="majorHAnsi" w:hAnsiTheme="majorHAnsi"/>
          <w:color w:val="auto"/>
          <w:sz w:val="18"/>
          <w:szCs w:val="18"/>
        </w:rPr>
        <w:t>materiá</w:t>
      </w:r>
      <w:r w:rsidR="00F41580" w:rsidRPr="00F41580">
        <w:rPr>
          <w:rFonts w:asciiTheme="majorHAnsi" w:hAnsiTheme="majorHAnsi"/>
          <w:color w:val="auto"/>
          <w:sz w:val="18"/>
          <w:szCs w:val="18"/>
        </w:rPr>
        <w:t>l „Ďalšie podmienky prijímania na štúdium bakalárskych študijných programov investičné plánovanie v priemyselnom podniku v ŠO 3.3.20. odvetvové ekonomiky a manažment v akademickom roku 2020/2021 na Slovenskej technickej univerzite v Bratislave, Ústave manažmentu</w:t>
      </w:r>
      <w:r w:rsidR="00F41580">
        <w:rPr>
          <w:rFonts w:asciiTheme="majorHAnsi" w:hAnsiTheme="majorHAnsi"/>
          <w:color w:val="auto"/>
          <w:sz w:val="18"/>
          <w:szCs w:val="18"/>
        </w:rPr>
        <w:t>“ bez pripomienok</w:t>
      </w:r>
      <w:r w:rsidR="00A119B9">
        <w:rPr>
          <w:rFonts w:asciiTheme="majorHAnsi" w:hAnsiTheme="majorHAnsi"/>
          <w:color w:val="auto"/>
          <w:sz w:val="18"/>
          <w:szCs w:val="18"/>
        </w:rPr>
        <w:t>.</w:t>
      </w:r>
    </w:p>
    <w:p w14:paraId="4101652C" w14:textId="77777777" w:rsidR="004924CD" w:rsidRDefault="004924CD" w:rsidP="00A119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04EEB085" w14:textId="77777777" w:rsidR="0087064F" w:rsidRPr="0048084B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F264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41580" w:rsidRPr="00F41580">
        <w:rPr>
          <w:rFonts w:asciiTheme="majorHAnsi" w:hAnsiTheme="majorHAnsi" w:cstheme="minorHAnsi"/>
          <w:b/>
          <w:sz w:val="18"/>
          <w:szCs w:val="18"/>
          <w:u w:val="single"/>
        </w:rPr>
        <w:t xml:space="preserve">Ústav manažmentu - ďalšie podmienky prijímania </w:t>
      </w:r>
      <w:proofErr w:type="spellStart"/>
      <w:r w:rsidR="00F41580" w:rsidRPr="00F41580">
        <w:rPr>
          <w:rFonts w:asciiTheme="majorHAnsi" w:hAnsiTheme="majorHAnsi" w:cstheme="minorHAnsi"/>
          <w:b/>
          <w:sz w:val="18"/>
          <w:szCs w:val="18"/>
          <w:u w:val="single"/>
        </w:rPr>
        <w:t>Bc</w:t>
      </w:r>
      <w:proofErr w:type="spellEnd"/>
      <w:r w:rsidR="00F41580" w:rsidRPr="00F41580">
        <w:rPr>
          <w:rFonts w:asciiTheme="majorHAnsi" w:hAnsiTheme="majorHAnsi" w:cstheme="minorHAnsi"/>
          <w:b/>
          <w:sz w:val="18"/>
          <w:szCs w:val="18"/>
          <w:u w:val="single"/>
        </w:rPr>
        <w:t xml:space="preserve"> (ŠO 5.1.2) PP 2020-2021</w:t>
      </w:r>
    </w:p>
    <w:p w14:paraId="4B99056E" w14:textId="77777777" w:rsidR="0087064F" w:rsidRPr="007A53B2" w:rsidRDefault="0087064F" w:rsidP="0087064F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23B3BF06" w14:textId="75D29793" w:rsidR="00694CC4" w:rsidRDefault="2100CB6A" w:rsidP="2100CB6A">
      <w:pPr>
        <w:rPr>
          <w:rFonts w:asciiTheme="majorHAnsi" w:hAnsiTheme="majorHAnsi"/>
          <w:sz w:val="18"/>
          <w:szCs w:val="18"/>
        </w:rPr>
      </w:pPr>
      <w:r w:rsidRPr="2100CB6A">
        <w:t xml:space="preserve">Materiál uviedla prorektorka </w:t>
      </w:r>
      <w:proofErr w:type="spellStart"/>
      <w:r w:rsidRPr="2100CB6A">
        <w:t>Bakošová</w:t>
      </w:r>
      <w:proofErr w:type="spellEnd"/>
      <w:r w:rsidRPr="2100CB6A">
        <w:t xml:space="preserve"> v zmysle § 9 ods. 1 písm. m) zákona č. 131/2002 Z. z. o vysokých školách a o zmene a doplnení niektorých zákonov v znení neskorších predpisov v spojení s čl. 4 bod 2 vnútorného predpisu STU č. 5/2013 zo dňa </w:t>
      </w:r>
    </w:p>
    <w:p w14:paraId="255E9C41" w14:textId="33BA50C3" w:rsidR="00694CC4" w:rsidRPr="00F41580" w:rsidRDefault="2100CB6A" w:rsidP="2100CB6A">
      <w:pPr>
        <w:rPr>
          <w:rFonts w:asciiTheme="majorHAnsi" w:hAnsiTheme="majorHAnsi"/>
          <w:sz w:val="18"/>
          <w:szCs w:val="18"/>
        </w:rPr>
      </w:pPr>
      <w:r w:rsidRPr="2100CB6A">
        <w:t>25. 06. 2013. Je potrebné, aby Akademický senát STU schválil Ďalšie podmienky prijímania na štúdium bakalárskych študijných programov priestorové plánovanie v ŠO 5.1.2. priestorové plánovanie v akademickom roku 2020/2021, ktoré sa budú uskutočňovať na Ústave manažmentu STU. STU je povinná podmienky prijatia zverejniť včas, najneskôr do 20. septembra v akademickom roku, ktorý predchádza akademickému roku, v ktorom sa má štúdium začať.</w:t>
      </w:r>
    </w:p>
    <w:p w14:paraId="0836FD7C" w14:textId="77777777" w:rsidR="00694CC4" w:rsidRPr="00F41580" w:rsidRDefault="00694CC4" w:rsidP="00694CC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Avizovala zmenu v podpisovaní dokumentu v zmysle volieb </w:t>
      </w:r>
      <w:r w:rsidR="009A42AA">
        <w:rPr>
          <w:rFonts w:asciiTheme="majorHAnsi" w:hAnsiTheme="majorHAnsi"/>
          <w:sz w:val="18"/>
          <w:szCs w:val="18"/>
        </w:rPr>
        <w:t xml:space="preserve">na </w:t>
      </w:r>
      <w:r>
        <w:rPr>
          <w:rFonts w:asciiTheme="majorHAnsi" w:hAnsiTheme="majorHAnsi"/>
          <w:sz w:val="18"/>
          <w:szCs w:val="18"/>
        </w:rPr>
        <w:t>predsedu AS STU.</w:t>
      </w:r>
    </w:p>
    <w:p w14:paraId="1299C43A" w14:textId="77777777" w:rsidR="00D40E69" w:rsidRDefault="00D40E69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FB94F56" w14:textId="77777777" w:rsidR="0087064F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94CC4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779CA31" w14:textId="77777777" w:rsidR="00694CC4" w:rsidRPr="00694CC4" w:rsidRDefault="0087064F" w:rsidP="00694CC4">
      <w:pPr>
        <w:pStyle w:val="Bezriadkovania"/>
        <w:tabs>
          <w:tab w:val="left" w:pos="1985"/>
        </w:tabs>
        <w:jc w:val="both"/>
        <w:rPr>
          <w:rFonts w:asciiTheme="majorHAnsi" w:eastAsia="MS Mincho" w:hAnsiTheme="majorHAnsi" w:cs="Myriad Pro"/>
          <w:sz w:val="18"/>
          <w:szCs w:val="18"/>
          <w:lang w:val="sk-SK"/>
        </w:rPr>
      </w:pPr>
      <w:r w:rsidRPr="00694CC4">
        <w:rPr>
          <w:rFonts w:asciiTheme="majorHAnsi" w:hAnsiTheme="majorHAnsi" w:cs="Arial"/>
          <w:sz w:val="18"/>
          <w:szCs w:val="18"/>
          <w:shd w:val="clear" w:color="auto" w:fill="FFFFFF"/>
          <w:lang w:val="sk-SK"/>
        </w:rPr>
        <w:t xml:space="preserve">Vedenie STU </w:t>
      </w:r>
      <w:r w:rsidR="00694CC4" w:rsidRPr="00694CC4">
        <w:rPr>
          <w:rFonts w:asciiTheme="majorHAnsi" w:hAnsiTheme="majorHAnsi" w:cs="Calibri"/>
          <w:sz w:val="18"/>
          <w:szCs w:val="18"/>
          <w:lang w:val="sk-SK"/>
        </w:rPr>
        <w:t>schvaľuje</w:t>
      </w:r>
      <w:r w:rsidR="00694CC4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materiál</w:t>
      </w:r>
      <w:r w:rsidR="00694CC4" w:rsidRPr="00694CC4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„Ďalšie podmienky prijímania na štúdium bakalárskych študijných programov priestorové</w:t>
      </w:r>
      <w:r w:rsidR="00694CC4" w:rsidRPr="00694CC4">
        <w:rPr>
          <w:rFonts w:asciiTheme="majorHAnsi" w:hAnsiTheme="majorHAnsi"/>
          <w:iCs/>
          <w:sz w:val="18"/>
          <w:szCs w:val="18"/>
          <w:lang w:val="sk-SK"/>
        </w:rPr>
        <w:t xml:space="preserve"> plánovanie </w:t>
      </w:r>
      <w:r w:rsidR="00694CC4" w:rsidRPr="00694CC4">
        <w:rPr>
          <w:rFonts w:asciiTheme="majorHAnsi" w:hAnsiTheme="majorHAnsi"/>
          <w:sz w:val="18"/>
          <w:szCs w:val="18"/>
          <w:lang w:val="sk-SK"/>
        </w:rPr>
        <w:t xml:space="preserve">v ŠO 5.1.2. priestorové plánovanie </w:t>
      </w:r>
      <w:r w:rsidR="00694CC4" w:rsidRPr="00694CC4">
        <w:rPr>
          <w:rFonts w:asciiTheme="majorHAnsi" w:eastAsia="MS Mincho" w:hAnsiTheme="majorHAnsi" w:cs="Myriad Pro"/>
          <w:sz w:val="18"/>
          <w:szCs w:val="18"/>
          <w:lang w:val="sk-SK"/>
        </w:rPr>
        <w:t>v akademickom roku 2020/2021 na Slovenskej technickej univerzite v</w:t>
      </w:r>
      <w:r w:rsidR="00694CC4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Bratislave, Ústave manažmentu“ bez pripomienok.</w:t>
      </w:r>
    </w:p>
    <w:p w14:paraId="4DDBEF00" w14:textId="77777777" w:rsidR="00694CC4" w:rsidRDefault="00694CC4" w:rsidP="0087064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49491610" w14:textId="77777777" w:rsidR="0087064F" w:rsidRPr="0087064F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A119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87064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87064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65248" w:rsidRPr="00365248">
        <w:rPr>
          <w:rFonts w:asciiTheme="majorHAnsi" w:hAnsiTheme="majorHAnsi" w:cstheme="minorHAnsi"/>
          <w:b/>
          <w:sz w:val="18"/>
          <w:szCs w:val="18"/>
          <w:u w:val="single"/>
        </w:rPr>
        <w:t>Usmernenie k použitiu účelovej dotácie na podporu úspešných výskumných tímov v rámci programu Horizont 2020</w:t>
      </w:r>
    </w:p>
    <w:p w14:paraId="3461D779" w14:textId="77777777" w:rsidR="0087064F" w:rsidRPr="0048084B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1AEB4A76" w14:textId="77777777" w:rsidR="00A119B9" w:rsidRDefault="00A119B9" w:rsidP="0087064F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</w:t>
      </w:r>
      <w:r w:rsidR="00365248">
        <w:rPr>
          <w:rFonts w:asciiTheme="majorHAnsi" w:hAnsiTheme="majorHAnsi" w:cs="Calibri"/>
          <w:sz w:val="18"/>
          <w:szCs w:val="18"/>
        </w:rPr>
        <w:t>uviedol a prezentoval prorektor Szolgay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14:paraId="018882C9" w14:textId="19E55A4A" w:rsidR="006832B4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Dokument odzrkadľuje závery diskusie z kolégia rektora. Informoval, že účelová dotácia je každoročne pridelená na prípravu nových projektov v rámci programu H2020, nie na personálne výdavky. Ide o pokračujúci mechanizmus, ktorý bol nastavený </w:t>
      </w:r>
      <w:proofErr w:type="spellStart"/>
      <w:r w:rsidRPr="2100CB6A">
        <w:t>pror</w:t>
      </w:r>
      <w:proofErr w:type="spellEnd"/>
      <w:r w:rsidRPr="2100CB6A">
        <w:t xml:space="preserve">. </w:t>
      </w:r>
      <w:proofErr w:type="spellStart"/>
      <w:r w:rsidRPr="2100CB6A">
        <w:t>Biskupičom</w:t>
      </w:r>
      <w:proofErr w:type="spellEnd"/>
      <w:r w:rsidRPr="2100CB6A">
        <w:t xml:space="preserve"> v roku 2016. V tomto zmysle bola zasielaná v minulosti informácia, okrem samotných riešiteľov, aj prodekanom jednotlivých fakúlt. </w:t>
      </w:r>
    </w:p>
    <w:p w14:paraId="03D4659B" w14:textId="71CEC019" w:rsidR="002F6FD0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Rektor na podnet prorektora </w:t>
      </w:r>
      <w:proofErr w:type="spellStart"/>
      <w:r w:rsidRPr="2100CB6A">
        <w:t>Szolgaya</w:t>
      </w:r>
      <w:proofErr w:type="spellEnd"/>
      <w:r w:rsidRPr="2100CB6A">
        <w:t xml:space="preserve"> otvoril na uvedenú tému diskusiu a vyzval prítomných vyjadriť k existujúcemu usmerneniu názor. Zároveň konštatoval, že univerzita síce vyčlení peniaze špeciálne na podporu projektu, ale dekan následne rozhodne, že nie všetky finančné prostriedky sa dostanú k riešiteľovi. Predseda AS STU, prof. Peciar, dal do pozornosti návrh posielať peniaze priamo riešiteľom projektu, nie dekanom, čo po technickej stránke nie je vylúčené. Kvestor upozornil, že dekan má s projektom spojené určité výdavky na administratívu. Na základe uvedeného sa prítomní priklonili k členeniu FP v pomere 10% pre dekanov a 90% pre riešiteľov. </w:t>
      </w:r>
    </w:p>
    <w:p w14:paraId="652E5163" w14:textId="269E17A1" w:rsidR="0029743E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Prorektorka Vitková navrhla vypracovať komplexný usmerňujúci materiál, ktorý by zahŕňal okrem vedecko-výskumných projektov a projektov H2020 aj projekty typu </w:t>
      </w:r>
      <w:proofErr w:type="spellStart"/>
      <w:r w:rsidRPr="2100CB6A">
        <w:t>Interreg</w:t>
      </w:r>
      <w:proofErr w:type="spellEnd"/>
      <w:r w:rsidRPr="2100CB6A">
        <w:t xml:space="preserve">, Erasmus+ a pod. </w:t>
      </w:r>
    </w:p>
    <w:p w14:paraId="5007DF2F" w14:textId="4A6848AF" w:rsidR="0029743E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Prítomní skonštatovali, že ide o odlišné typy projektov, teda aj odlišný mechanizmus, financovanie a odložili diskusiu k uvedenej téme na neskôr. </w:t>
      </w:r>
    </w:p>
    <w:p w14:paraId="49272E41" w14:textId="77777777" w:rsidR="006D00D7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V rámci uvedeného bodu rektor v závere upozornil na problém nevyplatenia finančných prostriedkov pracovníkom, ktorým bolo </w:t>
      </w:r>
    </w:p>
    <w:p w14:paraId="1E729385" w14:textId="087E2499" w:rsidR="0029743E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udelené ocenenie Cena rektora ešte v marci pri príležitosti Dňa učiteľov. V tejto súvislosti požiadal prorektora </w:t>
      </w:r>
      <w:proofErr w:type="spellStart"/>
      <w:r w:rsidRPr="2100CB6A">
        <w:t>Szolgaya</w:t>
      </w:r>
      <w:proofErr w:type="spellEnd"/>
      <w:r w:rsidRPr="2100CB6A">
        <w:t xml:space="preserve"> o rýchlu nápravu a zaslanie ospravedlňujúceho mailu všetkým oceneným.</w:t>
      </w:r>
    </w:p>
    <w:p w14:paraId="3CF2D8B6" w14:textId="77777777" w:rsidR="00D40E69" w:rsidRDefault="00D40E69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5CFF187" w14:textId="77777777" w:rsidR="0087064F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706E4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5366FFD7" w14:textId="42890751" w:rsidR="0029743E" w:rsidRDefault="0087064F" w:rsidP="2100CB6A">
      <w:pPr>
        <w:rPr>
          <w:rFonts w:asciiTheme="majorHAnsi" w:hAnsiTheme="majorHAnsi"/>
          <w:sz w:val="18"/>
          <w:szCs w:val="18"/>
        </w:rPr>
      </w:pPr>
      <w:r w:rsidRPr="2100CB6A">
        <w:t xml:space="preserve">Vedenie STU </w:t>
      </w:r>
      <w:r w:rsidR="0029743E" w:rsidRPr="2100CB6A">
        <w:t xml:space="preserve">berie na vedomie informáciu - </w:t>
      </w:r>
      <w:r w:rsidR="002D2A0F" w:rsidRPr="2100CB6A">
        <w:t xml:space="preserve"> </w:t>
      </w:r>
      <w:r w:rsidR="0029743E" w:rsidRPr="2100CB6A">
        <w:t xml:space="preserve">Usmernenie k použitiu účelovej dotácie na podporu úspešných výskumných tímov v rámci </w:t>
      </w:r>
      <w:r w:rsidR="2100CB6A" w:rsidRPr="2100CB6A">
        <w:t xml:space="preserve">programu Horizont 2020 s pripomienkami. Po zapracovaní pripomienok a doplnení dokumentu odporúča predložiť materiál na zasadnutie Kolégia rektora STU. </w:t>
      </w:r>
    </w:p>
    <w:p w14:paraId="0FB78278" w14:textId="77777777" w:rsidR="0087064F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75D511B6" w14:textId="77777777" w:rsidR="002D2A0F" w:rsidRPr="002D2A0F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F6FD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31E50" w:rsidRPr="00831E50">
        <w:rPr>
          <w:rFonts w:asciiTheme="majorHAnsi" w:hAnsiTheme="majorHAnsi" w:cstheme="minorHAnsi"/>
          <w:b/>
          <w:sz w:val="18"/>
          <w:szCs w:val="18"/>
          <w:u w:val="single"/>
        </w:rPr>
        <w:t>Letná univerzita pre stredoškolákov 2019</w:t>
      </w:r>
    </w:p>
    <w:p w14:paraId="29D6B04F" w14:textId="77777777" w:rsidR="002D2A0F" w:rsidRPr="0087064F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491BEB5E" w14:textId="77777777" w:rsidR="00AA43DE" w:rsidRDefault="2100CB6A" w:rsidP="2100CB6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2100CB6A">
        <w:t>Materiál uviedla a prezentovala prorektorka Vitková v súvislosti s organizáciou 11. ročníka LUS.</w:t>
      </w:r>
    </w:p>
    <w:p w14:paraId="211E8F69" w14:textId="77C9258C" w:rsidR="00831E50" w:rsidRDefault="2100CB6A" w:rsidP="2100CB6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2100CB6A">
        <w:t xml:space="preserve">V úvode informovala, že v materiáli, ktorý bol predložený na KR STU, bol chybne uvedený dátum podujatia. LUS sa uskutoční v termíne 4. – 6. 9. 2019, teda v rovnakom čase ako podujatie MTF – </w:t>
      </w:r>
      <w:proofErr w:type="spellStart"/>
      <w:r w:rsidRPr="2100CB6A">
        <w:t>Uni</w:t>
      </w:r>
      <w:proofErr w:type="spellEnd"/>
      <w:r w:rsidRPr="2100CB6A">
        <w:t xml:space="preserve"> organizované MTF STU. Avšak po diskusiách s MTF oznámila prítomným, že obidve aktivity budú zabezpečené paralelne, </w:t>
      </w:r>
      <w:proofErr w:type="spellStart"/>
      <w:r w:rsidRPr="2100CB6A">
        <w:t>t.j</w:t>
      </w:r>
      <w:proofErr w:type="spellEnd"/>
      <w:r w:rsidRPr="2100CB6A">
        <w:t xml:space="preserve">. prezentácia fakulty bude koordinovaná s rektorátom. </w:t>
      </w:r>
      <w:r w:rsidRPr="2100CB6A">
        <w:lastRenderedPageBreak/>
        <w:t>V nadväznosti na uvedené predseda AS STU, prof. Peciar, konštatoval, že v minulosti bolo vyvíjané enormné úsilie presvedčiť vedenia fakúlt vnímať dôležitosť univerzitného rozmeru a koordináciu podujatí centrálne. V závere sa členovia vedenia zhodli na názore, že ak chcú fakulty realizovať takéto projekty, mali by byť vopred konzultované na centrálnej úrovni a ideálne v iných termínoch.</w:t>
      </w:r>
    </w:p>
    <w:p w14:paraId="1FC39945" w14:textId="77777777" w:rsidR="00D40E69" w:rsidRDefault="00D40E69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0562CB0E" w14:textId="77777777" w:rsidR="00D40E69" w:rsidRDefault="00D40E69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1CA05E6" w14:textId="77777777" w:rsidR="002D2A0F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4ABA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91868A5" w14:textId="77777777" w:rsidR="008901C6" w:rsidRPr="008901C6" w:rsidRDefault="002D2A0F" w:rsidP="00A64ABA">
      <w:pPr>
        <w:pStyle w:val="Default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8901C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8901C6" w:rsidRPr="008901C6">
        <w:rPr>
          <w:rFonts w:asciiTheme="majorHAnsi" w:hAnsiTheme="majorHAnsi" w:cstheme="majorHAnsi"/>
          <w:sz w:val="18"/>
          <w:szCs w:val="18"/>
        </w:rPr>
        <w:t xml:space="preserve">schvaľuje </w:t>
      </w:r>
      <w:r w:rsidR="00A64ABA">
        <w:rPr>
          <w:rFonts w:asciiTheme="majorHAnsi" w:hAnsiTheme="majorHAnsi" w:cstheme="majorHAnsi"/>
          <w:sz w:val="18"/>
          <w:szCs w:val="18"/>
        </w:rPr>
        <w:t xml:space="preserve">realizáciu projektu „Letná univerzita pre stredoškolákov 2019“ a odporúča vedeniu fakúlt </w:t>
      </w:r>
      <w:r w:rsidR="006F1803">
        <w:rPr>
          <w:rFonts w:asciiTheme="majorHAnsi" w:hAnsiTheme="majorHAnsi" w:cstheme="majorHAnsi"/>
          <w:sz w:val="18"/>
          <w:szCs w:val="18"/>
        </w:rPr>
        <w:t xml:space="preserve">koordinovať termíny a prípravu </w:t>
      </w:r>
      <w:r w:rsidR="00A64ABA">
        <w:rPr>
          <w:rFonts w:asciiTheme="majorHAnsi" w:hAnsiTheme="majorHAnsi" w:cstheme="majorHAnsi"/>
          <w:sz w:val="18"/>
          <w:szCs w:val="18"/>
        </w:rPr>
        <w:t>obdobn</w:t>
      </w:r>
      <w:r w:rsidR="006F1803">
        <w:rPr>
          <w:rFonts w:asciiTheme="majorHAnsi" w:hAnsiTheme="majorHAnsi" w:cstheme="majorHAnsi"/>
          <w:sz w:val="18"/>
          <w:szCs w:val="18"/>
        </w:rPr>
        <w:t>ých</w:t>
      </w:r>
      <w:r w:rsidR="00A64ABA">
        <w:rPr>
          <w:rFonts w:asciiTheme="majorHAnsi" w:hAnsiTheme="majorHAnsi" w:cstheme="majorHAnsi"/>
          <w:sz w:val="18"/>
          <w:szCs w:val="18"/>
        </w:rPr>
        <w:t xml:space="preserve"> podujat</w:t>
      </w:r>
      <w:r w:rsidR="006F1803">
        <w:rPr>
          <w:rFonts w:asciiTheme="majorHAnsi" w:hAnsiTheme="majorHAnsi" w:cstheme="majorHAnsi"/>
          <w:sz w:val="18"/>
          <w:szCs w:val="18"/>
        </w:rPr>
        <w:t>í</w:t>
      </w:r>
      <w:r w:rsidR="00A64ABA">
        <w:rPr>
          <w:rFonts w:asciiTheme="majorHAnsi" w:hAnsiTheme="majorHAnsi" w:cstheme="majorHAnsi"/>
          <w:sz w:val="18"/>
          <w:szCs w:val="18"/>
        </w:rPr>
        <w:t xml:space="preserve"> </w:t>
      </w:r>
      <w:r w:rsidR="006F1803">
        <w:rPr>
          <w:rFonts w:asciiTheme="majorHAnsi" w:hAnsiTheme="majorHAnsi" w:cstheme="majorHAnsi"/>
          <w:sz w:val="18"/>
          <w:szCs w:val="18"/>
        </w:rPr>
        <w:t>s Rektorátom STU</w:t>
      </w:r>
      <w:r w:rsidR="008901C6" w:rsidRPr="008901C6">
        <w:rPr>
          <w:rFonts w:asciiTheme="majorHAnsi" w:hAnsiTheme="majorHAnsi" w:cstheme="majorHAnsi"/>
          <w:sz w:val="18"/>
          <w:szCs w:val="18"/>
        </w:rPr>
        <w:t>.</w:t>
      </w:r>
    </w:p>
    <w:p w14:paraId="34CE0A41" w14:textId="77777777" w:rsidR="0087064F" w:rsidRPr="00C74513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05532106" w14:textId="77777777" w:rsidR="00BD43B9" w:rsidRPr="00BD43B9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656F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D2D1E" w:rsidRPr="00BD2D1E">
        <w:rPr>
          <w:rFonts w:asciiTheme="majorHAnsi" w:hAnsiTheme="majorHAnsi" w:cstheme="minorHAnsi"/>
          <w:b/>
          <w:sz w:val="18"/>
          <w:szCs w:val="18"/>
          <w:u w:val="single"/>
        </w:rPr>
        <w:t>Schválenie účasti na veľtrhu vysokých škôl na Ukrajine</w:t>
      </w:r>
    </w:p>
    <w:p w14:paraId="0A6959E7" w14:textId="77777777" w:rsidR="00BD43B9" w:rsidRPr="0087064F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41E00E28" w14:textId="77777777" w:rsidR="004656F5" w:rsidRDefault="004656F5" w:rsidP="00BD43B9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uviedla a prezentovala prorektorka Vitková.</w:t>
      </w:r>
    </w:p>
    <w:p w14:paraId="7354C07C" w14:textId="77777777" w:rsidR="00BD2D1E" w:rsidRDefault="00BD2D1E" w:rsidP="00BD43B9">
      <w:pPr>
        <w:rPr>
          <w:rFonts w:asciiTheme="majorHAnsi" w:hAnsiTheme="majorHAnsi"/>
          <w:sz w:val="18"/>
          <w:szCs w:val="18"/>
        </w:rPr>
      </w:pPr>
      <w:r w:rsidRPr="00BD2D1E">
        <w:rPr>
          <w:rFonts w:asciiTheme="majorHAnsi" w:hAnsiTheme="majorHAnsi"/>
          <w:sz w:val="18"/>
          <w:szCs w:val="18"/>
        </w:rPr>
        <w:t>STU sa v novembri roku 2018 a apríli roku 2019 zúčastnila na veľtrhu vysokých škôl “</w:t>
      </w:r>
      <w:proofErr w:type="spellStart"/>
      <w:r w:rsidRPr="00BD2D1E">
        <w:rPr>
          <w:rFonts w:asciiTheme="majorHAnsi" w:hAnsiTheme="majorHAnsi"/>
          <w:sz w:val="18"/>
          <w:szCs w:val="18"/>
        </w:rPr>
        <w:t>Education</w:t>
      </w:r>
      <w:proofErr w:type="spellEnd"/>
      <w:r w:rsidRPr="00BD2D1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D2D1E">
        <w:rPr>
          <w:rFonts w:asciiTheme="majorHAnsi" w:hAnsiTheme="majorHAnsi"/>
          <w:sz w:val="18"/>
          <w:szCs w:val="18"/>
        </w:rPr>
        <w:t>abroad</w:t>
      </w:r>
      <w:proofErr w:type="spellEnd"/>
      <w:r w:rsidRPr="00BD2D1E">
        <w:rPr>
          <w:rFonts w:asciiTheme="majorHAnsi" w:hAnsiTheme="majorHAnsi"/>
          <w:sz w:val="18"/>
          <w:szCs w:val="18"/>
        </w:rPr>
        <w:t>“ v Kyjeve. Pre veľký záujem ukrajinských študentov o štúdium v zahraničí je predpoklad prijatia väčšieho počtu študentov z Ukrajiny v nasledujúcich rokoch</w:t>
      </w:r>
      <w:r>
        <w:rPr>
          <w:rFonts w:asciiTheme="majorHAnsi" w:hAnsiTheme="majorHAnsi"/>
          <w:sz w:val="18"/>
          <w:szCs w:val="18"/>
        </w:rPr>
        <w:t xml:space="preserve">. </w:t>
      </w:r>
    </w:p>
    <w:p w14:paraId="4235616A" w14:textId="77777777" w:rsidR="00BD2D1E" w:rsidRDefault="00BD2D1E" w:rsidP="00BD43B9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Vitková informovala, že v novembri 2019 je veľtrh opätovne v ponuke s možnosťou rozšírenia o mestá </w:t>
      </w:r>
      <w:proofErr w:type="spellStart"/>
      <w:r>
        <w:rPr>
          <w:rFonts w:asciiTheme="majorHAnsi" w:hAnsiTheme="majorHAnsi"/>
          <w:sz w:val="18"/>
          <w:szCs w:val="18"/>
        </w:rPr>
        <w:t>Kharkiv</w:t>
      </w:r>
      <w:proofErr w:type="spellEnd"/>
      <w:r>
        <w:rPr>
          <w:rFonts w:asciiTheme="majorHAnsi" w:hAnsiTheme="majorHAnsi"/>
          <w:sz w:val="18"/>
          <w:szCs w:val="18"/>
        </w:rPr>
        <w:t xml:space="preserve"> a </w:t>
      </w:r>
      <w:proofErr w:type="spellStart"/>
      <w:r>
        <w:rPr>
          <w:rFonts w:asciiTheme="majorHAnsi" w:hAnsiTheme="majorHAnsi"/>
          <w:sz w:val="18"/>
          <w:szCs w:val="18"/>
        </w:rPr>
        <w:t>Dnipro</w:t>
      </w:r>
      <w:proofErr w:type="spellEnd"/>
      <w:r>
        <w:rPr>
          <w:rFonts w:asciiTheme="majorHAnsi" w:hAnsiTheme="majorHAnsi"/>
          <w:sz w:val="18"/>
          <w:szCs w:val="18"/>
        </w:rPr>
        <w:t>. Upriamila pozornosť prítomných na tri varianty veľtrhu v rôznych cenových kategóriách a požiadala členov vedenia o názor.</w:t>
      </w:r>
      <w:r w:rsidRPr="00BD2D1E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14:paraId="502D99CD" w14:textId="77777777" w:rsidR="00BD2D1E" w:rsidRPr="00BD2D1E" w:rsidRDefault="00BD2D1E" w:rsidP="00BD43B9">
      <w:pPr>
        <w:rPr>
          <w:rFonts w:asciiTheme="majorHAnsi" w:hAnsiTheme="majorHAnsi" w:cs="Arial"/>
          <w:sz w:val="18"/>
          <w:szCs w:val="18"/>
        </w:rPr>
      </w:pPr>
      <w:r w:rsidRPr="00BD2D1E">
        <w:rPr>
          <w:rFonts w:asciiTheme="majorHAnsi" w:hAnsiTheme="majorHAnsi" w:cs="Arial"/>
          <w:sz w:val="18"/>
          <w:szCs w:val="18"/>
        </w:rPr>
        <w:t>Kvestor navrhol, aby sa na financovaní veľtrhu podieľali aj fakulty</w:t>
      </w:r>
      <w:r>
        <w:rPr>
          <w:rFonts w:asciiTheme="majorHAnsi" w:hAnsiTheme="majorHAnsi" w:cs="Arial"/>
          <w:sz w:val="18"/>
          <w:szCs w:val="18"/>
        </w:rPr>
        <w:t xml:space="preserve">, s čím prítomní vo všeobecnosti súhlasili. Rektor požiadal prorektorku </w:t>
      </w:r>
      <w:proofErr w:type="spellStart"/>
      <w:r>
        <w:rPr>
          <w:rFonts w:asciiTheme="majorHAnsi" w:hAnsiTheme="majorHAnsi" w:cs="Arial"/>
          <w:sz w:val="18"/>
          <w:szCs w:val="18"/>
        </w:rPr>
        <w:t>Vitkovú</w:t>
      </w:r>
      <w:proofErr w:type="spellEnd"/>
      <w:r>
        <w:rPr>
          <w:rFonts w:asciiTheme="majorHAnsi" w:hAnsiTheme="majorHAnsi" w:cs="Arial"/>
          <w:sz w:val="18"/>
          <w:szCs w:val="18"/>
        </w:rPr>
        <w:t>, aby zistila na fakultách možnosť spolufinancovania a vhodnosť termínu. Keďže TUKE už má skúsenosti s ukrajinskými študentmi, požiadal aj o</w:t>
      </w:r>
      <w:r w:rsidR="007B5AF1">
        <w:rPr>
          <w:rFonts w:asciiTheme="majorHAnsi" w:hAnsiTheme="majorHAnsi" w:cs="Arial"/>
          <w:sz w:val="18"/>
          <w:szCs w:val="18"/>
        </w:rPr>
        <w:t xml:space="preserve"> konzultáciu s nimi. Prorektor Szolgay dal do pozornosti aj </w:t>
      </w:r>
      <w:r w:rsidR="00D52233">
        <w:rPr>
          <w:rFonts w:asciiTheme="majorHAnsi" w:hAnsiTheme="majorHAnsi" w:cs="Arial"/>
          <w:sz w:val="18"/>
          <w:szCs w:val="18"/>
        </w:rPr>
        <w:t xml:space="preserve">dôležitosť </w:t>
      </w:r>
      <w:r w:rsidR="007B5AF1">
        <w:rPr>
          <w:rFonts w:asciiTheme="majorHAnsi" w:hAnsiTheme="majorHAnsi" w:cs="Arial"/>
          <w:sz w:val="18"/>
          <w:szCs w:val="18"/>
        </w:rPr>
        <w:t>získa</w:t>
      </w:r>
      <w:r w:rsidR="00D52233">
        <w:rPr>
          <w:rFonts w:asciiTheme="majorHAnsi" w:hAnsiTheme="majorHAnsi" w:cs="Arial"/>
          <w:sz w:val="18"/>
          <w:szCs w:val="18"/>
        </w:rPr>
        <w:t>vania</w:t>
      </w:r>
      <w:r w:rsidR="007B5AF1">
        <w:rPr>
          <w:rFonts w:asciiTheme="majorHAnsi" w:hAnsiTheme="majorHAnsi" w:cs="Arial"/>
          <w:sz w:val="18"/>
          <w:szCs w:val="18"/>
        </w:rPr>
        <w:t xml:space="preserve"> </w:t>
      </w:r>
      <w:r w:rsidR="00D52233">
        <w:rPr>
          <w:rFonts w:asciiTheme="majorHAnsi" w:hAnsiTheme="majorHAnsi" w:cs="Arial"/>
          <w:sz w:val="18"/>
          <w:szCs w:val="18"/>
        </w:rPr>
        <w:t xml:space="preserve">zahraničných </w:t>
      </w:r>
      <w:r w:rsidR="007B5AF1">
        <w:rPr>
          <w:rFonts w:asciiTheme="majorHAnsi" w:hAnsiTheme="majorHAnsi" w:cs="Arial"/>
          <w:sz w:val="18"/>
          <w:szCs w:val="18"/>
        </w:rPr>
        <w:t xml:space="preserve">doktorandov. Prorektorka </w:t>
      </w:r>
      <w:proofErr w:type="spellStart"/>
      <w:r w:rsidR="007B5AF1">
        <w:rPr>
          <w:rFonts w:asciiTheme="majorHAnsi" w:hAnsiTheme="majorHAnsi" w:cs="Arial"/>
          <w:sz w:val="18"/>
          <w:szCs w:val="18"/>
        </w:rPr>
        <w:t>Bakošová</w:t>
      </w:r>
      <w:proofErr w:type="spellEnd"/>
      <w:r w:rsidR="007B5AF1">
        <w:rPr>
          <w:rFonts w:asciiTheme="majorHAnsi" w:hAnsiTheme="majorHAnsi" w:cs="Arial"/>
          <w:sz w:val="18"/>
          <w:szCs w:val="18"/>
        </w:rPr>
        <w:t xml:space="preserve"> konštatovala, že preferuje novembrový termín veľtrhu a schému finančného zapojenia fakúlt považuje za dobré riešenie. Zároveň dodala, že na ďalšom zasadnutí vedenia bude prezentovať stav prihlásených zahraničných uchádzačov vrátane Ukrajiny. 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BD2D1E">
        <w:rPr>
          <w:rFonts w:asciiTheme="majorHAnsi" w:hAnsiTheme="majorHAnsi" w:cs="Arial"/>
          <w:sz w:val="18"/>
          <w:szCs w:val="18"/>
        </w:rPr>
        <w:t xml:space="preserve"> </w:t>
      </w:r>
    </w:p>
    <w:p w14:paraId="62EBF3C5" w14:textId="77777777" w:rsidR="00D40E69" w:rsidRDefault="00D40E69" w:rsidP="00BD43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D0EF008" w14:textId="77777777" w:rsidR="00BD43B9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AF1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7C05332C" w14:textId="77777777" w:rsidR="007B5AF1" w:rsidRDefault="00BD43B9" w:rsidP="00A42B1D">
      <w:pPr>
        <w:pStyle w:val="Default"/>
        <w:ind w:left="1985" w:hanging="1985"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B5AF1">
        <w:rPr>
          <w:rFonts w:asciiTheme="majorHAnsi" w:hAnsiTheme="majorHAnsi" w:cs="Arial"/>
          <w:sz w:val="18"/>
          <w:szCs w:val="18"/>
          <w:shd w:val="clear" w:color="auto" w:fill="FFFFFF"/>
        </w:rPr>
        <w:t>súhlasí s účasťou na veľtrhu vysokých škôl na Ukrajine s pripomienkami.</w:t>
      </w:r>
    </w:p>
    <w:p w14:paraId="38D439A9" w14:textId="77777777" w:rsidR="007B5AF1" w:rsidRDefault="007B5AF1" w:rsidP="00651888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02330EF4" w14:textId="0C50C552" w:rsidR="00651888" w:rsidRDefault="007B5AF1" w:rsidP="2100CB6A">
      <w:pPr>
        <w:rPr>
          <w:rFonts w:asciiTheme="majorHAnsi" w:hAnsiTheme="majorHAnsi"/>
          <w:sz w:val="18"/>
          <w:szCs w:val="18"/>
        </w:rPr>
      </w:pPr>
      <w:r w:rsidRPr="2100CB6A">
        <w:t xml:space="preserve">Vedenie STU </w:t>
      </w:r>
      <w:r w:rsidR="00F11E79" w:rsidRPr="2100CB6A">
        <w:t xml:space="preserve">odporúča </w:t>
      </w:r>
      <w:r w:rsidRPr="2100CB6A">
        <w:t xml:space="preserve">osloviť vedenie fakúlt s požiadavkou na </w:t>
      </w:r>
      <w:r w:rsidR="00D52233" w:rsidRPr="2100CB6A">
        <w:t xml:space="preserve">možnú </w:t>
      </w:r>
      <w:r w:rsidRPr="2100CB6A">
        <w:t xml:space="preserve">spoluúčasť pri realizácii </w:t>
      </w:r>
      <w:r w:rsidR="00D52233" w:rsidRPr="2100CB6A">
        <w:t xml:space="preserve">veľtrhu </w:t>
      </w:r>
      <w:r w:rsidRPr="2100CB6A">
        <w:t>a</w:t>
      </w:r>
      <w:r w:rsidR="00651888" w:rsidRPr="2100CB6A">
        <w:t xml:space="preserve"> zistiť, ktorá z uvedených </w:t>
      </w:r>
      <w:r w:rsidR="2100CB6A" w:rsidRPr="2100CB6A">
        <w:t>alternatív je pre nich prijateľná.</w:t>
      </w:r>
    </w:p>
    <w:p w14:paraId="6D98A12B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74CA504" w14:textId="77777777" w:rsidR="00A42B1D" w:rsidRPr="009D0E72" w:rsidRDefault="00A42B1D" w:rsidP="009D0E72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11E7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11E79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0E72" w:rsidRPr="009D0E72">
        <w:rPr>
          <w:rFonts w:asciiTheme="majorHAnsi" w:hAnsiTheme="majorHAnsi" w:cstheme="minorHAnsi"/>
          <w:b/>
          <w:sz w:val="18"/>
          <w:szCs w:val="18"/>
          <w:u w:val="single"/>
        </w:rPr>
        <w:t>Návrh príkazu rektora Opatrenia na odstránenie nedostatkov zistených kontrolou Najvyššieho kontrolného úradu SR v roku 2019</w:t>
      </w:r>
    </w:p>
    <w:p w14:paraId="100C5B58" w14:textId="77777777" w:rsidR="00A42B1D" w:rsidRPr="0087064F" w:rsidRDefault="2100CB6A" w:rsidP="2100CB6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2100CB6A">
        <w:t xml:space="preserve"> </w:t>
      </w:r>
    </w:p>
    <w:p w14:paraId="2B5CA2A0" w14:textId="5250BABE" w:rsidR="009D0E72" w:rsidRPr="009D0E72" w:rsidRDefault="2100CB6A" w:rsidP="2100CB6A">
      <w:pPr>
        <w:rPr>
          <w:rFonts w:asciiTheme="majorHAnsi" w:hAnsiTheme="majorHAnsi"/>
          <w:sz w:val="18"/>
          <w:szCs w:val="18"/>
        </w:rPr>
      </w:pPr>
      <w:r w:rsidRPr="2100CB6A">
        <w:t>Materiál uviedol kvestor ako prijatie opatrení vo forme úloh na odstránenia nedostatkov zistených kontrolou Najvyššieho kontrolného úradu Slovenskej republiky vyplývajúcich z:</w:t>
      </w:r>
    </w:p>
    <w:p w14:paraId="5253186E" w14:textId="77777777" w:rsidR="009D0E72" w:rsidRPr="009D0E72" w:rsidRDefault="009D0E72" w:rsidP="009D0E72">
      <w:pPr>
        <w:pStyle w:val="Odsekzoznamu"/>
        <w:numPr>
          <w:ilvl w:val="0"/>
          <w:numId w:val="21"/>
        </w:num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9D0E72">
        <w:rPr>
          <w:rFonts w:asciiTheme="majorHAnsi" w:hAnsiTheme="majorHAnsi"/>
          <w:sz w:val="18"/>
          <w:szCs w:val="18"/>
        </w:rPr>
        <w:t>Protokolu o výsledku kontroly Vedecké parky a výskumné centrá číslo Z-002974/2019/1031/BMC (Bratislava),</w:t>
      </w:r>
    </w:p>
    <w:p w14:paraId="62230C3F" w14:textId="77777777" w:rsidR="009D0E72" w:rsidRPr="009D0E72" w:rsidRDefault="009D0E72" w:rsidP="009D0E72">
      <w:pPr>
        <w:pStyle w:val="Odsekzoznamu"/>
        <w:numPr>
          <w:ilvl w:val="0"/>
          <w:numId w:val="21"/>
        </w:numPr>
        <w:rPr>
          <w:rFonts w:asciiTheme="majorHAnsi" w:hAnsiTheme="majorHAnsi" w:cs="Calibri"/>
          <w:sz w:val="18"/>
          <w:szCs w:val="18"/>
        </w:rPr>
      </w:pPr>
      <w:r w:rsidRPr="009D0E72">
        <w:rPr>
          <w:rFonts w:asciiTheme="majorHAnsi" w:hAnsiTheme="majorHAnsi"/>
          <w:sz w:val="18"/>
          <w:szCs w:val="18"/>
        </w:rPr>
        <w:t>Protokolu o výsledku kontroly vedeckých parkov a výskumných centier číslo Z-002641/2019/1030/KGB (Trnava</w:t>
      </w:r>
      <w:r>
        <w:rPr>
          <w:rFonts w:asciiTheme="majorHAnsi" w:hAnsiTheme="majorHAnsi"/>
          <w:sz w:val="18"/>
          <w:szCs w:val="18"/>
        </w:rPr>
        <w:t>).</w:t>
      </w:r>
    </w:p>
    <w:p w14:paraId="6A5E078B" w14:textId="77777777" w:rsidR="009D0E72" w:rsidRPr="009D0E72" w:rsidRDefault="009D0E72" w:rsidP="009D0E7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14:paraId="2946DB82" w14:textId="77777777" w:rsidR="00D40E69" w:rsidRDefault="00D40E69" w:rsidP="00F11E7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7E574B14" w14:textId="77777777" w:rsidR="00F11E79" w:rsidRDefault="00F11E79" w:rsidP="00F11E7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D0E72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DC26A6B" w14:textId="0BE399EE" w:rsidR="009D0E72" w:rsidRPr="009D0E72" w:rsidRDefault="2100CB6A" w:rsidP="2100CB6A">
      <w:pPr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>Vedenie STU prerokovalo návrh príkazu rektora Opatrenia na odstránenie nedostatkov zistených kontrolou Najvyššieho kontrolného úradu SR v roku 2019 bez pripomienok a odporúča predmetný interný predpis vydať.</w:t>
      </w:r>
    </w:p>
    <w:p w14:paraId="5997CC1D" w14:textId="77777777" w:rsidR="00F11E79" w:rsidRDefault="00F11E79" w:rsidP="00F11E79">
      <w:pPr>
        <w:ind w:right="-144"/>
        <w:rPr>
          <w:rFonts w:asciiTheme="majorHAnsi" w:hAnsiTheme="majorHAnsi"/>
          <w:sz w:val="18"/>
          <w:szCs w:val="18"/>
        </w:rPr>
      </w:pPr>
    </w:p>
    <w:p w14:paraId="3CE9197F" w14:textId="77777777" w:rsidR="00A42B1D" w:rsidRPr="00BD43B9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DC702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0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0E72" w:rsidRPr="009D0E72">
        <w:rPr>
          <w:rFonts w:asciiTheme="majorHAnsi" w:hAnsiTheme="majorHAnsi" w:cstheme="minorHAnsi"/>
          <w:b/>
          <w:sz w:val="18"/>
          <w:szCs w:val="18"/>
          <w:u w:val="single"/>
        </w:rPr>
        <w:t>Aktualizácia údajov zapísaných na živnostenskom oprávnení Slovenskej technickej univerzity v Bratislave</w:t>
      </w:r>
    </w:p>
    <w:p w14:paraId="12F40E89" w14:textId="77777777" w:rsidR="00A42B1D" w:rsidRPr="0087064F" w:rsidRDefault="00A42B1D" w:rsidP="00A42B1D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0E9B6A19" w14:textId="77777777" w:rsidR="009D0E72" w:rsidRPr="009D0E72" w:rsidRDefault="009D0E72" w:rsidP="009D0E7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kvestor.</w:t>
      </w:r>
      <w:r w:rsidRPr="009D0E72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14:paraId="353BBE7A" w14:textId="77777777" w:rsidR="009D0E72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Ide o postup v zmysle článku IV. bod 3 vnútorného predpisu STU číslo 9/2013 Pravidlá pre vykonávanie podnikateľskej činnosti </w:t>
      </w:r>
    </w:p>
    <w:p w14:paraId="623668FE" w14:textId="77777777" w:rsidR="009D0E72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na Slovenskej technickej univerzite v Bratislave s cieľom rozšírenia predmetu podnikania, zriadenia a zrušenia prevádzkarní </w:t>
      </w:r>
    </w:p>
    <w:p w14:paraId="7ED921E4" w14:textId="77777777" w:rsidR="009D0E72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>a aktualizácie zapísaných údajov.</w:t>
      </w:r>
    </w:p>
    <w:p w14:paraId="07800B6D" w14:textId="77777777" w:rsidR="009D0E72" w:rsidRDefault="2100CB6A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2100CB6A">
        <w:t xml:space="preserve">Kvestor informoval prítomných, že vo väčšine prípadov ide o zriadenie/doplnenie prevádzkarní na </w:t>
      </w:r>
      <w:proofErr w:type="spellStart"/>
      <w:r w:rsidRPr="2100CB6A">
        <w:t>SvF</w:t>
      </w:r>
      <w:proofErr w:type="spellEnd"/>
      <w:r w:rsidRPr="2100CB6A">
        <w:t xml:space="preserve"> STU, </w:t>
      </w:r>
      <w:proofErr w:type="spellStart"/>
      <w:r w:rsidRPr="2100CB6A">
        <w:t>SjF</w:t>
      </w:r>
      <w:proofErr w:type="spellEnd"/>
      <w:r w:rsidRPr="2100CB6A">
        <w:t xml:space="preserve"> STU a </w:t>
      </w:r>
      <w:proofErr w:type="spellStart"/>
      <w:r w:rsidRPr="2100CB6A">
        <w:t>ŠDaJ</w:t>
      </w:r>
      <w:proofErr w:type="spellEnd"/>
      <w:r w:rsidRPr="2100CB6A">
        <w:t xml:space="preserve"> STU.</w:t>
      </w:r>
    </w:p>
    <w:p w14:paraId="03B00860" w14:textId="6E35DEEE" w:rsidR="009D0E72" w:rsidRPr="009D0E72" w:rsidRDefault="2100CB6A" w:rsidP="2100CB6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2100CB6A">
        <w:t xml:space="preserve">Prorektorka </w:t>
      </w:r>
      <w:proofErr w:type="spellStart"/>
      <w:r w:rsidRPr="2100CB6A">
        <w:t>Bakošová</w:t>
      </w:r>
      <w:proofErr w:type="spellEnd"/>
      <w:r w:rsidRPr="2100CB6A">
        <w:t xml:space="preserve"> upozornila na formálne chyby v dokumente, konkrétne v bode 1, odrážka 3 „Centrálne laboratóriá </w:t>
      </w:r>
      <w:proofErr w:type="spellStart"/>
      <w:r w:rsidRPr="2100CB6A">
        <w:t>SvF</w:t>
      </w:r>
      <w:proofErr w:type="spellEnd"/>
      <w:r w:rsidRPr="2100CB6A">
        <w:t xml:space="preserve"> STU“ a v bode 2 sú uvedené za sebou dve identické zriadenia prevádzkarní. Prítomní upriamili pozornosť aj na zriadenie prevádzkarne v rámci bodu 2 predmetu podnikania „Ubytovacie služby bez poskytovania pohostinných činností“ a žiadali preveriť uvedenú prevádzku.</w:t>
      </w:r>
    </w:p>
    <w:p w14:paraId="110FFD37" w14:textId="77777777" w:rsidR="00D40E69" w:rsidRDefault="00D40E69" w:rsidP="0042411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24C36A7" w14:textId="77777777" w:rsidR="00424113" w:rsidRDefault="00A42B1D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392A502B" w14:textId="77777777" w:rsidR="00424113" w:rsidRPr="004F6765" w:rsidRDefault="00A42B1D" w:rsidP="00424113">
      <w:pPr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4F6765" w:rsidRPr="004F6765">
        <w:rPr>
          <w:rFonts w:asciiTheme="majorHAnsi" w:hAnsiTheme="majorHAnsi"/>
          <w:sz w:val="18"/>
          <w:szCs w:val="18"/>
        </w:rPr>
        <w:t>prerokovalo návrh súčastí STU na aktualizáciu údajov zapísaných na živnostenskom oprávnení STU</w:t>
      </w:r>
      <w:r w:rsidR="004F6765">
        <w:rPr>
          <w:rFonts w:asciiTheme="majorHAnsi" w:hAnsiTheme="majorHAnsi"/>
          <w:sz w:val="18"/>
          <w:szCs w:val="18"/>
        </w:rPr>
        <w:t xml:space="preserve"> s pripomienkami</w:t>
      </w:r>
      <w:r w:rsidR="00424113" w:rsidRPr="004F6765">
        <w:rPr>
          <w:rFonts w:asciiTheme="majorHAnsi" w:hAnsiTheme="majorHAnsi"/>
          <w:sz w:val="18"/>
          <w:szCs w:val="18"/>
        </w:rPr>
        <w:t>.</w:t>
      </w:r>
    </w:p>
    <w:p w14:paraId="1A8426F9" w14:textId="77777777" w:rsidR="004F6765" w:rsidRDefault="004F6765" w:rsidP="004F676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E3D37E6" w14:textId="77777777" w:rsidR="00BD43B9" w:rsidRPr="004F6765" w:rsidRDefault="004F6765" w:rsidP="007E247A">
      <w:pPr>
        <w:tabs>
          <w:tab w:val="left" w:pos="851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4F6765">
        <w:rPr>
          <w:rFonts w:asciiTheme="majorHAnsi" w:hAnsiTheme="majorHAnsi" w:cs="Arial"/>
          <w:sz w:val="18"/>
          <w:szCs w:val="18"/>
          <w:shd w:val="clear" w:color="auto" w:fill="FFFFFF"/>
        </w:rPr>
        <w:t>Vedenie STU odporúča vyjasniť si p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r</w:t>
      </w:r>
      <w:r w:rsidRPr="004F676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edmet podnikania v bode 2 s dekanom </w:t>
      </w:r>
      <w:proofErr w:type="spellStart"/>
      <w:r w:rsidRPr="004F6765">
        <w:rPr>
          <w:rFonts w:asciiTheme="majorHAnsi" w:hAnsiTheme="majorHAnsi" w:cs="Arial"/>
          <w:sz w:val="18"/>
          <w:szCs w:val="18"/>
          <w:shd w:val="clear" w:color="auto" w:fill="FFFFFF"/>
        </w:rPr>
        <w:t>SjF</w:t>
      </w:r>
      <w:proofErr w:type="spellEnd"/>
      <w:r w:rsidRPr="004F676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STU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a predložiť materiál na rokovanie Kolégia rektora STU.</w:t>
      </w:r>
    </w:p>
    <w:p w14:paraId="6B699379" w14:textId="77777777" w:rsidR="004F6765" w:rsidRDefault="004F6765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71D8508" w14:textId="77777777" w:rsidR="00424113" w:rsidRPr="00BD43B9" w:rsidRDefault="00424113" w:rsidP="004F6765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ED3764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F6765" w:rsidRPr="004F6765">
        <w:rPr>
          <w:rFonts w:asciiTheme="majorHAnsi" w:hAnsiTheme="majorHAnsi" w:cstheme="minorHAnsi"/>
          <w:b/>
          <w:sz w:val="18"/>
          <w:szCs w:val="18"/>
          <w:u w:val="single"/>
        </w:rPr>
        <w:t>Návrh Dodatku č. 1 k smernici kvestora číslo 2/2016-SK zo dňa 31.7.2016 Vykonávanie finančnej kontroly na Rektoráte STU v Bratislave a na centrálne financovaných súčastiach STU v Bratislave</w:t>
      </w:r>
    </w:p>
    <w:p w14:paraId="608DEACE" w14:textId="77777777" w:rsidR="00424113" w:rsidRPr="0087064F" w:rsidRDefault="00424113" w:rsidP="004241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33BE9E69" w14:textId="77777777" w:rsidR="004F6765" w:rsidRDefault="00424113" w:rsidP="0042411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F6765">
        <w:rPr>
          <w:rFonts w:asciiTheme="majorHAnsi" w:hAnsiTheme="majorHAnsi" w:cs="Calibri"/>
          <w:sz w:val="18"/>
          <w:szCs w:val="18"/>
        </w:rPr>
        <w:t>kvestor ako aktualizáciu v zmysle Smernice rektora č.7/2016-SR.</w:t>
      </w:r>
    </w:p>
    <w:p w14:paraId="3FCCF6A7" w14:textId="77777777" w:rsidR="00424113" w:rsidRPr="00537585" w:rsidRDefault="004F6765" w:rsidP="00537585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 hľadiska efektívnosti a lepšej prehľadnosti rektor odporučil do budúcnosti predkladať obdobné materiály formou revízie – sledovania zmien.</w:t>
      </w:r>
    </w:p>
    <w:p w14:paraId="3FE9F23F" w14:textId="77777777" w:rsidR="00D40E69" w:rsidRDefault="00D40E69" w:rsidP="0042411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3CAB13A" w14:textId="77777777" w:rsidR="00424113" w:rsidRDefault="00424113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0BB3DDA" w14:textId="77777777" w:rsidR="00424113" w:rsidRPr="00424113" w:rsidRDefault="00424113" w:rsidP="00424113">
      <w:pPr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 w:cs="Arial"/>
          <w:sz w:val="18"/>
          <w:szCs w:val="18"/>
          <w:shd w:val="clear" w:color="auto" w:fill="FFFFFF"/>
        </w:rPr>
        <w:lastRenderedPageBreak/>
        <w:t xml:space="preserve">Vedenie STU </w:t>
      </w:r>
      <w:r w:rsidR="004F6765">
        <w:rPr>
          <w:rFonts w:asciiTheme="majorHAnsi" w:hAnsiTheme="majorHAnsi"/>
          <w:sz w:val="18"/>
          <w:szCs w:val="18"/>
        </w:rPr>
        <w:t xml:space="preserve">schvaľuje </w:t>
      </w:r>
      <w:r w:rsidR="004F6765" w:rsidRPr="004F6765">
        <w:rPr>
          <w:rFonts w:asciiTheme="majorHAnsi" w:hAnsiTheme="majorHAnsi" w:cstheme="minorHAnsi"/>
          <w:sz w:val="18"/>
          <w:szCs w:val="18"/>
        </w:rPr>
        <w:t>Dodat</w:t>
      </w:r>
      <w:r w:rsidR="004F6765">
        <w:rPr>
          <w:rFonts w:asciiTheme="majorHAnsi" w:hAnsiTheme="majorHAnsi" w:cstheme="minorHAnsi"/>
          <w:sz w:val="18"/>
          <w:szCs w:val="18"/>
        </w:rPr>
        <w:t>ok</w:t>
      </w:r>
      <w:r w:rsidR="004F6765" w:rsidRPr="004F6765">
        <w:rPr>
          <w:rFonts w:asciiTheme="majorHAnsi" w:hAnsiTheme="majorHAnsi" w:cstheme="minorHAnsi"/>
          <w:sz w:val="18"/>
          <w:szCs w:val="18"/>
        </w:rPr>
        <w:t xml:space="preserve"> č. 1 k smernici kvestora číslo 2/2016-SK zo dňa 31.7.2016 Vykonávanie finančnej kontroly na Rektoráte STU v Bratislave a na centrálne financovaných súčastiach STU v Bratislave</w:t>
      </w:r>
      <w:r w:rsidR="00C27721">
        <w:rPr>
          <w:rFonts w:asciiTheme="majorHAnsi" w:hAnsiTheme="majorHAnsi"/>
          <w:sz w:val="18"/>
          <w:szCs w:val="18"/>
        </w:rPr>
        <w:t>.</w:t>
      </w:r>
    </w:p>
    <w:p w14:paraId="1F72F646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B2C9656" w14:textId="77777777" w:rsidR="007E247A" w:rsidRPr="007E247A" w:rsidRDefault="00E6679C" w:rsidP="007E247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25B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53758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14:paraId="08CE6F91" w14:textId="77777777"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14:paraId="311789EF" w14:textId="77777777"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37585">
        <w:rPr>
          <w:rFonts w:asciiTheme="majorHAnsi" w:hAnsiTheme="majorHAnsi" w:cs="Calibri"/>
          <w:sz w:val="18"/>
          <w:szCs w:val="18"/>
        </w:rPr>
        <w:t xml:space="preserve">a prezentoval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14:paraId="61CDCEAD" w14:textId="77777777" w:rsidR="00D40E69" w:rsidRDefault="00D40E69" w:rsidP="00E25BA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FA02017" w14:textId="77777777" w:rsidR="00E25BA3" w:rsidRDefault="00E25BA3" w:rsidP="00E25BA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3758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B059425" w14:textId="77777777" w:rsidR="004F6765" w:rsidRPr="004F6765" w:rsidRDefault="001F5878" w:rsidP="004F67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 w:rsidR="004F6765" w:rsidRPr="004F6765">
        <w:rPr>
          <w:rFonts w:asciiTheme="majorHAnsi" w:hAnsiTheme="majorHAnsi"/>
          <w:sz w:val="18"/>
          <w:szCs w:val="18"/>
        </w:rPr>
        <w:t xml:space="preserve">prerokovalo žiadosti ÚZ ŠD a J STU, FIIT STU, FEI STU, FCHPT STU, </w:t>
      </w:r>
      <w:proofErr w:type="spellStart"/>
      <w:r w:rsidR="004F6765" w:rsidRPr="004F6765">
        <w:rPr>
          <w:rFonts w:asciiTheme="majorHAnsi" w:hAnsiTheme="majorHAnsi"/>
          <w:sz w:val="18"/>
          <w:szCs w:val="18"/>
        </w:rPr>
        <w:t>ÚPaKR</w:t>
      </w:r>
      <w:proofErr w:type="spellEnd"/>
      <w:r w:rsidR="004F6765" w:rsidRPr="004F6765">
        <w:rPr>
          <w:rFonts w:asciiTheme="majorHAnsi" w:hAnsiTheme="majorHAnsi"/>
          <w:sz w:val="18"/>
          <w:szCs w:val="18"/>
        </w:rPr>
        <w:t xml:space="preserve"> R-STU, </w:t>
      </w:r>
      <w:proofErr w:type="spellStart"/>
      <w:r w:rsidR="004F6765" w:rsidRPr="004F6765">
        <w:rPr>
          <w:rFonts w:asciiTheme="majorHAnsi" w:hAnsiTheme="majorHAnsi"/>
          <w:sz w:val="18"/>
          <w:szCs w:val="18"/>
        </w:rPr>
        <w:t>SvF</w:t>
      </w:r>
      <w:proofErr w:type="spellEnd"/>
      <w:r w:rsidR="004F6765" w:rsidRPr="004F6765">
        <w:rPr>
          <w:rFonts w:asciiTheme="majorHAnsi" w:hAnsiTheme="majorHAnsi"/>
          <w:sz w:val="18"/>
          <w:szCs w:val="18"/>
        </w:rPr>
        <w:t xml:space="preserve"> STU  a UTI STU o nájom nehnuteľného majetku STU uvedeného v bodoch 1 až 10 tohto materiálu</w:t>
      </w:r>
      <w:r w:rsidR="004F6765">
        <w:rPr>
          <w:rFonts w:asciiTheme="majorHAnsi" w:hAnsiTheme="majorHAnsi"/>
          <w:sz w:val="18"/>
          <w:szCs w:val="18"/>
        </w:rPr>
        <w:t xml:space="preserve"> </w:t>
      </w:r>
      <w:r w:rsidR="004F6765" w:rsidRPr="004F6765">
        <w:rPr>
          <w:rFonts w:asciiTheme="majorHAnsi" w:hAnsiTheme="majorHAnsi"/>
          <w:sz w:val="18"/>
          <w:szCs w:val="18"/>
        </w:rPr>
        <w:t xml:space="preserve">bez pripomienok a odporúča rektorovi žiadosti uvedené v bodoch 1,2 a 5 až 8 tohto  materiálu v zmysle článku 3 bod 3 smernice rektora číslo 9/2013-SR predložiť na vyjadrenie predchádzajúceho písomného súhlasu do Akademického senátu STU. </w:t>
      </w:r>
    </w:p>
    <w:p w14:paraId="6BB9E253" w14:textId="77777777" w:rsidR="00E25BA3" w:rsidRPr="004F6765" w:rsidRDefault="00E25BA3" w:rsidP="00E25BA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4F6765" w:rsidRPr="004F6765" w14:paraId="7AD00F7D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4F6765" w:rsidRPr="004F6765" w:rsidRDefault="004F6765" w:rsidP="00781012">
            <w:pPr>
              <w:ind w:left="360" w:hanging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89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8DC" w14:textId="77777777" w:rsidR="004F6765" w:rsidRPr="004F6765" w:rsidRDefault="004F6765" w:rsidP="007810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MUDr. Eva Konečná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Karadžičova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53,  811 08  Bratislava,</w:t>
            </w:r>
          </w:p>
          <w:p w14:paraId="3EA29803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neštátny lekár v odbore pediatria a dorastový lekár, č. licencie SLK L1A/BA/1123/05.</w:t>
            </w:r>
          </w:p>
        </w:tc>
      </w:tr>
      <w:tr w:rsidR="004F6765" w:rsidRPr="004F6765" w14:paraId="6B576086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03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8F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52/2016 R-STU o nájme nebytových priestorov s dobou nájmu od 01.07.2016 do 30.06.2019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sa od 01.07.2019 menia identifikačné údaje štatutárneho zástupcu prenajímateľa STU v Bratislave a identifikačné údaje prevádzkového riaditeľa ŠD MG a predlžuje sa doba trvania nájmu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; dočasne nepotrebný majetok, nebytové priestory nachádzajúce sa v ŠD Mladá garda, Bratislava na prízemí boku „S“  a to: miestnosť č. 01 HS 01 0007 - ambulancia o výmere 24,40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 miestnosť č. 01 HS 01 0008 - skladový priestor o výmere 4,30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 miestnosť č. 01 HS 01 0009 chodba o výmere 2,10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 miestnosť č. 01 HS 01 0010 hygienické zariadenie o výmere 1,00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a  miestnosť č. 01 HS 01 0011A - čakáreň o výmere 14,80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 30.06.2022,</w:t>
            </w:r>
          </w:p>
          <w:p w14:paraId="6F328974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46,60m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F6765" w:rsidRPr="004F6765" w14:paraId="033AB5B5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FD9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D09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Liečebno-preventívna starostlivosť pre študentov STU v odbore pediatria a dorastový lekár</w:t>
            </w:r>
          </w:p>
        </w:tc>
      </w:tr>
      <w:tr w:rsidR="004F6765" w:rsidRPr="004F6765" w14:paraId="7223A90E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FDD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7C7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01.07.2016 - 30. 06.2022</w:t>
            </w:r>
          </w:p>
        </w:tc>
      </w:tr>
      <w:tr w:rsidR="004F6765" w:rsidRPr="004F6765" w14:paraId="2167116E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F3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441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ambulancia - (24,40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- 34,00 €/m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829,60 €/rok,</w:t>
            </w:r>
          </w:p>
          <w:p w14:paraId="0A553E28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skladový priestor - (4,30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- 24,00 €/m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103,20 €/rok,</w:t>
            </w:r>
          </w:p>
          <w:p w14:paraId="5AFA7089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chodba a čakáreň, hygienické zariadenie - (17,90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- 10,00 €/m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179,00 €/rok,</w:t>
            </w:r>
          </w:p>
          <w:p w14:paraId="1D56D769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štvrťročná výška nájomného je 277,95 €,</w:t>
            </w:r>
          </w:p>
          <w:p w14:paraId="145AA1F0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1111,80 €/rok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184151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4F6765" w:rsidRPr="004F6765" w14:paraId="45EE1A7E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92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95A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14:paraId="064A52D5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4F676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14:paraId="40AAB5BB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14:paraId="5F08389F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</w:p>
          <w:p w14:paraId="215D110E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</w:t>
            </w:r>
          </w:p>
          <w:p w14:paraId="4CE15416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príslušný kalendárny rok. Splatnosť nedoplatku alebo preplatku zo zúčtovacej faktúry je</w:t>
            </w:r>
          </w:p>
          <w:p w14:paraId="503EA671" w14:textId="77777777" w:rsidR="004F6765" w:rsidRPr="004F6765" w:rsidRDefault="004F6765" w:rsidP="00781012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15 kalendárnych dní odo dňa doručenia vyúčtovania nájomcovi.</w:t>
            </w:r>
          </w:p>
        </w:tc>
      </w:tr>
      <w:tr w:rsidR="004F6765" w:rsidRPr="004F6765" w14:paraId="54054455" w14:textId="77777777" w:rsidTr="004F67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BF0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FE2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14:paraId="6DFB9E20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796"/>
      </w:tblGrid>
      <w:tr w:rsidR="004F6765" w:rsidRPr="004F6765" w14:paraId="3889BA1D" w14:textId="77777777" w:rsidTr="004F6765">
        <w:tc>
          <w:tcPr>
            <w:tcW w:w="454" w:type="dxa"/>
          </w:tcPr>
          <w:p w14:paraId="47886996" w14:textId="77777777" w:rsidR="004F6765" w:rsidRPr="004F6765" w:rsidRDefault="004F6765" w:rsidP="00781012">
            <w:pPr>
              <w:ind w:left="34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2" w:type="dxa"/>
          </w:tcPr>
          <w:p w14:paraId="06347AD4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6" w:type="dxa"/>
          </w:tcPr>
          <w:p w14:paraId="22AF1F0B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Aldobec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technologies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Osuského 40, 851 03 Bratislava, </w:t>
            </w:r>
          </w:p>
          <w:p w14:paraId="6CDEB484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, vložka č. 41198/B.  </w:t>
            </w:r>
          </w:p>
        </w:tc>
      </w:tr>
      <w:tr w:rsidR="004F6765" w:rsidRPr="004F6765" w14:paraId="3AA729AB" w14:textId="77777777" w:rsidTr="004F6765">
        <w:tc>
          <w:tcPr>
            <w:tcW w:w="454" w:type="dxa"/>
          </w:tcPr>
          <w:p w14:paraId="70DF9E5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59A770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6" w:type="dxa"/>
          </w:tcPr>
          <w:p w14:paraId="560FF3A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62/2015 R-STU spolu s dodatkom č. 1 s dobou nájmu od 01.07.2015 do 30.06.2019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sa od 01.07.2015 predlžuje doba nájmu;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nachádzajúci sa v ŠD Mladosť, Staré grunty 53, Bratislava na druhom poschodí  bloku „C“, internát A  pozostávajúci z miestnosti č. 116 – kancelária  o výmere 79,75m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 miestnosť č. 113/A – kancelária o výmere 25,35m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spolu s 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prísl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. ako spoločné priestory (pomerná časť 1,50m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) chodba a WC na bloku A-B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 31.12.2019</w:t>
            </w:r>
          </w:p>
          <w:p w14:paraId="5E589E1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105,10 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F6765" w:rsidRPr="004F6765" w14:paraId="22D6D513" w14:textId="77777777" w:rsidTr="004F6765">
        <w:tc>
          <w:tcPr>
            <w:tcW w:w="454" w:type="dxa"/>
          </w:tcPr>
          <w:p w14:paraId="44E871B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8BFFA4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6" w:type="dxa"/>
          </w:tcPr>
          <w:p w14:paraId="55A9DBF4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vykonávanie administratívnych činností v rámci podnikania.</w:t>
            </w:r>
          </w:p>
        </w:tc>
      </w:tr>
      <w:tr w:rsidR="004F6765" w:rsidRPr="004F6765" w14:paraId="55786518" w14:textId="77777777" w:rsidTr="004F6765">
        <w:trPr>
          <w:trHeight w:val="259"/>
        </w:trPr>
        <w:tc>
          <w:tcPr>
            <w:tcW w:w="454" w:type="dxa"/>
          </w:tcPr>
          <w:p w14:paraId="144A5D2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FDCE20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41C740F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01.07.2015 - 31.12.2019</w:t>
            </w:r>
          </w:p>
        </w:tc>
      </w:tr>
      <w:tr w:rsidR="004F6765" w:rsidRPr="004F6765" w14:paraId="4E98EA61" w14:textId="77777777" w:rsidTr="004F6765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738610E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77EC696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637805D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5220EB4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miestnosť č. 116 – kancelária  (79,75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62,00 €/m2/rok, t. j. 4 944,50 €/rok,</w:t>
            </w:r>
          </w:p>
          <w:p w14:paraId="73572A9A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miestnosť č. 113/A – kancelária (25,35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62,00 €/m2/rok, t. j. 1 571,70 €/rok,</w:t>
            </w:r>
          </w:p>
          <w:p w14:paraId="0ABF39CC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spoločné priestory (1,50m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) – 7,00 €/m2/rok, t. j. 10,50 €/rok, </w:t>
            </w:r>
          </w:p>
          <w:p w14:paraId="085BEB20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štvrťročná výška nájomného je 1 631,68 €,</w:t>
            </w:r>
          </w:p>
          <w:p w14:paraId="4193E841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spolu ročne: 6 526,70 €/rok,</w:t>
            </w:r>
          </w:p>
          <w:p w14:paraId="7837A6AA" w14:textId="77777777" w:rsidR="004F6765" w:rsidRPr="004F6765" w:rsidRDefault="004F6765" w:rsidP="0078101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je v súlade so  smernicou 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4F6765" w:rsidRPr="004F6765" w14:paraId="78CDA2BA" w14:textId="77777777" w:rsidTr="004F6765">
        <w:trPr>
          <w:trHeight w:val="50"/>
        </w:trPr>
        <w:tc>
          <w:tcPr>
            <w:tcW w:w="454" w:type="dxa"/>
          </w:tcPr>
          <w:p w14:paraId="463F29E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99A55F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6" w:type="dxa"/>
          </w:tcPr>
          <w:p w14:paraId="3AB6FB27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14:paraId="034661A7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4F676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14:paraId="5D6BFC9A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14:paraId="762EA912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14:paraId="27F0C3C9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14:paraId="25436AE2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14:paraId="1795521D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4F6765" w:rsidRPr="004F6765" w14:paraId="62C52B0E" w14:textId="77777777" w:rsidTr="004F6765">
        <w:tc>
          <w:tcPr>
            <w:tcW w:w="454" w:type="dxa"/>
          </w:tcPr>
          <w:p w14:paraId="3B7B4B8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E47AE6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6" w:type="dxa"/>
          </w:tcPr>
          <w:p w14:paraId="4644C9C8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14:paraId="3A0FF5F2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7"/>
        <w:gridCol w:w="1649"/>
        <w:gridCol w:w="7796"/>
      </w:tblGrid>
      <w:tr w:rsidR="004F6765" w:rsidRPr="004F6765" w14:paraId="6C9D0FBB" w14:textId="77777777" w:rsidTr="004F6765">
        <w:tc>
          <w:tcPr>
            <w:tcW w:w="507" w:type="dxa"/>
          </w:tcPr>
          <w:p w14:paraId="1F75A9DD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649" w:type="dxa"/>
          </w:tcPr>
          <w:p w14:paraId="30D2221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6" w:type="dxa"/>
          </w:tcPr>
          <w:p w14:paraId="3623D73E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AMCEF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454, Lakšárska Nová Ves 908 76</w:t>
            </w:r>
          </w:p>
          <w:p w14:paraId="1458266E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v OR OS Trnava, oddiel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., vložka č.: 40542/T</w:t>
            </w:r>
          </w:p>
        </w:tc>
      </w:tr>
      <w:tr w:rsidR="004F6765" w:rsidRPr="004F6765" w14:paraId="11254A0C" w14:textId="77777777" w:rsidTr="004F6765">
        <w:trPr>
          <w:trHeight w:val="708"/>
        </w:trPr>
        <w:tc>
          <w:tcPr>
            <w:tcW w:w="507" w:type="dxa"/>
          </w:tcPr>
          <w:p w14:paraId="5630AD6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CF3EED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6" w:type="dxa"/>
          </w:tcPr>
          <w:p w14:paraId="585F8AC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nájmu; dočasne nepotrebný majetok – nebytový priestor nachádzajúci sa v objekte FIIT STU, Ilkovičova 2 v BA, pozostávajúci z priestorov na 6 poschodí, kancelárie č. 6.17., č. 6.18 a využívanie priestorov kuchynky a 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respíria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na – 6. poschodí. Predmetom nájmu je nebytový priestor o výmere 24,21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 využitie kuchynky (13,50 m2 x 0,2 index) a 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respíria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(139,85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x 0,1 index) .</w:t>
            </w:r>
          </w:p>
        </w:tc>
      </w:tr>
      <w:tr w:rsidR="004F6765" w:rsidRPr="004F6765" w14:paraId="4C5D9B70" w14:textId="77777777" w:rsidTr="004F6765">
        <w:tc>
          <w:tcPr>
            <w:tcW w:w="507" w:type="dxa"/>
          </w:tcPr>
          <w:p w14:paraId="6182907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33528D5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6" w:type="dxa"/>
          </w:tcPr>
          <w:p w14:paraId="45EAAAB9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Nájomca bude nebytové priestory užívať na účely, spojené s predmetom jeho podnikateľskej činnosti – počítačové služby a služby spojené s počítačovým spracovaním údajov a vykonávanie mimoškolskej vzdelávacej činnosti.</w:t>
            </w:r>
          </w:p>
        </w:tc>
      </w:tr>
      <w:tr w:rsidR="004F6765" w:rsidRPr="004F6765" w14:paraId="2CBF29B2" w14:textId="77777777" w:rsidTr="004F6765">
        <w:trPr>
          <w:trHeight w:val="259"/>
        </w:trPr>
        <w:tc>
          <w:tcPr>
            <w:tcW w:w="507" w:type="dxa"/>
          </w:tcPr>
          <w:p w14:paraId="2BA226A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6A3CD33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6" w:type="dxa"/>
          </w:tcPr>
          <w:p w14:paraId="220FAF52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01.07.2019 – 30.06.2020</w:t>
            </w:r>
          </w:p>
        </w:tc>
      </w:tr>
      <w:tr w:rsidR="004F6765" w:rsidRPr="004F6765" w14:paraId="7FA3ACA8" w14:textId="77777777" w:rsidTr="004F6765">
        <w:trPr>
          <w:trHeight w:val="476"/>
        </w:trPr>
        <w:tc>
          <w:tcPr>
            <w:tcW w:w="507" w:type="dxa"/>
          </w:tcPr>
          <w:p w14:paraId="17AD93B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7900C6F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0DE4B5B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6" w:type="dxa"/>
          </w:tcPr>
          <w:p w14:paraId="476D42E7" w14:textId="77777777" w:rsidR="004F6765" w:rsidRPr="004F6765" w:rsidRDefault="004F6765" w:rsidP="007810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Zmluvné strany sa dohodli na nájomnom za obdobie 01.07.2019 do 30.06.2020 (12 mesiacov)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v sume 2 243,67 EUR/rok.,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t.j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 186,97 EUR/ mesiac</w:t>
            </w:r>
          </w:p>
        </w:tc>
      </w:tr>
      <w:tr w:rsidR="004F6765" w:rsidRPr="004F6765" w14:paraId="58D2B189" w14:textId="77777777" w:rsidTr="004F6765">
        <w:trPr>
          <w:trHeight w:val="50"/>
        </w:trPr>
        <w:tc>
          <w:tcPr>
            <w:tcW w:w="507" w:type="dxa"/>
          </w:tcPr>
          <w:p w14:paraId="66204FF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1428D93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6" w:type="dxa"/>
          </w:tcPr>
          <w:p w14:paraId="7E051A86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na dodanie energií a služieb sú stanovené paušálnou sadzbou vo výške 543,03 EUR</w:t>
            </w:r>
          </w:p>
          <w:p w14:paraId="51530EA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na rok. Náklady fakturované mesačne do 15.dňa príslušného mesiaca. Paušálna sadzba stanovená podľa nákladov predchádzajúceho obdobia za dodanie elektrickej energie, vody,</w:t>
            </w:r>
          </w:p>
          <w:p w14:paraId="0B5BEE25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tepla, teplej vody a služieb celkových priestorov</w:t>
            </w:r>
          </w:p>
        </w:tc>
      </w:tr>
      <w:tr w:rsidR="004F6765" w:rsidRPr="004F6765" w14:paraId="3843A632" w14:textId="77777777" w:rsidTr="004F6765">
        <w:tc>
          <w:tcPr>
            <w:tcW w:w="507" w:type="dxa"/>
          </w:tcPr>
          <w:p w14:paraId="2DBF0D7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81A517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6" w:type="dxa"/>
          </w:tcPr>
          <w:p w14:paraId="11D802A4" w14:textId="77777777" w:rsidR="004F6765" w:rsidRPr="004F6765" w:rsidRDefault="004F6765" w:rsidP="0078101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dekanka FIIT STU</w:t>
            </w:r>
          </w:p>
        </w:tc>
      </w:tr>
    </w:tbl>
    <w:p w14:paraId="6B62F1B3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895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7768"/>
      </w:tblGrid>
      <w:tr w:rsidR="004F6765" w:rsidRPr="004F6765" w14:paraId="41359B58" w14:textId="77777777" w:rsidTr="004F6765">
        <w:tc>
          <w:tcPr>
            <w:tcW w:w="425" w:type="dxa"/>
          </w:tcPr>
          <w:p w14:paraId="0F9ABB3F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02" w:type="dxa"/>
          </w:tcPr>
          <w:p w14:paraId="73909E7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14:paraId="6E64BDD4" w14:textId="77777777" w:rsidR="004F6765" w:rsidRPr="004F6765" w:rsidRDefault="004F6765" w:rsidP="00781012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EDEN TRAVEL,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1, 811 07 Bratislava</w:t>
            </w:r>
          </w:p>
          <w:p w14:paraId="56F1D958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, vložka číslo: 41445/B.</w:t>
            </w:r>
          </w:p>
        </w:tc>
      </w:tr>
      <w:tr w:rsidR="004F6765" w:rsidRPr="004F6765" w14:paraId="551DD372" w14:textId="77777777" w:rsidTr="004F6765">
        <w:tc>
          <w:tcPr>
            <w:tcW w:w="425" w:type="dxa"/>
          </w:tcPr>
          <w:p w14:paraId="02F2C34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C3FCA84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14:paraId="453EC09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dočasne nepotrebný majetok, časť nehnuteľnosti – parkovacie miesto č. 4 nachádzajúce sa v kat.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úz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. Bratislava – Staré mesto, par. č. 21740/9 areál prenajímateľa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5, Bratislava, LV č. 2139 , </w:t>
            </w:r>
          </w:p>
          <w:p w14:paraId="6D70900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: 1 parkovacie miesto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4F6765" w:rsidRPr="004F6765" w14:paraId="77F3B62C" w14:textId="77777777" w:rsidTr="004F6765">
        <w:tc>
          <w:tcPr>
            <w:tcW w:w="425" w:type="dxa"/>
          </w:tcPr>
          <w:p w14:paraId="680A4E5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1B1A60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14:paraId="4A45BFAA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striedavé parkovanie osobných motorových vozidiel firmy a klientov</w:t>
            </w:r>
          </w:p>
        </w:tc>
      </w:tr>
      <w:tr w:rsidR="004F6765" w:rsidRPr="004F6765" w14:paraId="05847A06" w14:textId="77777777" w:rsidTr="004F6765">
        <w:trPr>
          <w:trHeight w:val="259"/>
        </w:trPr>
        <w:tc>
          <w:tcPr>
            <w:tcW w:w="425" w:type="dxa"/>
          </w:tcPr>
          <w:p w14:paraId="1921983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DBBECB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679C19F3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01.06.2019 - 31.05.2020</w:t>
            </w:r>
          </w:p>
        </w:tc>
      </w:tr>
      <w:tr w:rsidR="004F6765" w:rsidRPr="004F6765" w14:paraId="745584B5" w14:textId="77777777" w:rsidTr="004F6765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14:paraId="296FEF7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F1F22C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7194DBD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14:paraId="6D139FB6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14:paraId="65011581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650,00 €</w:t>
            </w:r>
          </w:p>
          <w:p w14:paraId="705F0C4F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Style w:val="Odkaznapoznmkupodiarou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</w:tr>
      <w:tr w:rsidR="004F6765" w:rsidRPr="004F6765" w14:paraId="50EE12F2" w14:textId="77777777" w:rsidTr="004F6765">
        <w:trPr>
          <w:trHeight w:val="50"/>
        </w:trPr>
        <w:tc>
          <w:tcPr>
            <w:tcW w:w="425" w:type="dxa"/>
          </w:tcPr>
          <w:p w14:paraId="769D0D3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7CFD17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14:paraId="2ABE3A42" w14:textId="77777777" w:rsidR="004F6765" w:rsidRPr="004F6765" w:rsidRDefault="004F6765" w:rsidP="00781012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-------------</w:t>
            </w:r>
          </w:p>
        </w:tc>
      </w:tr>
      <w:tr w:rsidR="004F6765" w:rsidRPr="004F6765" w14:paraId="6999241D" w14:textId="77777777" w:rsidTr="004F6765">
        <w:tc>
          <w:tcPr>
            <w:tcW w:w="425" w:type="dxa"/>
          </w:tcPr>
          <w:p w14:paraId="54CD245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6F9A7B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14:paraId="68E8C1EA" w14:textId="77777777" w:rsidR="004F6765" w:rsidRPr="004F6765" w:rsidRDefault="004F6765" w:rsidP="0078101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vedúci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ÚPaKR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R-STU</w:t>
            </w:r>
          </w:p>
        </w:tc>
      </w:tr>
    </w:tbl>
    <w:p w14:paraId="1231BE67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F6765" w:rsidRPr="004F6765" w14:paraId="05B098B8" w14:textId="77777777" w:rsidTr="004F6765">
        <w:tc>
          <w:tcPr>
            <w:tcW w:w="421" w:type="dxa"/>
          </w:tcPr>
          <w:p w14:paraId="56C72689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</w:tcPr>
          <w:p w14:paraId="6E6A873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14:paraId="3C2040DF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DUEPO.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Prešovská 32, 821 08 Bratislava</w:t>
            </w:r>
          </w:p>
          <w:p w14:paraId="5B2ECE71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, vložka číslo: 38391/B.</w:t>
            </w:r>
          </w:p>
        </w:tc>
      </w:tr>
      <w:tr w:rsidR="004F6765" w:rsidRPr="004F6765" w14:paraId="52B62385" w14:textId="77777777" w:rsidTr="004F6765">
        <w:trPr>
          <w:trHeight w:val="708"/>
        </w:trPr>
        <w:tc>
          <w:tcPr>
            <w:tcW w:w="421" w:type="dxa"/>
          </w:tcPr>
          <w:p w14:paraId="36FEB5B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74BC82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14:paraId="4346ABF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prízemí novej budovy pozostávajúci z miestnosti č. S-120 – sklad o výmere 38,00m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a spoločných priestorov o výmere 7,41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44EB1B1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45,41 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F6765" w:rsidRPr="004F6765" w14:paraId="79E96C0D" w14:textId="77777777" w:rsidTr="004F6765">
        <w:tc>
          <w:tcPr>
            <w:tcW w:w="421" w:type="dxa"/>
          </w:tcPr>
          <w:p w14:paraId="30D7AA6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E9BF80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14:paraId="4C2724ED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4F6765" w:rsidRPr="004F6765" w14:paraId="4A75D377" w14:textId="77777777" w:rsidTr="004F6765">
        <w:trPr>
          <w:trHeight w:val="259"/>
        </w:trPr>
        <w:tc>
          <w:tcPr>
            <w:tcW w:w="421" w:type="dxa"/>
          </w:tcPr>
          <w:p w14:paraId="7196D064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B8903C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14:paraId="1E874F66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01.06.2019 – 30.06.2024</w:t>
            </w:r>
          </w:p>
        </w:tc>
      </w:tr>
      <w:tr w:rsidR="004F6765" w:rsidRPr="004F6765" w14:paraId="6ED498B9" w14:textId="77777777" w:rsidTr="004F6765">
        <w:trPr>
          <w:trHeight w:val="816"/>
        </w:trPr>
        <w:tc>
          <w:tcPr>
            <w:tcW w:w="421" w:type="dxa"/>
          </w:tcPr>
          <w:p w14:paraId="34FF1C9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0E8663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6D072C0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14:paraId="1962DFA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skladový priestor č. S-120 (38,00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25,00 €/m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950,00 €/rok,</w:t>
            </w:r>
          </w:p>
          <w:p w14:paraId="58075D9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spoločné priestory (7,41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111,15 €/rok,</w:t>
            </w:r>
          </w:p>
          <w:p w14:paraId="6D3EDB1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štvrťročná výška nájomného je 265,29€,</w:t>
            </w:r>
          </w:p>
          <w:p w14:paraId="022F1D2F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1 061,15 €/rok. </w:t>
            </w:r>
          </w:p>
          <w:p w14:paraId="26A5466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F6765" w:rsidRPr="004F6765" w14:paraId="3CA4EF5B" w14:textId="77777777" w:rsidTr="004F6765">
        <w:trPr>
          <w:trHeight w:val="50"/>
        </w:trPr>
        <w:tc>
          <w:tcPr>
            <w:tcW w:w="421" w:type="dxa"/>
          </w:tcPr>
          <w:p w14:paraId="48A2191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A0E662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14:paraId="153977E5" w14:textId="77777777" w:rsidR="004F6765" w:rsidRPr="004F6765" w:rsidRDefault="004F6765" w:rsidP="00781012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14:paraId="2D7CF1D9" w14:textId="77777777" w:rsidR="004F6765" w:rsidRPr="004F6765" w:rsidRDefault="004F6765" w:rsidP="00781012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14:paraId="1FA207C2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14:paraId="3B9B28E1" w14:textId="77777777" w:rsidR="004F6765" w:rsidRPr="004F6765" w:rsidRDefault="004F6765" w:rsidP="00781012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4F6765" w:rsidRPr="004F6765" w14:paraId="50D99B00" w14:textId="77777777" w:rsidTr="004F6765">
        <w:tc>
          <w:tcPr>
            <w:tcW w:w="421" w:type="dxa"/>
          </w:tcPr>
          <w:p w14:paraId="6BD18F9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0EF320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14:paraId="57BDD2A1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14:paraId="238601FE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F6765" w:rsidRPr="004F6765" w14:paraId="371D3AF1" w14:textId="77777777" w:rsidTr="004F6765">
        <w:tc>
          <w:tcPr>
            <w:tcW w:w="421" w:type="dxa"/>
          </w:tcPr>
          <w:p w14:paraId="4BC6DBBF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</w:tcPr>
          <w:p w14:paraId="63D0904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14:paraId="53C9F70B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Platon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 Technologies,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Hlavná 3, 927 01 Šaľa</w:t>
            </w:r>
          </w:p>
          <w:p w14:paraId="38669D1F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v OR OS Trnava I, oddiel: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, vložka číslo: 17979/T.</w:t>
            </w:r>
          </w:p>
        </w:tc>
      </w:tr>
      <w:tr w:rsidR="004F6765" w:rsidRPr="004F6765" w14:paraId="2DD2D3F5" w14:textId="77777777" w:rsidTr="004F6765">
        <w:trPr>
          <w:trHeight w:val="708"/>
        </w:trPr>
        <w:tc>
          <w:tcPr>
            <w:tcW w:w="421" w:type="dxa"/>
          </w:tcPr>
          <w:p w14:paraId="0F3CABC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3FBB99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14:paraId="58B5C30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prízemí novej budovy pozostávajúci z miestnosti č. S-109 – sklad o výmere 36,00m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a spoločných priestorov o výmere 7,02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E31E64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43,02 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F6765" w:rsidRPr="004F6765" w14:paraId="66923A6E" w14:textId="77777777" w:rsidTr="004F6765">
        <w:tc>
          <w:tcPr>
            <w:tcW w:w="421" w:type="dxa"/>
          </w:tcPr>
          <w:p w14:paraId="5B08B5D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5DE364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14:paraId="57FFFAA5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4F6765" w:rsidRPr="004F6765" w14:paraId="33E7338F" w14:textId="77777777" w:rsidTr="004F6765">
        <w:trPr>
          <w:trHeight w:val="259"/>
        </w:trPr>
        <w:tc>
          <w:tcPr>
            <w:tcW w:w="421" w:type="dxa"/>
          </w:tcPr>
          <w:p w14:paraId="16DEB4A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F2BDB3F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14:paraId="7B4AED42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01.06.2019 – 30.06.2024</w:t>
            </w:r>
          </w:p>
        </w:tc>
      </w:tr>
      <w:tr w:rsidR="004F6765" w:rsidRPr="004F6765" w14:paraId="600D9BC5" w14:textId="77777777" w:rsidTr="004F6765">
        <w:trPr>
          <w:trHeight w:val="816"/>
        </w:trPr>
        <w:tc>
          <w:tcPr>
            <w:tcW w:w="421" w:type="dxa"/>
          </w:tcPr>
          <w:p w14:paraId="0AD9C6F4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F07970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4B1F511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14:paraId="0DCB262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skladový priestor č. S-109 (36,00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100,00 €/m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3 600,00 €/rok,</w:t>
            </w:r>
          </w:p>
          <w:p w14:paraId="1C8130B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spoločné priestory (7,02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105,30  €/rok,</w:t>
            </w:r>
          </w:p>
          <w:p w14:paraId="331F3D5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štvrťročná výška nájomného je 926,33 €,</w:t>
            </w:r>
          </w:p>
          <w:p w14:paraId="1F95685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3 705,30 €/rok. </w:t>
            </w:r>
          </w:p>
          <w:p w14:paraId="7D56172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F6765" w:rsidRPr="004F6765" w14:paraId="30077C04" w14:textId="77777777" w:rsidTr="004F6765">
        <w:trPr>
          <w:trHeight w:val="50"/>
        </w:trPr>
        <w:tc>
          <w:tcPr>
            <w:tcW w:w="421" w:type="dxa"/>
          </w:tcPr>
          <w:p w14:paraId="65F9C3D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FB50B1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14:paraId="03CE9B43" w14:textId="77777777" w:rsidR="004F6765" w:rsidRPr="004F6765" w:rsidRDefault="004F6765" w:rsidP="00781012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14:paraId="0FF537B0" w14:textId="77777777" w:rsidR="004F6765" w:rsidRPr="004F6765" w:rsidRDefault="004F6765" w:rsidP="00781012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14:paraId="0C34BE4D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14:paraId="1B4A09A3" w14:textId="77777777" w:rsidR="004F6765" w:rsidRPr="004F6765" w:rsidRDefault="004F6765" w:rsidP="00781012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4F6765" w:rsidRPr="004F6765" w14:paraId="56E1B6B3" w14:textId="77777777" w:rsidTr="004F6765">
        <w:tc>
          <w:tcPr>
            <w:tcW w:w="421" w:type="dxa"/>
          </w:tcPr>
          <w:p w14:paraId="5023141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5837739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14:paraId="250A9ED9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14:paraId="1F3B1409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9" w:type="dxa"/>
        <w:tblInd w:w="108" w:type="dxa"/>
        <w:tblLook w:val="04A0" w:firstRow="1" w:lastRow="0" w:firstColumn="1" w:lastColumn="0" w:noHBand="0" w:noVBand="1"/>
      </w:tblPr>
      <w:tblGrid>
        <w:gridCol w:w="436"/>
        <w:gridCol w:w="1720"/>
        <w:gridCol w:w="7773"/>
      </w:tblGrid>
      <w:tr w:rsidR="004F6765" w:rsidRPr="004F6765" w14:paraId="65DB2BCE" w14:textId="77777777" w:rsidTr="004F6765">
        <w:tc>
          <w:tcPr>
            <w:tcW w:w="436" w:type="dxa"/>
          </w:tcPr>
          <w:p w14:paraId="45CB103B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20" w:type="dxa"/>
          </w:tcPr>
          <w:p w14:paraId="66EE555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73" w:type="dxa"/>
          </w:tcPr>
          <w:p w14:paraId="79D80AE3" w14:textId="77777777" w:rsidR="004F6765" w:rsidRPr="004F6765" w:rsidRDefault="004F6765" w:rsidP="00781012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MlynCoWork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o.z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Karpatské námestie 10A, 831 06 Bratislava</w:t>
            </w:r>
          </w:p>
          <w:p w14:paraId="6317A6C9" w14:textId="77777777" w:rsidR="004F6765" w:rsidRPr="004F6765" w:rsidRDefault="004F6765" w:rsidP="00781012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nájomca je zapísaný na MV SR, odbor všeobecnej vnútornej správy, odd. vnútorných vecí, č.</w:t>
            </w:r>
          </w:p>
          <w:p w14:paraId="45420EA6" w14:textId="77777777" w:rsidR="004F6765" w:rsidRPr="004F6765" w:rsidRDefault="004F6765" w:rsidP="00781012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spisu: VVS/1-900/90-48411.</w:t>
            </w:r>
          </w:p>
        </w:tc>
      </w:tr>
      <w:tr w:rsidR="004F6765" w:rsidRPr="004F6765" w14:paraId="68334CAA" w14:textId="77777777" w:rsidTr="004F6765">
        <w:tc>
          <w:tcPr>
            <w:tcW w:w="436" w:type="dxa"/>
          </w:tcPr>
          <w:p w14:paraId="562C75D1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F7BB6C6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73" w:type="dxa"/>
          </w:tcPr>
          <w:p w14:paraId="2776C79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71/2016 R-STU o nájme nebytových priestorov s dobou od 01.05.2016 do 30.06.2019 sa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od 01.07.2019 predlžuje doba trvania nájmu,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dočasne nepotrebný majetok; nebytový priestor v ŠD Mladosť, ul. Staré Grunty 53, Bratislava, nachádzajúci sa na 1. poschodí bloku „I“, internát B, pozostávajúci z miestnosti č. 105 – prevádzkový priestor o výmere 30,80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a spoločný priestor o výmere 14,36m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 30.09.2022,</w:t>
            </w:r>
          </w:p>
          <w:p w14:paraId="041485B4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45,16m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F6765" w:rsidRPr="004F6765" w14:paraId="0137D8E3" w14:textId="77777777" w:rsidTr="004F6765">
        <w:tc>
          <w:tcPr>
            <w:tcW w:w="436" w:type="dxa"/>
          </w:tcPr>
          <w:p w14:paraId="664355A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686581F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73" w:type="dxa"/>
          </w:tcPr>
          <w:p w14:paraId="4BAF24C7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prevádzkový priestor na činnosť zameranú na rozvoj vedomostí a zručností študenta</w:t>
            </w:r>
          </w:p>
        </w:tc>
      </w:tr>
      <w:tr w:rsidR="004F6765" w:rsidRPr="004F6765" w14:paraId="1FCA7B7E" w14:textId="77777777" w:rsidTr="004F6765">
        <w:trPr>
          <w:trHeight w:val="259"/>
        </w:trPr>
        <w:tc>
          <w:tcPr>
            <w:tcW w:w="436" w:type="dxa"/>
          </w:tcPr>
          <w:p w14:paraId="1A96511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096EA5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73" w:type="dxa"/>
          </w:tcPr>
          <w:p w14:paraId="32449EB6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01.05.2016 – 30.09.2022</w:t>
            </w:r>
          </w:p>
        </w:tc>
      </w:tr>
      <w:tr w:rsidR="004F6765" w:rsidRPr="004F6765" w14:paraId="77E9A737" w14:textId="77777777" w:rsidTr="004F6765">
        <w:tc>
          <w:tcPr>
            <w:tcW w:w="436" w:type="dxa"/>
          </w:tcPr>
          <w:p w14:paraId="7DF4E37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20" w:type="dxa"/>
          </w:tcPr>
          <w:p w14:paraId="0110B7F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773" w:type="dxa"/>
          </w:tcPr>
          <w:p w14:paraId="1320E94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miestnosť č. 105 (30,80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30,00 €/m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924,00 €/rok a </w:t>
            </w:r>
          </w:p>
          <w:p w14:paraId="32D6ED2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spoločný priestor (14,36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215,40 €/rok,</w:t>
            </w:r>
          </w:p>
          <w:p w14:paraId="6960F9F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štvrťročná výška nájomného je 284,85 €, </w:t>
            </w:r>
          </w:p>
          <w:p w14:paraId="14DC83F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1 139,40 €.</w:t>
            </w:r>
          </w:p>
          <w:p w14:paraId="2AD054C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4F6765" w:rsidRPr="004F6765" w14:paraId="30D91BF9" w14:textId="77777777" w:rsidTr="004F6765">
        <w:trPr>
          <w:trHeight w:val="50"/>
        </w:trPr>
        <w:tc>
          <w:tcPr>
            <w:tcW w:w="436" w:type="dxa"/>
          </w:tcPr>
          <w:p w14:paraId="44FB30F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9758AA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773" w:type="dxa"/>
          </w:tcPr>
          <w:p w14:paraId="4208B59C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prenajímateľ fakturovať </w:t>
            </w:r>
          </w:p>
          <w:p w14:paraId="75088CE3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štvrťročne; za dodanie energií vyfakturuje prenajímateľ </w:t>
            </w:r>
            <w:r w:rsidRPr="004F676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do 15dní po uplynutí daného</w:t>
            </w:r>
          </w:p>
          <w:p w14:paraId="1366A56C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14:paraId="2FF4172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4F6765" w:rsidRPr="004F6765" w14:paraId="0DDC4476" w14:textId="77777777" w:rsidTr="004F6765">
        <w:tc>
          <w:tcPr>
            <w:tcW w:w="436" w:type="dxa"/>
          </w:tcPr>
          <w:p w14:paraId="1DA6542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F709BE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73" w:type="dxa"/>
          </w:tcPr>
          <w:p w14:paraId="4246E655" w14:textId="77777777" w:rsidR="004F6765" w:rsidRPr="004F6765" w:rsidRDefault="004F6765" w:rsidP="0078101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14:paraId="3041E394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4F6765" w:rsidRPr="004F6765" w14:paraId="41BC88EB" w14:textId="77777777" w:rsidTr="004F6765">
        <w:tc>
          <w:tcPr>
            <w:tcW w:w="426" w:type="dxa"/>
          </w:tcPr>
          <w:p w14:paraId="3DF6D3BA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14:paraId="707592B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83" w:type="dxa"/>
          </w:tcPr>
          <w:p w14:paraId="186A2509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SunPet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Horná 485, 930 36 Horná Potôň,</w:t>
            </w:r>
          </w:p>
          <w:p w14:paraId="1CB3CEFF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  v OR OS Trnava, oddiel: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, vložka č. 27008/T .</w:t>
            </w:r>
          </w:p>
        </w:tc>
      </w:tr>
      <w:tr w:rsidR="004F6765" w:rsidRPr="004F6765" w14:paraId="29969512" w14:textId="77777777" w:rsidTr="004F6765">
        <w:tc>
          <w:tcPr>
            <w:tcW w:w="426" w:type="dxa"/>
          </w:tcPr>
          <w:p w14:paraId="722B00A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B441F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83" w:type="dxa"/>
          </w:tcPr>
          <w:p w14:paraId="038E66A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k Nájomnej zmluve č. 35/2015 R-STU o nájme nebytových priestorov s dobou nájmu od 01.07.2015 do 30.06.2019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sa od 01.07.2019 predlžuje doba trvania nájmu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, dočasne nepotrebný majetok; nebytový priestor  nachádzajúci sa v objekte 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STU, Technická 5, Bratislava, administratívna miestnosť č. 102.1 o výmere 19,80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 do 30.06.2023</w:t>
            </w:r>
          </w:p>
          <w:p w14:paraId="4B20D6D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 celkom o výmere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: 19,80 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4F6765" w:rsidRPr="004F6765" w14:paraId="7BCE6154" w14:textId="77777777" w:rsidTr="004F6765">
        <w:tc>
          <w:tcPr>
            <w:tcW w:w="426" w:type="dxa"/>
          </w:tcPr>
          <w:p w14:paraId="42C6D79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20D76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83" w:type="dxa"/>
          </w:tcPr>
          <w:p w14:paraId="0D4D10A9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administratívna činnosť  v rámci podnikania .</w:t>
            </w:r>
          </w:p>
        </w:tc>
      </w:tr>
      <w:tr w:rsidR="004F6765" w:rsidRPr="004F6765" w14:paraId="59ED72DE" w14:textId="77777777" w:rsidTr="004F6765">
        <w:trPr>
          <w:trHeight w:val="259"/>
        </w:trPr>
        <w:tc>
          <w:tcPr>
            <w:tcW w:w="426" w:type="dxa"/>
          </w:tcPr>
          <w:p w14:paraId="6E1831B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CC04D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51D34362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01.07.2015 - 30.06.2023</w:t>
            </w:r>
          </w:p>
        </w:tc>
      </w:tr>
      <w:tr w:rsidR="004F6765" w:rsidRPr="004F6765" w14:paraId="1CBBECAF" w14:textId="77777777" w:rsidTr="004F676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14:paraId="54E11D2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539A2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31126E5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14:paraId="38C173B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miestnosť č. 102.1 (19,80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- 52,68 €/m2/rok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t. j.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1 043,06 €/rok</w:t>
            </w:r>
          </w:p>
          <w:p w14:paraId="09C1D2A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štvrťročná výška nájomného je 260,77€, </w:t>
            </w:r>
          </w:p>
          <w:p w14:paraId="47745CD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1 043,06 €.</w:t>
            </w:r>
          </w:p>
          <w:p w14:paraId="36F5C0D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4F6765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F6765" w:rsidRPr="004F6765" w14:paraId="43130EB1" w14:textId="77777777" w:rsidTr="004F6765">
        <w:trPr>
          <w:trHeight w:val="50"/>
        </w:trPr>
        <w:tc>
          <w:tcPr>
            <w:tcW w:w="426" w:type="dxa"/>
          </w:tcPr>
          <w:p w14:paraId="2DE403A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B2F840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83" w:type="dxa"/>
          </w:tcPr>
          <w:p w14:paraId="44FFE691" w14:textId="77777777" w:rsidR="004F6765" w:rsidRPr="004F6765" w:rsidRDefault="004F6765" w:rsidP="00781012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4F6765" w:rsidRPr="004F6765" w14:paraId="6843A78A" w14:textId="77777777" w:rsidTr="004F6765">
        <w:tc>
          <w:tcPr>
            <w:tcW w:w="426" w:type="dxa"/>
          </w:tcPr>
          <w:p w14:paraId="62431CD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4C98C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83" w:type="dxa"/>
          </w:tcPr>
          <w:p w14:paraId="2A63283C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14:paraId="49E398E2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4F6765" w:rsidRPr="004F6765" w14:paraId="5BD829E8" w14:textId="77777777" w:rsidTr="004F6765">
        <w:tc>
          <w:tcPr>
            <w:tcW w:w="454" w:type="dxa"/>
          </w:tcPr>
          <w:p w14:paraId="0F57406D" w14:textId="77777777" w:rsidR="004F6765" w:rsidRPr="004F6765" w:rsidRDefault="004F6765" w:rsidP="007810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15" w:type="dxa"/>
          </w:tcPr>
          <w:p w14:paraId="5435DCD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</w:tcPr>
          <w:p w14:paraId="3FAB5982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IMPERGAM,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14:paraId="1B66470B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., vložka č.: 66016/B</w:t>
            </w:r>
          </w:p>
        </w:tc>
      </w:tr>
      <w:tr w:rsidR="004F6765" w:rsidRPr="004F6765" w14:paraId="56422A01" w14:textId="77777777" w:rsidTr="004F6765">
        <w:tc>
          <w:tcPr>
            <w:tcW w:w="454" w:type="dxa"/>
          </w:tcPr>
          <w:p w14:paraId="16287F2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A9E38F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</w:tcPr>
          <w:p w14:paraId="1409CBA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340 spolu s pomernou časťou spoločných priestorov (chodba, WC, kuchynka a pod.) na 3. poschodí budovy UTI na Pionierskej 15, Bratislava.</w:t>
            </w:r>
          </w:p>
          <w:p w14:paraId="2DEB3BE8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14,90 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F6765" w:rsidRPr="004F6765" w14:paraId="6BBAC009" w14:textId="77777777" w:rsidTr="004F6765">
        <w:tc>
          <w:tcPr>
            <w:tcW w:w="454" w:type="dxa"/>
          </w:tcPr>
          <w:p w14:paraId="5BE93A6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413DD2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</w:tcPr>
          <w:p w14:paraId="62013CE3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výkon podnikateľskej činnosti nájomcu </w:t>
            </w:r>
          </w:p>
        </w:tc>
      </w:tr>
      <w:tr w:rsidR="004F6765" w:rsidRPr="004F6765" w14:paraId="4D824047" w14:textId="77777777" w:rsidTr="004F6765">
        <w:trPr>
          <w:trHeight w:val="259"/>
        </w:trPr>
        <w:tc>
          <w:tcPr>
            <w:tcW w:w="454" w:type="dxa"/>
          </w:tcPr>
          <w:p w14:paraId="384BA73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C2CDD56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</w:tcPr>
          <w:p w14:paraId="52277982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01.06.2019 – 30.09.2019</w:t>
            </w:r>
          </w:p>
        </w:tc>
      </w:tr>
      <w:tr w:rsidR="004F6765" w:rsidRPr="004F6765" w14:paraId="13C653C8" w14:textId="77777777" w:rsidTr="004F6765">
        <w:tc>
          <w:tcPr>
            <w:tcW w:w="454" w:type="dxa"/>
          </w:tcPr>
          <w:p w14:paraId="34B3F2E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15" w:type="dxa"/>
          </w:tcPr>
          <w:p w14:paraId="5069102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55" w:type="dxa"/>
          </w:tcPr>
          <w:p w14:paraId="08279F83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miestnosť č. 340 – 93,13 €/mesačne do 15. dňa príslušného kalendárneho mesiaca za daný mesiac. Nájomca vždy do 15. dňa príslušného mesiaca uhradí náklady za dodanie energii a služieb vo výške 55,88 €/mesačne, t. j.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149,01 €/mesiac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7AF9C2D1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4F6765" w:rsidRPr="004F6765" w14:paraId="1B4827A0" w14:textId="77777777" w:rsidTr="004F6765">
        <w:trPr>
          <w:trHeight w:val="50"/>
        </w:trPr>
        <w:tc>
          <w:tcPr>
            <w:tcW w:w="454" w:type="dxa"/>
          </w:tcPr>
          <w:p w14:paraId="7D34F5C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E3B253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655" w:type="dxa"/>
          </w:tcPr>
          <w:p w14:paraId="5F9189F7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elektrina, teplo, TÚV a SÚV, OLO – 55,88 € mesačne  a sú súčasťou mesačného</w:t>
            </w:r>
          </w:p>
          <w:p w14:paraId="4CB13FE4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nájomného</w:t>
            </w:r>
          </w:p>
        </w:tc>
      </w:tr>
      <w:tr w:rsidR="004F6765" w:rsidRPr="004F6765" w14:paraId="4DE87575" w14:textId="77777777" w:rsidTr="004F6765">
        <w:tc>
          <w:tcPr>
            <w:tcW w:w="454" w:type="dxa"/>
          </w:tcPr>
          <w:p w14:paraId="0B4020A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5E9A33B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</w:tcPr>
          <w:p w14:paraId="6FE93811" w14:textId="77777777" w:rsidR="004F6765" w:rsidRPr="004F6765" w:rsidRDefault="004F6765" w:rsidP="0078101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14:paraId="1D7B270A" w14:textId="77777777" w:rsidR="004F6765" w:rsidRPr="004F6765" w:rsidRDefault="004F6765" w:rsidP="004F6765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75"/>
        <w:gridCol w:w="7672"/>
      </w:tblGrid>
      <w:tr w:rsidR="004F6765" w:rsidRPr="004F6765" w14:paraId="19DD4DA7" w14:textId="77777777" w:rsidTr="004F6765">
        <w:tc>
          <w:tcPr>
            <w:tcW w:w="505" w:type="dxa"/>
          </w:tcPr>
          <w:p w14:paraId="5F682803" w14:textId="77777777" w:rsidR="004F6765" w:rsidRPr="004F6765" w:rsidRDefault="004F6765" w:rsidP="0078101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775" w:type="dxa"/>
          </w:tcPr>
          <w:p w14:paraId="0C61A32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72" w:type="dxa"/>
          </w:tcPr>
          <w:p w14:paraId="45C92D00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MEDECO spol. </w:t>
            </w:r>
            <w:proofErr w:type="spellStart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Bezeková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 xml:space="preserve"> 2034/21, 841 02 Bratislava</w:t>
            </w:r>
          </w:p>
          <w:p w14:paraId="0B69EB57" w14:textId="77777777" w:rsidR="004F6765" w:rsidRPr="004F6765" w:rsidRDefault="004F6765" w:rsidP="0078101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F676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F6765">
              <w:rPr>
                <w:rFonts w:asciiTheme="majorHAnsi" w:hAnsiTheme="majorHAnsi"/>
                <w:sz w:val="18"/>
                <w:szCs w:val="18"/>
              </w:rPr>
              <w:t>, vložka č.:63066/B.</w:t>
            </w:r>
          </w:p>
        </w:tc>
      </w:tr>
      <w:tr w:rsidR="004F6765" w:rsidRPr="004F6765" w14:paraId="5E3849CF" w14:textId="77777777" w:rsidTr="004F6765">
        <w:trPr>
          <w:trHeight w:val="1026"/>
        </w:trPr>
        <w:tc>
          <w:tcPr>
            <w:tcW w:w="505" w:type="dxa"/>
          </w:tcPr>
          <w:p w14:paraId="4F904CB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A8C9F3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72" w:type="dxa"/>
          </w:tcPr>
          <w:p w14:paraId="406CBE6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k Nájomnej Zmluve č. 5/2017 R-STU o nájme nebytových priestorov spolu s dodatkami č. 1 a 3 s dobou nájmu od 01.04.2017 do 31.03.2020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 xml:space="preserve">sa od 01.06.2019 mení (zmenšuje) predmet nájmu, 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nepotrebný majetok; nebytový priestor nachádzajúci sa v administratívnej budove FEI STU, Ilkovičova 3 v BA, v objekte ,,D“, piate poschodie, kancelársky priestor č. 504 o výmere 14,76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 č. 505 o výmere 14,76m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, č. 506 o výmere 13,24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a č. 507 o výmere 14,76 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do 31.05.2023.</w:t>
            </w:r>
          </w:p>
          <w:p w14:paraId="18884515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57,52m</w:t>
            </w:r>
            <w:r w:rsidRPr="004F676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F6765" w:rsidRPr="004F6765" w14:paraId="60E8E410" w14:textId="77777777" w:rsidTr="004F6765">
        <w:trPr>
          <w:trHeight w:val="274"/>
        </w:trPr>
        <w:tc>
          <w:tcPr>
            <w:tcW w:w="505" w:type="dxa"/>
          </w:tcPr>
          <w:p w14:paraId="06971CD3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09EACCC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72" w:type="dxa"/>
          </w:tcPr>
          <w:p w14:paraId="454B40F5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 nájomcu</w:t>
            </w:r>
          </w:p>
        </w:tc>
      </w:tr>
      <w:tr w:rsidR="004F6765" w:rsidRPr="004F6765" w14:paraId="496C7D74" w14:textId="77777777" w:rsidTr="004F6765">
        <w:trPr>
          <w:trHeight w:val="259"/>
        </w:trPr>
        <w:tc>
          <w:tcPr>
            <w:tcW w:w="505" w:type="dxa"/>
          </w:tcPr>
          <w:p w14:paraId="2A1F701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22D4D5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14:paraId="1BFC5CCA" w14:textId="77777777" w:rsidR="004F6765" w:rsidRPr="004F6765" w:rsidRDefault="004F6765" w:rsidP="00781012">
            <w:pPr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01.04.2017 – 31.05.2023</w:t>
            </w:r>
          </w:p>
        </w:tc>
      </w:tr>
      <w:tr w:rsidR="004F6765" w:rsidRPr="004F6765" w14:paraId="7D4EC100" w14:textId="77777777" w:rsidTr="004F6765">
        <w:trPr>
          <w:trHeight w:val="548"/>
        </w:trPr>
        <w:tc>
          <w:tcPr>
            <w:tcW w:w="505" w:type="dxa"/>
            <w:tcBorders>
              <w:right w:val="single" w:sz="4" w:space="0" w:color="auto"/>
            </w:tcBorders>
          </w:tcPr>
          <w:p w14:paraId="03EFCA41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5CC1123D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5F96A72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</w:tcPr>
          <w:p w14:paraId="6A4F9D57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kancelársky priestor (57,52m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/rok, t. j. 3 451,20 €/rok,</w:t>
            </w:r>
          </w:p>
          <w:p w14:paraId="2EF4452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štvrťročná výška nájomného je 862,80 €,</w:t>
            </w:r>
          </w:p>
          <w:p w14:paraId="35A13C6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F6765">
              <w:rPr>
                <w:rFonts w:asciiTheme="majorHAnsi" w:hAnsiTheme="majorHAnsi"/>
                <w:b/>
                <w:sz w:val="18"/>
                <w:szCs w:val="18"/>
              </w:rPr>
              <w:t>3 451,20 €/rok.</w:t>
            </w:r>
          </w:p>
          <w:p w14:paraId="6165C009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F6765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F6765" w:rsidRPr="004F6765" w14:paraId="10E78FB6" w14:textId="77777777" w:rsidTr="004F6765">
        <w:trPr>
          <w:trHeight w:val="50"/>
        </w:trPr>
        <w:tc>
          <w:tcPr>
            <w:tcW w:w="505" w:type="dxa"/>
          </w:tcPr>
          <w:p w14:paraId="5B95CD1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47A815E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72" w:type="dxa"/>
          </w:tcPr>
          <w:p w14:paraId="788084F6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F676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F6765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14:paraId="553A74B1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14:paraId="465F002B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14:paraId="3CE7D6A1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14:paraId="4437274D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14:paraId="2DE404C5" w14:textId="77777777" w:rsidR="004F6765" w:rsidRPr="004F6765" w:rsidRDefault="004F6765" w:rsidP="0078101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F6765" w:rsidRPr="004F6765" w14:paraId="16BD09F0" w14:textId="77777777" w:rsidTr="004F6765">
        <w:tc>
          <w:tcPr>
            <w:tcW w:w="505" w:type="dxa"/>
          </w:tcPr>
          <w:p w14:paraId="5220BBB2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8C7FCBA" w14:textId="77777777" w:rsidR="004F6765" w:rsidRPr="004F6765" w:rsidRDefault="004F6765" w:rsidP="007810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72" w:type="dxa"/>
          </w:tcPr>
          <w:p w14:paraId="58DB0794" w14:textId="77777777" w:rsidR="004F6765" w:rsidRPr="004F6765" w:rsidRDefault="004F6765" w:rsidP="0078101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F6765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14:paraId="13CB595B" w14:textId="77777777" w:rsidR="004F6765" w:rsidRPr="00C17585" w:rsidRDefault="004F6765" w:rsidP="004F6765">
      <w:pPr>
        <w:rPr>
          <w:rFonts w:asciiTheme="majorHAnsi" w:hAnsiTheme="majorHAnsi"/>
          <w:sz w:val="18"/>
          <w:szCs w:val="18"/>
        </w:rPr>
      </w:pPr>
    </w:p>
    <w:p w14:paraId="74EBAF78" w14:textId="77777777" w:rsidR="004F6765" w:rsidRPr="00C17585" w:rsidRDefault="00C17585" w:rsidP="004F6765">
      <w:pPr>
        <w:rPr>
          <w:rFonts w:asciiTheme="majorHAnsi" w:hAnsiTheme="majorHAnsi"/>
          <w:sz w:val="18"/>
          <w:szCs w:val="18"/>
        </w:rPr>
      </w:pPr>
      <w:r w:rsidRPr="00C17585">
        <w:rPr>
          <w:rFonts w:asciiTheme="majorHAnsi" w:hAnsiTheme="majorHAnsi"/>
          <w:sz w:val="18"/>
          <w:szCs w:val="18"/>
        </w:rPr>
        <w:t xml:space="preserve">V rámci uvedeného bodu kvestor upriamil pozornosť aj na odložený bod </w:t>
      </w:r>
      <w:r>
        <w:rPr>
          <w:rFonts w:asciiTheme="majorHAnsi" w:hAnsiTheme="majorHAnsi"/>
          <w:sz w:val="18"/>
          <w:szCs w:val="18"/>
        </w:rPr>
        <w:t xml:space="preserve">programu ohľadom NZ </w:t>
      </w:r>
      <w:r w:rsidRPr="00C17585">
        <w:rPr>
          <w:rFonts w:asciiTheme="majorHAnsi" w:hAnsiTheme="majorHAnsi"/>
          <w:sz w:val="18"/>
          <w:szCs w:val="18"/>
        </w:rPr>
        <w:t xml:space="preserve">z ostatného zasadnutia AS STU. Dokument </w:t>
      </w:r>
      <w:proofErr w:type="spellStart"/>
      <w:r w:rsidR="00651888">
        <w:rPr>
          <w:rFonts w:asciiTheme="majorHAnsi" w:hAnsiTheme="majorHAnsi"/>
          <w:sz w:val="18"/>
          <w:szCs w:val="18"/>
        </w:rPr>
        <w:t>o.i</w:t>
      </w:r>
      <w:proofErr w:type="spellEnd"/>
      <w:r w:rsidR="00651888">
        <w:rPr>
          <w:rFonts w:asciiTheme="majorHAnsi" w:hAnsiTheme="majorHAnsi"/>
          <w:sz w:val="18"/>
          <w:szCs w:val="18"/>
        </w:rPr>
        <w:t>. zahŕňal</w:t>
      </w:r>
      <w:r w:rsidRPr="00C17585">
        <w:rPr>
          <w:rFonts w:asciiTheme="majorHAnsi" w:hAnsiTheme="majorHAnsi"/>
          <w:sz w:val="18"/>
          <w:szCs w:val="18"/>
        </w:rPr>
        <w:t xml:space="preserve"> 3 zmluvy, ktorých doba nájmu začínala 1.6.2019</w:t>
      </w:r>
      <w:r>
        <w:rPr>
          <w:rFonts w:asciiTheme="majorHAnsi" w:hAnsiTheme="majorHAnsi"/>
          <w:sz w:val="18"/>
          <w:szCs w:val="18"/>
        </w:rPr>
        <w:t>. S</w:t>
      </w:r>
      <w:r w:rsidRPr="00C17585">
        <w:rPr>
          <w:rFonts w:asciiTheme="majorHAnsi" w:hAnsiTheme="majorHAnsi"/>
          <w:sz w:val="18"/>
          <w:szCs w:val="18"/>
        </w:rPr>
        <w:t xml:space="preserve"> nájomcami </w:t>
      </w:r>
      <w:r>
        <w:rPr>
          <w:rFonts w:asciiTheme="majorHAnsi" w:hAnsiTheme="majorHAnsi"/>
          <w:sz w:val="18"/>
          <w:szCs w:val="18"/>
        </w:rPr>
        <w:t xml:space="preserve">sa podarilo </w:t>
      </w:r>
      <w:r w:rsidRPr="00C17585">
        <w:rPr>
          <w:rFonts w:asciiTheme="majorHAnsi" w:hAnsiTheme="majorHAnsi"/>
          <w:sz w:val="18"/>
          <w:szCs w:val="18"/>
        </w:rPr>
        <w:t>dohodnúť na posune o</w:t>
      </w:r>
      <w:r>
        <w:rPr>
          <w:rFonts w:asciiTheme="majorHAnsi" w:hAnsiTheme="majorHAnsi"/>
          <w:sz w:val="18"/>
          <w:szCs w:val="18"/>
        </w:rPr>
        <w:t xml:space="preserve"> jeden </w:t>
      </w:r>
      <w:r w:rsidRPr="00C17585">
        <w:rPr>
          <w:rFonts w:asciiTheme="majorHAnsi" w:hAnsiTheme="majorHAnsi"/>
          <w:sz w:val="18"/>
          <w:szCs w:val="18"/>
        </w:rPr>
        <w:t xml:space="preserve">mesiac, tzn. </w:t>
      </w:r>
      <w:r>
        <w:rPr>
          <w:rFonts w:asciiTheme="majorHAnsi" w:hAnsiTheme="majorHAnsi"/>
          <w:sz w:val="18"/>
          <w:szCs w:val="18"/>
        </w:rPr>
        <w:t xml:space="preserve">od </w:t>
      </w:r>
      <w:r w:rsidRPr="00C17585">
        <w:rPr>
          <w:rFonts w:asciiTheme="majorHAnsi" w:hAnsiTheme="majorHAnsi"/>
          <w:sz w:val="18"/>
          <w:szCs w:val="18"/>
        </w:rPr>
        <w:t>1.7.2019.</w:t>
      </w:r>
      <w:r>
        <w:rPr>
          <w:rFonts w:asciiTheme="majorHAnsi" w:hAnsiTheme="majorHAnsi"/>
          <w:sz w:val="18"/>
          <w:szCs w:val="18"/>
        </w:rPr>
        <w:t xml:space="preserve"> V tejto súvislosti prítomní diskutovali aj o možnostiach sťahovania zamestnancov Útvaru medzinárodných vzťahov do budovy rektorátu, s čím členovia vedenia súhlasili. Zároveň z hľadiska obmedzenej kapacity veľkej zasadacej miestnosti na 3. poschodí </w:t>
      </w:r>
      <w:r w:rsidR="00651888"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8"/>
          <w:szCs w:val="18"/>
        </w:rPr>
        <w:t>R STU, prítomní navrhli realizovať zasadnutia AS STU v aule na Mýtnej ul., avšak priestory bude zrejme potrebné prispôsobiť potrebám</w:t>
      </w:r>
      <w:r w:rsidR="001238E5">
        <w:rPr>
          <w:rFonts w:asciiTheme="majorHAnsi" w:hAnsiTheme="majorHAnsi"/>
          <w:sz w:val="18"/>
          <w:szCs w:val="18"/>
        </w:rPr>
        <w:t xml:space="preserve"> nerušeného rokovania AS STU</w:t>
      </w:r>
      <w:r>
        <w:rPr>
          <w:rFonts w:asciiTheme="majorHAnsi" w:hAnsiTheme="majorHAnsi"/>
          <w:sz w:val="18"/>
          <w:szCs w:val="18"/>
        </w:rPr>
        <w:t>. Prorektorka Vitková sa podujala preveriť možnosti prípadnej úpravy sedenia</w:t>
      </w:r>
      <w:r w:rsidR="001238E5">
        <w:rPr>
          <w:rFonts w:asciiTheme="majorHAnsi" w:hAnsiTheme="majorHAnsi"/>
          <w:sz w:val="18"/>
          <w:szCs w:val="18"/>
        </w:rPr>
        <w:t xml:space="preserve"> - </w:t>
      </w:r>
      <w:r>
        <w:rPr>
          <w:rFonts w:asciiTheme="majorHAnsi" w:hAnsiTheme="majorHAnsi"/>
          <w:sz w:val="18"/>
          <w:szCs w:val="18"/>
        </w:rPr>
        <w:t xml:space="preserve">drevených lavíc.  </w:t>
      </w:r>
    </w:p>
    <w:p w14:paraId="6D9C8D39" w14:textId="77777777" w:rsidR="004F6765" w:rsidRDefault="004F6765" w:rsidP="00E25BA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DB0CF98" w14:textId="77777777" w:rsidR="001238E5" w:rsidRPr="007E247A" w:rsidRDefault="001238E5" w:rsidP="001238E5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13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1238E5">
        <w:rPr>
          <w:rFonts w:asciiTheme="majorHAnsi" w:hAnsiTheme="majorHAnsi" w:cstheme="minorHAnsi"/>
          <w:b/>
          <w:sz w:val="18"/>
          <w:szCs w:val="18"/>
          <w:u w:val="single"/>
        </w:rPr>
        <w:t>Grantová schéma na podporu excelentných tímov mladých výskumníkov – vyhodnotenie výzvy</w:t>
      </w:r>
    </w:p>
    <w:p w14:paraId="675E05EE" w14:textId="77777777" w:rsidR="001238E5" w:rsidRPr="007727FB" w:rsidRDefault="001238E5" w:rsidP="001238E5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14:paraId="56B50134" w14:textId="77777777" w:rsidR="001238E5" w:rsidRDefault="001238E5" w:rsidP="001238E5">
      <w:pPr>
        <w:ind w:right="284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a prezentoval prorektor Szolgay v súlade s plánom hlavných úloh.</w:t>
      </w:r>
    </w:p>
    <w:p w14:paraId="7FE997FD" w14:textId="77777777" w:rsidR="001238E5" w:rsidRDefault="001238E5" w:rsidP="001238E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 prítomných, že výzva bola voči minulosti mierne pozmenená, podmienkou tohtoročnej výzvy bola </w:t>
      </w:r>
      <w:proofErr w:type="spellStart"/>
      <w:r>
        <w:rPr>
          <w:rFonts w:asciiTheme="majorHAnsi" w:hAnsiTheme="majorHAnsi" w:cs="Calibri"/>
          <w:sz w:val="18"/>
          <w:szCs w:val="18"/>
        </w:rPr>
        <w:t>medzifakultná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spolupráca. Pozornosť upriamil na projekty FCHPT STU, ktoré </w:t>
      </w:r>
      <w:r w:rsidR="00177B6C">
        <w:rPr>
          <w:rFonts w:asciiTheme="majorHAnsi" w:hAnsiTheme="majorHAnsi" w:cs="Calibri"/>
          <w:sz w:val="18"/>
          <w:szCs w:val="18"/>
        </w:rPr>
        <w:t xml:space="preserve">svojou kvalitou </w:t>
      </w:r>
      <w:r>
        <w:rPr>
          <w:rFonts w:asciiTheme="majorHAnsi" w:hAnsiTheme="majorHAnsi" w:cs="Calibri"/>
          <w:sz w:val="18"/>
          <w:szCs w:val="18"/>
        </w:rPr>
        <w:t xml:space="preserve">vynikali a boli vypracované na vysokej profesionálnej úrovni. Ostatné fakulty </w:t>
      </w:r>
      <w:r w:rsidR="00177B6C">
        <w:rPr>
          <w:rFonts w:asciiTheme="majorHAnsi" w:hAnsiTheme="majorHAnsi" w:cs="Calibri"/>
          <w:sz w:val="18"/>
          <w:szCs w:val="18"/>
        </w:rPr>
        <w:t xml:space="preserve">podľa jeho vyjadrenia </w:t>
      </w:r>
      <w:r>
        <w:rPr>
          <w:rFonts w:asciiTheme="majorHAnsi" w:hAnsiTheme="majorHAnsi" w:cs="Calibri"/>
          <w:sz w:val="18"/>
          <w:szCs w:val="18"/>
        </w:rPr>
        <w:t xml:space="preserve">zaostávajú vo vednom štýle písania ako aj </w:t>
      </w:r>
      <w:r w:rsidR="00177B6C">
        <w:rPr>
          <w:rFonts w:asciiTheme="majorHAnsi" w:hAnsiTheme="majorHAnsi" w:cs="Calibri"/>
          <w:sz w:val="18"/>
          <w:szCs w:val="18"/>
        </w:rPr>
        <w:t xml:space="preserve">celkovou </w:t>
      </w:r>
      <w:r>
        <w:rPr>
          <w:rFonts w:asciiTheme="majorHAnsi" w:hAnsiTheme="majorHAnsi" w:cs="Calibri"/>
          <w:sz w:val="18"/>
          <w:szCs w:val="18"/>
        </w:rPr>
        <w:t>formou projektu. V nadväznosti na uvedené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Pr="001238E5">
        <w:rPr>
          <w:rFonts w:asciiTheme="majorHAnsi" w:hAnsiTheme="majorHAnsi" w:cs="Arial"/>
          <w:sz w:val="18"/>
          <w:szCs w:val="18"/>
        </w:rPr>
        <w:t xml:space="preserve">rektor </w:t>
      </w:r>
      <w:r w:rsidR="00177B6C">
        <w:rPr>
          <w:rFonts w:asciiTheme="majorHAnsi" w:hAnsiTheme="majorHAnsi" w:cs="Arial"/>
          <w:sz w:val="18"/>
          <w:szCs w:val="18"/>
        </w:rPr>
        <w:t>do budúcnosti</w:t>
      </w:r>
      <w:r w:rsidR="00177B6C" w:rsidRPr="001238E5">
        <w:rPr>
          <w:rFonts w:asciiTheme="majorHAnsi" w:hAnsiTheme="majorHAnsi" w:cs="Arial"/>
          <w:sz w:val="18"/>
          <w:szCs w:val="18"/>
        </w:rPr>
        <w:t xml:space="preserve"> </w:t>
      </w:r>
      <w:r w:rsidRPr="001238E5">
        <w:rPr>
          <w:rFonts w:asciiTheme="majorHAnsi" w:hAnsiTheme="majorHAnsi" w:cs="Arial"/>
          <w:sz w:val="18"/>
          <w:szCs w:val="18"/>
        </w:rPr>
        <w:t>navrhol</w:t>
      </w:r>
      <w:r>
        <w:rPr>
          <w:rFonts w:asciiTheme="majorHAnsi" w:hAnsiTheme="majorHAnsi" w:cs="Arial"/>
          <w:sz w:val="18"/>
          <w:szCs w:val="18"/>
        </w:rPr>
        <w:t xml:space="preserve"> zverejniť kvalitn</w:t>
      </w:r>
      <w:r w:rsidR="00177B6C">
        <w:rPr>
          <w:rFonts w:asciiTheme="majorHAnsi" w:hAnsiTheme="majorHAnsi" w:cs="Arial"/>
          <w:sz w:val="18"/>
          <w:szCs w:val="18"/>
        </w:rPr>
        <w:t>e pripravené</w:t>
      </w:r>
      <w:r>
        <w:rPr>
          <w:rFonts w:asciiTheme="majorHAnsi" w:hAnsiTheme="majorHAnsi" w:cs="Arial"/>
          <w:sz w:val="18"/>
          <w:szCs w:val="18"/>
        </w:rPr>
        <w:t xml:space="preserve"> projekty ako vzor písania projektov </w:t>
      </w:r>
      <w:r w:rsidR="00177B6C">
        <w:rPr>
          <w:rFonts w:asciiTheme="majorHAnsi" w:hAnsiTheme="majorHAnsi" w:cs="Arial"/>
          <w:sz w:val="18"/>
          <w:szCs w:val="18"/>
        </w:rPr>
        <w:t xml:space="preserve">aj </w:t>
      </w:r>
      <w:r>
        <w:rPr>
          <w:rFonts w:asciiTheme="majorHAnsi" w:hAnsiTheme="majorHAnsi" w:cs="Arial"/>
          <w:sz w:val="18"/>
          <w:szCs w:val="18"/>
        </w:rPr>
        <w:t>pre ostatných.</w:t>
      </w:r>
    </w:p>
    <w:p w14:paraId="10625D9D" w14:textId="06E5D98D" w:rsidR="001238E5" w:rsidRPr="001238E5" w:rsidRDefault="2100CB6A" w:rsidP="2100CB6A">
      <w:pPr>
        <w:ind w:right="284"/>
        <w:rPr>
          <w:rFonts w:asciiTheme="majorHAnsi" w:hAnsiTheme="majorHAnsi" w:cs="Arial"/>
          <w:sz w:val="18"/>
          <w:szCs w:val="18"/>
        </w:rPr>
      </w:pPr>
      <w:r w:rsidRPr="2100CB6A">
        <w:rPr>
          <w:rFonts w:asciiTheme="majorHAnsi" w:hAnsiTheme="majorHAnsi" w:cs="Arial"/>
          <w:sz w:val="18"/>
          <w:szCs w:val="18"/>
        </w:rPr>
        <w:t xml:space="preserve">Prorektor Szolgay upozornil, že </w:t>
      </w:r>
      <w:proofErr w:type="spellStart"/>
      <w:r w:rsidRPr="2100CB6A">
        <w:rPr>
          <w:rFonts w:asciiTheme="majorHAnsi" w:hAnsiTheme="majorHAnsi" w:cs="Arial"/>
          <w:sz w:val="18"/>
          <w:szCs w:val="18"/>
        </w:rPr>
        <w:t>SjF</w:t>
      </w:r>
      <w:proofErr w:type="spellEnd"/>
      <w:r w:rsidRPr="2100CB6A">
        <w:rPr>
          <w:rFonts w:asciiTheme="majorHAnsi" w:hAnsiTheme="majorHAnsi" w:cs="Arial"/>
          <w:sz w:val="18"/>
          <w:szCs w:val="18"/>
        </w:rPr>
        <w:t xml:space="preserve"> si v troch prípadoch nenašla partnera, </w:t>
      </w:r>
      <w:proofErr w:type="spellStart"/>
      <w:r w:rsidRPr="2100CB6A">
        <w:rPr>
          <w:rFonts w:asciiTheme="majorHAnsi" w:hAnsiTheme="majorHAnsi" w:cs="Arial"/>
          <w:sz w:val="18"/>
          <w:szCs w:val="18"/>
        </w:rPr>
        <w:t>t.j</w:t>
      </w:r>
      <w:proofErr w:type="spellEnd"/>
      <w:r w:rsidRPr="2100CB6A">
        <w:rPr>
          <w:rFonts w:asciiTheme="majorHAnsi" w:hAnsiTheme="majorHAnsi" w:cs="Arial"/>
          <w:sz w:val="18"/>
          <w:szCs w:val="18"/>
        </w:rPr>
        <w:t xml:space="preserve">. nesplnila podmienku, a preto by v budúcnosti mali byť takéto projekty vyradené. V tejto súvislosti rektor navrhol vyňať uvedené tri projekty z tabuľky už teraz a zapísať ich mimo schému, resp. pod čiaru. Predseda AS STU, prof. Peciar za účelom efektívnejšieho hodnotenia projektov navrhol zriadiť panel hodnotiteľov, na ktorom by mohli byť predložené návrhy konzultované.   </w:t>
      </w:r>
    </w:p>
    <w:p w14:paraId="2FC17F8B" w14:textId="77777777" w:rsidR="00D40E69" w:rsidRDefault="00D40E69" w:rsidP="001238E5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F868C0" w14:textId="77777777" w:rsidR="001238E5" w:rsidRDefault="001238E5" w:rsidP="001238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746E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125BB957" w14:textId="77777777" w:rsidR="001238E5" w:rsidRPr="009746E9" w:rsidRDefault="001238E5" w:rsidP="001238E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 w:rsidR="009746E9">
        <w:rPr>
          <w:rFonts w:asciiTheme="majorHAnsi" w:hAnsiTheme="majorHAnsi"/>
          <w:sz w:val="18"/>
          <w:szCs w:val="18"/>
        </w:rPr>
        <w:t xml:space="preserve">schvaľuje </w:t>
      </w:r>
      <w:r w:rsidR="009746E9" w:rsidRPr="009746E9">
        <w:rPr>
          <w:rFonts w:asciiTheme="majorHAnsi" w:hAnsiTheme="majorHAnsi" w:cstheme="minorHAnsi"/>
          <w:sz w:val="18"/>
          <w:szCs w:val="18"/>
        </w:rPr>
        <w:t xml:space="preserve">vyhodnotenie výzvy </w:t>
      </w:r>
      <w:r w:rsidR="009746E9">
        <w:rPr>
          <w:rFonts w:asciiTheme="majorHAnsi" w:hAnsiTheme="majorHAnsi" w:cstheme="minorHAnsi"/>
          <w:sz w:val="18"/>
          <w:szCs w:val="18"/>
        </w:rPr>
        <w:t xml:space="preserve"> „</w:t>
      </w:r>
      <w:r w:rsidR="009746E9" w:rsidRPr="009746E9">
        <w:rPr>
          <w:rFonts w:asciiTheme="majorHAnsi" w:hAnsiTheme="majorHAnsi" w:cstheme="minorHAnsi"/>
          <w:sz w:val="18"/>
          <w:szCs w:val="18"/>
        </w:rPr>
        <w:t>Grantová schéma na podporu excelentných tímov mladých výskumníkov</w:t>
      </w:r>
      <w:r w:rsidR="009746E9">
        <w:rPr>
          <w:rFonts w:asciiTheme="majorHAnsi" w:hAnsiTheme="majorHAnsi" w:cstheme="minorHAnsi"/>
          <w:sz w:val="18"/>
          <w:szCs w:val="18"/>
        </w:rPr>
        <w:t>“ s pripomienkami.</w:t>
      </w:r>
      <w:r w:rsidR="009746E9" w:rsidRPr="009746E9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0A4F7224" w14:textId="77777777" w:rsidR="004F6765" w:rsidRPr="009746E9" w:rsidRDefault="004F6765" w:rsidP="00E25BA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CE38DF4" w14:textId="77777777" w:rsidR="009D5F00" w:rsidRPr="007E247A" w:rsidRDefault="009D5F0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9746E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014F408F" w14:textId="77777777" w:rsidR="009746E9" w:rsidRPr="007E247A" w:rsidRDefault="009746E9" w:rsidP="009746E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14/A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="00781012">
        <w:rPr>
          <w:rFonts w:asciiTheme="majorHAnsi" w:hAnsiTheme="majorHAnsi"/>
          <w:b/>
          <w:sz w:val="18"/>
          <w:szCs w:val="18"/>
          <w:u w:val="single"/>
        </w:rPr>
        <w:t>/</w:t>
      </w:r>
      <w:r w:rsidR="00781012" w:rsidRPr="00781012">
        <w:rPr>
          <w:rFonts w:asciiTheme="majorHAnsi" w:hAnsiTheme="majorHAnsi" w:cstheme="minorHAnsi"/>
          <w:b/>
          <w:sz w:val="18"/>
          <w:szCs w:val="18"/>
          <w:u w:val="single"/>
        </w:rPr>
        <w:t>Projekty podané za STU v rámci H2020 MSCA</w:t>
      </w:r>
      <w:r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5AE48A43" w14:textId="77777777"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54C2CB31" w14:textId="77777777" w:rsidR="00781012" w:rsidRDefault="00781012" w:rsidP="00781012">
      <w:pPr>
        <w:ind w:right="284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a prezentoval prorektor Szolgay ako informáciu o predložených projektoch MSCA H2020.</w:t>
      </w:r>
    </w:p>
    <w:p w14:paraId="0974415B" w14:textId="77777777" w:rsidR="0049568D" w:rsidRDefault="0049568D" w:rsidP="00781012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Najväčšie zastúpenie majú ITN projekty, celkovo najvyšší počet MSCA projektov bolo podaných z FCHPT STU.  </w:t>
      </w:r>
    </w:p>
    <w:p w14:paraId="1D5ED363" w14:textId="77777777" w:rsidR="00811E4E" w:rsidRPr="0049568D" w:rsidRDefault="00781012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811E4E">
        <w:rPr>
          <w:rFonts w:asciiTheme="majorHAnsi" w:hAnsiTheme="majorHAnsi"/>
          <w:sz w:val="18"/>
          <w:szCs w:val="18"/>
        </w:rPr>
        <w:t>nformoval</w:t>
      </w:r>
      <w:r w:rsidR="0057475C">
        <w:rPr>
          <w:rFonts w:asciiTheme="majorHAnsi" w:hAnsiTheme="majorHAnsi"/>
          <w:sz w:val="18"/>
          <w:szCs w:val="18"/>
        </w:rPr>
        <w:t>,</w:t>
      </w:r>
      <w:r w:rsidR="00112D16">
        <w:rPr>
          <w:rFonts w:asciiTheme="majorHAnsi" w:hAnsiTheme="majorHAnsi"/>
          <w:sz w:val="18"/>
          <w:szCs w:val="18"/>
        </w:rPr>
        <w:t xml:space="preserve"> že </w:t>
      </w:r>
      <w:r>
        <w:rPr>
          <w:rFonts w:asciiTheme="majorHAnsi" w:hAnsiTheme="majorHAnsi"/>
          <w:sz w:val="18"/>
          <w:szCs w:val="18"/>
        </w:rPr>
        <w:t xml:space="preserve">sa </w:t>
      </w:r>
      <w:r w:rsidR="0049568D">
        <w:rPr>
          <w:rFonts w:asciiTheme="majorHAnsi" w:hAnsiTheme="majorHAnsi"/>
          <w:sz w:val="18"/>
          <w:szCs w:val="18"/>
        </w:rPr>
        <w:t xml:space="preserve">na </w:t>
      </w:r>
      <w:r>
        <w:rPr>
          <w:rFonts w:asciiTheme="majorHAnsi" w:hAnsiTheme="majorHAnsi"/>
          <w:sz w:val="18"/>
          <w:szCs w:val="18"/>
        </w:rPr>
        <w:t xml:space="preserve">R </w:t>
      </w:r>
      <w:r w:rsidR="00112D16">
        <w:rPr>
          <w:rFonts w:asciiTheme="majorHAnsi" w:hAnsiTheme="majorHAnsi"/>
          <w:sz w:val="18"/>
          <w:szCs w:val="18"/>
        </w:rPr>
        <w:t xml:space="preserve">STU </w:t>
      </w:r>
      <w:r>
        <w:rPr>
          <w:rFonts w:asciiTheme="majorHAnsi" w:hAnsiTheme="majorHAnsi"/>
          <w:sz w:val="18"/>
          <w:szCs w:val="18"/>
        </w:rPr>
        <w:t>uskutočnil</w:t>
      </w:r>
      <w:r w:rsidR="0049568D">
        <w:rPr>
          <w:rFonts w:asciiTheme="majorHAnsi" w:hAnsiTheme="majorHAnsi"/>
          <w:sz w:val="18"/>
          <w:szCs w:val="18"/>
        </w:rPr>
        <w:t xml:space="preserve"> aj</w:t>
      </w:r>
      <w:r>
        <w:rPr>
          <w:rFonts w:asciiTheme="majorHAnsi" w:hAnsiTheme="majorHAnsi"/>
          <w:sz w:val="18"/>
          <w:szCs w:val="18"/>
        </w:rPr>
        <w:t xml:space="preserve"> informačný seminár k výzv</w:t>
      </w:r>
      <w:r w:rsidR="0049568D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na </w:t>
      </w:r>
      <w:r w:rsidR="0049568D" w:rsidRPr="0049568D">
        <w:rPr>
          <w:rFonts w:asciiTheme="majorHAnsi" w:hAnsiTheme="majorHAnsi"/>
          <w:sz w:val="18"/>
          <w:szCs w:val="18"/>
        </w:rPr>
        <w:t xml:space="preserve">podávanie projektov v schéme </w:t>
      </w:r>
      <w:proofErr w:type="spellStart"/>
      <w:r w:rsidR="0049568D" w:rsidRPr="0049568D">
        <w:rPr>
          <w:rFonts w:asciiTheme="majorHAnsi" w:hAnsiTheme="majorHAnsi"/>
          <w:sz w:val="18"/>
          <w:szCs w:val="18"/>
        </w:rPr>
        <w:t>Individual</w:t>
      </w:r>
      <w:proofErr w:type="spellEnd"/>
      <w:r w:rsidR="0049568D" w:rsidRPr="0049568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9568D" w:rsidRPr="0049568D">
        <w:rPr>
          <w:rFonts w:asciiTheme="majorHAnsi" w:hAnsiTheme="majorHAnsi"/>
          <w:sz w:val="18"/>
          <w:szCs w:val="18"/>
        </w:rPr>
        <w:t>Fellowships</w:t>
      </w:r>
      <w:proofErr w:type="spellEnd"/>
      <w:r w:rsidR="0049568D">
        <w:rPr>
          <w:rFonts w:asciiTheme="majorHAnsi" w:hAnsiTheme="majorHAnsi"/>
          <w:sz w:val="18"/>
          <w:szCs w:val="18"/>
        </w:rPr>
        <w:t>, na ktorom sa zúčastnili okrem zamestnancov R STU aj niektor</w:t>
      </w:r>
      <w:r w:rsidR="00177B6C">
        <w:rPr>
          <w:rFonts w:asciiTheme="majorHAnsi" w:hAnsiTheme="majorHAnsi"/>
          <w:sz w:val="18"/>
          <w:szCs w:val="18"/>
        </w:rPr>
        <w:t>í</w:t>
      </w:r>
      <w:r w:rsidR="0049568D">
        <w:rPr>
          <w:rFonts w:asciiTheme="majorHAnsi" w:hAnsiTheme="majorHAnsi"/>
          <w:sz w:val="18"/>
          <w:szCs w:val="18"/>
        </w:rPr>
        <w:t xml:space="preserve"> pracovníci fakúlt.</w:t>
      </w:r>
      <w:r w:rsidR="0049568D" w:rsidRPr="0049568D">
        <w:rPr>
          <w:rFonts w:asciiTheme="majorHAnsi" w:hAnsiTheme="majorHAnsi"/>
          <w:sz w:val="18"/>
          <w:szCs w:val="18"/>
        </w:rPr>
        <w:t xml:space="preserve"> </w:t>
      </w:r>
      <w:r w:rsidR="0057475C" w:rsidRPr="0049568D">
        <w:rPr>
          <w:rFonts w:asciiTheme="majorHAnsi" w:hAnsiTheme="majorHAnsi"/>
          <w:sz w:val="18"/>
          <w:szCs w:val="18"/>
        </w:rPr>
        <w:t xml:space="preserve"> </w:t>
      </w:r>
      <w:r w:rsidR="0049568D">
        <w:rPr>
          <w:rFonts w:asciiTheme="majorHAnsi" w:hAnsiTheme="majorHAnsi"/>
          <w:sz w:val="18"/>
          <w:szCs w:val="18"/>
        </w:rPr>
        <w:t>Seminár bol cielený pre ľudí zaoberajúcich sa uvedenou problematikou.</w:t>
      </w:r>
      <w:r w:rsidR="0057475C" w:rsidRPr="0049568D">
        <w:rPr>
          <w:rFonts w:asciiTheme="majorHAnsi" w:hAnsiTheme="majorHAnsi"/>
          <w:sz w:val="18"/>
          <w:szCs w:val="18"/>
        </w:rPr>
        <w:t xml:space="preserve"> </w:t>
      </w:r>
    </w:p>
    <w:p w14:paraId="50F40DEB" w14:textId="77777777" w:rsidR="00D40E69" w:rsidRDefault="00D40E69" w:rsidP="0049568D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09990C90" w14:textId="77777777" w:rsidR="0049568D" w:rsidRDefault="0049568D" w:rsidP="0049568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14A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E2130FA" w14:textId="77777777" w:rsidR="0049568D" w:rsidRPr="009746E9" w:rsidRDefault="0049568D" w:rsidP="0049568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informáciu o podaných projektoch STU v rámci H2020 MSCA</w:t>
      </w:r>
      <w:r>
        <w:rPr>
          <w:rFonts w:asciiTheme="majorHAnsi" w:hAnsiTheme="majorHAnsi" w:cstheme="minorHAnsi"/>
          <w:sz w:val="18"/>
          <w:szCs w:val="18"/>
        </w:rPr>
        <w:t>.</w:t>
      </w:r>
      <w:r w:rsidRPr="009746E9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77A52294" w14:textId="77777777" w:rsidR="00811E4E" w:rsidRDefault="00811E4E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501DA9E2" w14:textId="77777777" w:rsidR="0049568D" w:rsidRPr="007E247A" w:rsidRDefault="0049568D" w:rsidP="0049568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14/B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Rôzne/</w:t>
      </w:r>
      <w:r w:rsidRPr="0049568D">
        <w:rPr>
          <w:rFonts w:asciiTheme="majorHAnsi" w:hAnsiTheme="majorHAnsi" w:cstheme="minorHAnsi"/>
          <w:b/>
          <w:sz w:val="18"/>
          <w:szCs w:val="18"/>
          <w:u w:val="single"/>
        </w:rPr>
        <w:t>Memorandum o spolupráci medzi STU, SAV a UK – návrh</w:t>
      </w:r>
    </w:p>
    <w:p w14:paraId="007DCDA8" w14:textId="77777777" w:rsidR="0049568D" w:rsidRDefault="0049568D" w:rsidP="0049568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8DE04A3" w14:textId="77777777" w:rsidR="0049568D" w:rsidRPr="0049568D" w:rsidRDefault="0049568D" w:rsidP="00270B16">
      <w:pPr>
        <w:ind w:right="284"/>
        <w:rPr>
          <w:rFonts w:asciiTheme="majorHAnsi" w:hAnsiTheme="majorHAns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70B16">
        <w:rPr>
          <w:rFonts w:asciiTheme="majorHAnsi" w:hAnsiTheme="majorHAnsi" w:cs="Calibri"/>
          <w:sz w:val="18"/>
          <w:szCs w:val="18"/>
        </w:rPr>
        <w:t xml:space="preserve">rektor ako iniciatívu UK, SAV a STU </w:t>
      </w:r>
      <w:r w:rsidR="00C603D6">
        <w:rPr>
          <w:rFonts w:asciiTheme="majorHAnsi" w:hAnsiTheme="majorHAnsi" w:cs="Calibri"/>
          <w:sz w:val="18"/>
          <w:szCs w:val="18"/>
        </w:rPr>
        <w:t xml:space="preserve">vytvoriť </w:t>
      </w:r>
      <w:r w:rsidR="00270B16">
        <w:rPr>
          <w:rFonts w:asciiTheme="majorHAnsi" w:hAnsiTheme="majorHAnsi" w:cs="Calibri"/>
          <w:sz w:val="18"/>
          <w:szCs w:val="18"/>
        </w:rPr>
        <w:t>spoluprác</w:t>
      </w:r>
      <w:r w:rsidR="00C603D6">
        <w:rPr>
          <w:rFonts w:asciiTheme="majorHAnsi" w:hAnsiTheme="majorHAnsi" w:cs="Calibri"/>
          <w:sz w:val="18"/>
          <w:szCs w:val="18"/>
        </w:rPr>
        <w:t>u</w:t>
      </w:r>
      <w:r w:rsidR="00270B16">
        <w:rPr>
          <w:rFonts w:asciiTheme="majorHAnsi" w:hAnsiTheme="majorHAnsi" w:cs="Calibri"/>
          <w:sz w:val="18"/>
          <w:szCs w:val="18"/>
        </w:rPr>
        <w:t xml:space="preserve"> inštitúcií s cieľom rozvíjať ďalšie aktivity smerujúce k vede a výskumu </w:t>
      </w:r>
      <w:r w:rsidR="00C603D6">
        <w:rPr>
          <w:rFonts w:asciiTheme="majorHAnsi" w:hAnsiTheme="majorHAnsi" w:cs="Calibri"/>
          <w:sz w:val="18"/>
          <w:szCs w:val="18"/>
        </w:rPr>
        <w:t>na Slovensku s prípadnou možnosťou zriadenia spoločných pracovísk so</w:t>
      </w:r>
      <w:r w:rsidR="00270B16">
        <w:rPr>
          <w:rFonts w:asciiTheme="majorHAnsi" w:hAnsiTheme="majorHAnsi" w:cs="Calibri"/>
          <w:sz w:val="18"/>
          <w:szCs w:val="18"/>
        </w:rPr>
        <w:t xml:space="preserve"> spoločný</w:t>
      </w:r>
      <w:r w:rsidR="00C603D6">
        <w:rPr>
          <w:rFonts w:asciiTheme="majorHAnsi" w:hAnsiTheme="majorHAnsi" w:cs="Calibri"/>
          <w:sz w:val="18"/>
          <w:szCs w:val="18"/>
        </w:rPr>
        <w:t>m</w:t>
      </w:r>
      <w:r w:rsidR="00270B16">
        <w:rPr>
          <w:rFonts w:asciiTheme="majorHAnsi" w:hAnsiTheme="majorHAnsi" w:cs="Calibri"/>
          <w:sz w:val="18"/>
          <w:szCs w:val="18"/>
        </w:rPr>
        <w:t xml:space="preserve"> výskum</w:t>
      </w:r>
      <w:r w:rsidR="00C603D6">
        <w:rPr>
          <w:rFonts w:asciiTheme="majorHAnsi" w:hAnsiTheme="majorHAnsi" w:cs="Calibri"/>
          <w:sz w:val="18"/>
          <w:szCs w:val="18"/>
        </w:rPr>
        <w:t>om</w:t>
      </w:r>
      <w:r w:rsidR="00270B16">
        <w:rPr>
          <w:rFonts w:asciiTheme="majorHAnsi" w:hAnsiTheme="majorHAnsi" w:cs="Calibri"/>
          <w:sz w:val="18"/>
          <w:szCs w:val="18"/>
        </w:rPr>
        <w:t xml:space="preserve"> a </w:t>
      </w:r>
      <w:r w:rsidR="00C603D6">
        <w:rPr>
          <w:rFonts w:asciiTheme="majorHAnsi" w:hAnsiTheme="majorHAnsi" w:cs="Calibri"/>
          <w:sz w:val="18"/>
          <w:szCs w:val="18"/>
        </w:rPr>
        <w:t>spoločnými</w:t>
      </w:r>
      <w:r w:rsidR="00270B16">
        <w:rPr>
          <w:rFonts w:asciiTheme="majorHAnsi" w:hAnsiTheme="majorHAnsi" w:cs="Calibri"/>
          <w:sz w:val="18"/>
          <w:szCs w:val="18"/>
        </w:rPr>
        <w:t xml:space="preserve"> výsledk</w:t>
      </w:r>
      <w:r w:rsidR="00C603D6">
        <w:rPr>
          <w:rFonts w:asciiTheme="majorHAnsi" w:hAnsiTheme="majorHAnsi" w:cs="Calibri"/>
          <w:sz w:val="18"/>
          <w:szCs w:val="18"/>
        </w:rPr>
        <w:t>ami</w:t>
      </w:r>
      <w:r w:rsidR="00270B16">
        <w:rPr>
          <w:rFonts w:asciiTheme="majorHAnsi" w:hAnsiTheme="majorHAnsi" w:cs="Calibri"/>
          <w:sz w:val="18"/>
          <w:szCs w:val="18"/>
        </w:rPr>
        <w:t>.</w:t>
      </w:r>
      <w:r w:rsidR="00C603D6">
        <w:rPr>
          <w:rFonts w:asciiTheme="majorHAnsi" w:hAnsiTheme="majorHAnsi" w:cs="Calibri"/>
          <w:sz w:val="18"/>
          <w:szCs w:val="18"/>
        </w:rPr>
        <w:t xml:space="preserve"> Upriamil pozornosť prítomných na Čl. 3, bod 3) a otvoril k uvedenému textu diskusiu. Členovia vedenia sa po krátkej diskusii dohodli na zmene textu v znení: „</w:t>
      </w:r>
      <w:r w:rsidR="00C603D6" w:rsidRPr="00C603D6">
        <w:rPr>
          <w:rFonts w:asciiTheme="majorHAnsi" w:hAnsiTheme="majorHAnsi"/>
          <w:sz w:val="18"/>
          <w:szCs w:val="18"/>
        </w:rPr>
        <w:t xml:space="preserve">Členovia vedeckého klastra sa dohodli, že </w:t>
      </w:r>
      <w:r w:rsidR="00C603D6" w:rsidRPr="00C603D6">
        <w:rPr>
          <w:rFonts w:asciiTheme="majorHAnsi" w:hAnsiTheme="majorHAnsi"/>
          <w:sz w:val="18"/>
          <w:szCs w:val="18"/>
          <w:u w:val="single"/>
        </w:rPr>
        <w:t>externý</w:t>
      </w:r>
      <w:r w:rsidR="00C603D6" w:rsidRPr="00C603D6">
        <w:rPr>
          <w:rFonts w:asciiTheme="majorHAnsi" w:hAnsiTheme="majorHAnsi"/>
          <w:sz w:val="18"/>
          <w:szCs w:val="18"/>
        </w:rPr>
        <w:t xml:space="preserve"> zásah </w:t>
      </w:r>
      <w:r w:rsidR="00C603D6" w:rsidRPr="00C603D6">
        <w:rPr>
          <w:rFonts w:asciiTheme="majorHAnsi" w:hAnsiTheme="majorHAnsi"/>
          <w:strike/>
          <w:sz w:val="18"/>
          <w:szCs w:val="18"/>
        </w:rPr>
        <w:t>zo strany štátu či tretích strán</w:t>
      </w:r>
      <w:r w:rsidR="00C603D6" w:rsidRPr="00C603D6">
        <w:rPr>
          <w:rFonts w:asciiTheme="majorHAnsi" w:hAnsiTheme="majorHAnsi"/>
          <w:sz w:val="18"/>
          <w:szCs w:val="18"/>
        </w:rPr>
        <w:t xml:space="preserve"> ohrozujúci alebo sťažujúci činnosť niektorého z nich alebo viacerých z</w:t>
      </w:r>
      <w:r w:rsidR="00C603D6">
        <w:rPr>
          <w:rFonts w:asciiTheme="majorHAnsi" w:hAnsiTheme="majorHAnsi"/>
          <w:sz w:val="18"/>
          <w:szCs w:val="18"/>
        </w:rPr>
        <w:t> </w:t>
      </w:r>
      <w:r w:rsidR="00C603D6" w:rsidRPr="00C603D6">
        <w:rPr>
          <w:rFonts w:asciiTheme="majorHAnsi" w:hAnsiTheme="majorHAnsi"/>
          <w:sz w:val="18"/>
          <w:szCs w:val="18"/>
        </w:rPr>
        <w:t>nich</w:t>
      </w:r>
      <w:r w:rsidR="00C603D6">
        <w:rPr>
          <w:rFonts w:asciiTheme="majorHAnsi" w:hAnsiTheme="majorHAnsi"/>
          <w:sz w:val="18"/>
          <w:szCs w:val="18"/>
        </w:rPr>
        <w:t>....“.</w:t>
      </w:r>
    </w:p>
    <w:p w14:paraId="450EA2D7" w14:textId="77777777" w:rsidR="00D40E69" w:rsidRDefault="00D40E69" w:rsidP="0049568D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42CB00DF" w14:textId="77777777" w:rsidR="0049568D" w:rsidRDefault="0049568D" w:rsidP="0049568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="00C603D6"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0243C3E2" w14:textId="77777777" w:rsidR="0049568D" w:rsidRPr="009746E9" w:rsidRDefault="0049568D" w:rsidP="0049568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 w:rsidR="00C603D6">
        <w:rPr>
          <w:rFonts w:asciiTheme="majorHAnsi" w:hAnsiTheme="majorHAnsi"/>
          <w:sz w:val="18"/>
          <w:szCs w:val="18"/>
        </w:rPr>
        <w:t xml:space="preserve">schvaľuje návrh na uzavretie </w:t>
      </w:r>
      <w:r w:rsidR="00C603D6" w:rsidRPr="00C603D6">
        <w:rPr>
          <w:rFonts w:asciiTheme="majorHAnsi" w:hAnsiTheme="majorHAnsi" w:cstheme="minorHAnsi"/>
          <w:sz w:val="18"/>
          <w:szCs w:val="18"/>
        </w:rPr>
        <w:t>Memorand</w:t>
      </w:r>
      <w:r w:rsidR="00C603D6">
        <w:rPr>
          <w:rFonts w:asciiTheme="majorHAnsi" w:hAnsiTheme="majorHAnsi" w:cstheme="minorHAnsi"/>
          <w:sz w:val="18"/>
          <w:szCs w:val="18"/>
        </w:rPr>
        <w:t>a</w:t>
      </w:r>
      <w:r w:rsidR="00C603D6" w:rsidRPr="00C603D6">
        <w:rPr>
          <w:rFonts w:asciiTheme="majorHAnsi" w:hAnsiTheme="majorHAnsi" w:cstheme="minorHAnsi"/>
          <w:sz w:val="18"/>
          <w:szCs w:val="18"/>
        </w:rPr>
        <w:t xml:space="preserve"> o spolupráci medzi STU, SAV a</w:t>
      </w:r>
      <w:r w:rsidR="00C603D6">
        <w:rPr>
          <w:rFonts w:asciiTheme="majorHAnsi" w:hAnsiTheme="majorHAnsi" w:cstheme="minorHAnsi"/>
          <w:sz w:val="18"/>
          <w:szCs w:val="18"/>
        </w:rPr>
        <w:t> </w:t>
      </w:r>
      <w:r w:rsidR="00C603D6" w:rsidRPr="00C603D6">
        <w:rPr>
          <w:rFonts w:asciiTheme="majorHAnsi" w:hAnsiTheme="majorHAnsi" w:cstheme="minorHAnsi"/>
          <w:sz w:val="18"/>
          <w:szCs w:val="18"/>
        </w:rPr>
        <w:t>UK</w:t>
      </w:r>
      <w:r w:rsidR="00C603D6">
        <w:rPr>
          <w:rFonts w:asciiTheme="majorHAnsi" w:hAnsiTheme="majorHAnsi" w:cstheme="minorHAnsi"/>
          <w:sz w:val="18"/>
          <w:szCs w:val="18"/>
        </w:rPr>
        <w:t xml:space="preserve"> s pripomienkou.</w:t>
      </w:r>
      <w:r w:rsidRPr="009746E9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3DD355C9" w14:textId="77777777" w:rsidR="00C603D6" w:rsidRDefault="00C603D6" w:rsidP="00C603D6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39D16B0B" w14:textId="77777777" w:rsidR="002F23C3" w:rsidRDefault="002F23C3" w:rsidP="00C603D6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32045A31" w14:textId="77777777" w:rsidR="002F23C3" w:rsidRDefault="002F23C3" w:rsidP="00C603D6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bookmarkStart w:id="0" w:name="_GoBack"/>
      <w:bookmarkEnd w:id="0"/>
    </w:p>
    <w:p w14:paraId="43E62D72" w14:textId="5F483FA2" w:rsidR="00C603D6" w:rsidRPr="007E247A" w:rsidRDefault="00C603D6" w:rsidP="00C603D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14/</w:t>
      </w:r>
      <w:r w:rsidR="004B1FC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C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Rôzne/</w:t>
      </w:r>
      <w:r w:rsidRPr="00C603D6">
        <w:rPr>
          <w:rFonts w:asciiTheme="majorHAnsi" w:hAnsiTheme="majorHAnsi" w:cstheme="minorHAnsi"/>
          <w:b/>
          <w:sz w:val="18"/>
          <w:szCs w:val="18"/>
          <w:u w:val="single"/>
        </w:rPr>
        <w:t>Informácia k rekonštrukcii ŠD STU v Bratislave</w:t>
      </w:r>
    </w:p>
    <w:p w14:paraId="1A81F0B1" w14:textId="77777777" w:rsidR="00C603D6" w:rsidRDefault="00C603D6" w:rsidP="00C603D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4E97C4C2" w14:textId="77777777" w:rsidR="00C603D6" w:rsidRDefault="00C603D6" w:rsidP="00C603D6">
      <w:pPr>
        <w:ind w:right="284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14:paraId="3A45F872" w14:textId="77777777" w:rsidR="00C603D6" w:rsidRPr="0049568D" w:rsidRDefault="002356EB" w:rsidP="00C603D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Kvestor v nadväznosti na stretnutie rektorov s premiérom i</w:t>
      </w:r>
      <w:r w:rsidR="00C603D6">
        <w:rPr>
          <w:rFonts w:asciiTheme="majorHAnsi" w:hAnsiTheme="majorHAnsi" w:cs="Calibri"/>
          <w:sz w:val="18"/>
          <w:szCs w:val="18"/>
        </w:rPr>
        <w:t xml:space="preserve">nformoval, že </w:t>
      </w:r>
      <w:r>
        <w:rPr>
          <w:rFonts w:asciiTheme="majorHAnsi" w:hAnsiTheme="majorHAnsi" w:cs="Calibri"/>
          <w:sz w:val="18"/>
          <w:szCs w:val="18"/>
        </w:rPr>
        <w:t xml:space="preserve">vládou SR bolo sľúbených na rekonštrukciu internátov 50 mil. EUR, z toho mala STU získať 8,6 mil. EUR. Ing. </w:t>
      </w:r>
      <w:proofErr w:type="spellStart"/>
      <w:r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oboznámil prítomných o rozdelení finančných prostriedkov na 13 akcií zabezpečujúc</w:t>
      </w:r>
      <w:r w:rsidR="00177B6C">
        <w:rPr>
          <w:rFonts w:asciiTheme="majorHAnsi" w:hAnsiTheme="majorHAnsi" w:cs="Calibri"/>
          <w:sz w:val="18"/>
          <w:szCs w:val="18"/>
        </w:rPr>
        <w:t>ich</w:t>
      </w:r>
      <w:r>
        <w:rPr>
          <w:rFonts w:asciiTheme="majorHAnsi" w:hAnsiTheme="majorHAnsi" w:cs="Calibri"/>
          <w:sz w:val="18"/>
          <w:szCs w:val="18"/>
        </w:rPr>
        <w:t xml:space="preserve"> opravy a rekonštrukcie hlavne troch ŠD, a to Mladosť, </w:t>
      </w:r>
      <w:proofErr w:type="spellStart"/>
      <w:r>
        <w:rPr>
          <w:rFonts w:asciiTheme="majorHAnsi" w:hAnsiTheme="majorHAnsi" w:cs="Calibri"/>
          <w:sz w:val="18"/>
          <w:szCs w:val="18"/>
        </w:rPr>
        <w:t>Dobrovičova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 Mladá garda. Členovia vedenia sa zaujímali aj o ŠD Miloša Uhra v Trnave, kde je potrebné riešiť požiarne schodisko. Ing. </w:t>
      </w:r>
      <w:proofErr w:type="spellStart"/>
      <w:r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informoval, že doplnenie tejto akcie je podmienené schválením MŠVVaŠ SR</w:t>
      </w:r>
      <w:r w:rsidR="00177B6C">
        <w:rPr>
          <w:rFonts w:asciiTheme="majorHAnsi" w:hAnsiTheme="majorHAnsi" w:cs="Calibri"/>
          <w:sz w:val="18"/>
          <w:szCs w:val="18"/>
        </w:rPr>
        <w:t>, materiál bude priebežne aktualizovaný.</w:t>
      </w:r>
    </w:p>
    <w:p w14:paraId="717AAFBA" w14:textId="77777777" w:rsidR="00D40E69" w:rsidRDefault="00D40E69" w:rsidP="00C603D6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4F362926" w14:textId="77777777" w:rsidR="00C603D6" w:rsidRDefault="00C603D6" w:rsidP="00C603D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14C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002EE510" w14:textId="77777777" w:rsidR="00C603D6" w:rsidRPr="009746E9" w:rsidRDefault="00C603D6" w:rsidP="00C603D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 w:rsidR="00177B6C">
        <w:rPr>
          <w:rFonts w:asciiTheme="majorHAnsi" w:hAnsiTheme="majorHAnsi"/>
          <w:sz w:val="18"/>
          <w:szCs w:val="18"/>
        </w:rPr>
        <w:t>berie na vedomie informáciu k rekonštrukcii ŠD STU v Bratislave</w:t>
      </w:r>
      <w:r>
        <w:rPr>
          <w:rFonts w:asciiTheme="majorHAnsi" w:hAnsiTheme="majorHAnsi" w:cstheme="minorHAnsi"/>
          <w:sz w:val="18"/>
          <w:szCs w:val="18"/>
        </w:rPr>
        <w:t>.</w:t>
      </w:r>
      <w:r w:rsidRPr="009746E9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07B9D080" w14:textId="77777777" w:rsidR="0049568D" w:rsidRPr="0049568D" w:rsidRDefault="00611F10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bodu Rôzne členovia vedenia prezentovali nasledovné ústne informácie:</w:t>
      </w:r>
    </w:p>
    <w:p w14:paraId="56EE48EE" w14:textId="77777777" w:rsidR="00611F10" w:rsidRDefault="00611F1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778BF04" w14:textId="77777777"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Prorektorka Vitková informovala:</w:t>
      </w:r>
    </w:p>
    <w:p w14:paraId="10450738" w14:textId="77777777" w:rsidR="00112D16" w:rsidRPr="007E2F2D" w:rsidRDefault="007E2F2D" w:rsidP="007E2F2D">
      <w:pPr>
        <w:pStyle w:val="Obyajntext"/>
        <w:numPr>
          <w:ilvl w:val="0"/>
          <w:numId w:val="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o </w:t>
      </w:r>
      <w:r w:rsidR="00611F10">
        <w:rPr>
          <w:rFonts w:asciiTheme="majorHAnsi" w:hAnsiTheme="majorHAnsi"/>
          <w:szCs w:val="18"/>
        </w:rPr>
        <w:t>záujme FEI STU uzavrie</w:t>
      </w:r>
      <w:r w:rsidR="00177B6C">
        <w:rPr>
          <w:rFonts w:asciiTheme="majorHAnsi" w:hAnsiTheme="majorHAnsi"/>
          <w:szCs w:val="18"/>
        </w:rPr>
        <w:t>ť</w:t>
      </w:r>
      <w:r w:rsidR="00611F10">
        <w:rPr>
          <w:rFonts w:asciiTheme="majorHAnsi" w:hAnsiTheme="majorHAnsi"/>
          <w:szCs w:val="18"/>
        </w:rPr>
        <w:t xml:space="preserve"> MOU s národnou technickou univerzitou</w:t>
      </w:r>
      <w:r>
        <w:rPr>
          <w:rFonts w:asciiTheme="majorHAnsi" w:hAnsiTheme="majorHAnsi"/>
          <w:szCs w:val="18"/>
        </w:rPr>
        <w:t xml:space="preserve"> </w:t>
      </w:r>
      <w:r w:rsidRPr="007E2F2D">
        <w:rPr>
          <w:rFonts w:asciiTheme="majorHAnsi" w:hAnsiTheme="majorHAnsi"/>
        </w:rPr>
        <w:t xml:space="preserve">National </w:t>
      </w:r>
      <w:proofErr w:type="spellStart"/>
      <w:r w:rsidRPr="007E2F2D">
        <w:rPr>
          <w:rFonts w:asciiTheme="majorHAnsi" w:hAnsiTheme="majorHAnsi"/>
        </w:rPr>
        <w:t>Technical</w:t>
      </w:r>
      <w:proofErr w:type="spellEnd"/>
      <w:r w:rsidRPr="007E2F2D">
        <w:rPr>
          <w:rFonts w:asciiTheme="majorHAnsi" w:hAnsiTheme="majorHAnsi"/>
        </w:rPr>
        <w:t xml:space="preserve"> </w:t>
      </w:r>
      <w:proofErr w:type="spellStart"/>
      <w:r w:rsidRPr="007E2F2D">
        <w:rPr>
          <w:rFonts w:asciiTheme="majorHAnsi" w:hAnsiTheme="majorHAnsi"/>
        </w:rPr>
        <w:t>University</w:t>
      </w:r>
      <w:proofErr w:type="spellEnd"/>
      <w:r w:rsidRPr="007E2F2D">
        <w:rPr>
          <w:rFonts w:asciiTheme="majorHAnsi" w:hAnsiTheme="majorHAnsi"/>
        </w:rPr>
        <w:t xml:space="preserve"> of </w:t>
      </w:r>
      <w:proofErr w:type="spellStart"/>
      <w:r w:rsidRPr="007E2F2D">
        <w:rPr>
          <w:rFonts w:asciiTheme="majorHAnsi" w:hAnsiTheme="majorHAnsi"/>
        </w:rPr>
        <w:t>Ukraine</w:t>
      </w:r>
      <w:proofErr w:type="spellEnd"/>
      <w:r w:rsidRPr="007E2F2D">
        <w:rPr>
          <w:rFonts w:asciiTheme="majorHAnsi" w:hAnsiTheme="majorHAnsi"/>
        </w:rPr>
        <w:t xml:space="preserve"> “Igor </w:t>
      </w:r>
      <w:proofErr w:type="spellStart"/>
      <w:r w:rsidRPr="007E2F2D">
        <w:rPr>
          <w:rFonts w:asciiTheme="majorHAnsi" w:hAnsiTheme="majorHAnsi"/>
        </w:rPr>
        <w:t>Sikorsky</w:t>
      </w:r>
      <w:proofErr w:type="spellEnd"/>
      <w:r w:rsidRPr="007E2F2D">
        <w:rPr>
          <w:rFonts w:asciiTheme="majorHAnsi" w:hAnsiTheme="majorHAnsi"/>
        </w:rPr>
        <w:t xml:space="preserve"> </w:t>
      </w:r>
      <w:proofErr w:type="spellStart"/>
      <w:r w:rsidRPr="007E2F2D">
        <w:rPr>
          <w:rFonts w:asciiTheme="majorHAnsi" w:hAnsiTheme="majorHAnsi"/>
        </w:rPr>
        <w:t>Kyiv</w:t>
      </w:r>
      <w:proofErr w:type="spellEnd"/>
      <w:r w:rsidRPr="007E2F2D">
        <w:rPr>
          <w:rFonts w:asciiTheme="majorHAnsi" w:hAnsiTheme="majorHAnsi"/>
        </w:rPr>
        <w:t xml:space="preserve"> </w:t>
      </w:r>
      <w:proofErr w:type="spellStart"/>
      <w:r w:rsidRPr="007E2F2D">
        <w:rPr>
          <w:rFonts w:asciiTheme="majorHAnsi" w:hAnsiTheme="majorHAnsi"/>
        </w:rPr>
        <w:t>Polytechnic</w:t>
      </w:r>
      <w:proofErr w:type="spellEnd"/>
      <w:r w:rsidRPr="007E2F2D">
        <w:rPr>
          <w:rFonts w:asciiTheme="majorHAnsi" w:hAnsiTheme="majorHAnsi"/>
        </w:rPr>
        <w:t xml:space="preserve"> </w:t>
      </w:r>
      <w:proofErr w:type="spellStart"/>
      <w:r w:rsidRPr="007E2F2D">
        <w:rPr>
          <w:rFonts w:asciiTheme="majorHAnsi" w:hAnsiTheme="majorHAnsi"/>
        </w:rPr>
        <w:t>Institute</w:t>
      </w:r>
      <w:proofErr w:type="spellEnd"/>
      <w:r w:rsidRPr="007E2F2D">
        <w:rPr>
          <w:rFonts w:asciiTheme="majorHAnsi" w:hAnsiTheme="majorHAnsi"/>
        </w:rPr>
        <w:t xml:space="preserve">”, </w:t>
      </w:r>
      <w:proofErr w:type="spellStart"/>
      <w:r w:rsidRPr="007E2F2D">
        <w:rPr>
          <w:rFonts w:asciiTheme="majorHAnsi" w:hAnsiTheme="majorHAnsi"/>
        </w:rPr>
        <w:t>Faculty</w:t>
      </w:r>
      <w:proofErr w:type="spellEnd"/>
      <w:r w:rsidRPr="007E2F2D">
        <w:rPr>
          <w:rFonts w:asciiTheme="majorHAnsi" w:hAnsiTheme="majorHAnsi"/>
        </w:rPr>
        <w:t xml:space="preserve"> of </w:t>
      </w:r>
      <w:proofErr w:type="spellStart"/>
      <w:r w:rsidRPr="007E2F2D">
        <w:rPr>
          <w:rFonts w:asciiTheme="majorHAnsi" w:hAnsiTheme="majorHAnsi"/>
        </w:rPr>
        <w:t>Applied</w:t>
      </w:r>
      <w:proofErr w:type="spellEnd"/>
      <w:r w:rsidRPr="007E2F2D">
        <w:rPr>
          <w:rFonts w:asciiTheme="majorHAnsi" w:hAnsiTheme="majorHAnsi"/>
        </w:rPr>
        <w:t xml:space="preserve"> </w:t>
      </w:r>
      <w:proofErr w:type="spellStart"/>
      <w:r w:rsidRPr="007E2F2D">
        <w:rPr>
          <w:rFonts w:asciiTheme="majorHAnsi" w:hAnsiTheme="majorHAnsi"/>
        </w:rPr>
        <w:t>Mathematics</w:t>
      </w:r>
      <w:proofErr w:type="spellEnd"/>
      <w:r w:rsidR="00611F10" w:rsidRPr="007E2F2D">
        <w:rPr>
          <w:rFonts w:asciiTheme="majorHAnsi" w:hAnsiTheme="majorHAnsi"/>
          <w:szCs w:val="18"/>
        </w:rPr>
        <w:t xml:space="preserve"> z úrovne STU</w:t>
      </w:r>
      <w:r w:rsidR="00112D16" w:rsidRPr="007E2F2D">
        <w:rPr>
          <w:rFonts w:asciiTheme="majorHAnsi" w:hAnsiTheme="majorHAnsi"/>
          <w:szCs w:val="18"/>
        </w:rPr>
        <w:t xml:space="preserve"> </w:t>
      </w:r>
    </w:p>
    <w:p w14:paraId="4A8272BC" w14:textId="77777777" w:rsidR="00112D16" w:rsidRDefault="00611F10" w:rsidP="00112D1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príprave publikácie „Profesori STU“, otvorila diskusiu, či je potrebné zvýšiť náklad pre prípadné propagačné účely STU</w:t>
      </w:r>
    </w:p>
    <w:p w14:paraId="6F94A51D" w14:textId="77777777" w:rsidR="00611F10" w:rsidRPr="00F1659B" w:rsidRDefault="00611F10" w:rsidP="00611F10">
      <w:pPr>
        <w:pStyle w:val="Odsekzoznamu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prítomní vyjadrili názor, že publikácia by mala byť pr</w:t>
      </w:r>
      <w:r w:rsidR="00177B6C">
        <w:rPr>
          <w:rFonts w:asciiTheme="majorHAnsi" w:hAnsiTheme="majorHAnsi"/>
          <w:sz w:val="18"/>
          <w:szCs w:val="18"/>
        </w:rPr>
        <w:t>opagovaná</w:t>
      </w:r>
      <w:r>
        <w:rPr>
          <w:rFonts w:asciiTheme="majorHAnsi" w:hAnsiTheme="majorHAnsi"/>
          <w:sz w:val="18"/>
          <w:szCs w:val="18"/>
        </w:rPr>
        <w:t xml:space="preserve"> vo väčšej miere na interné účely</w:t>
      </w:r>
    </w:p>
    <w:p w14:paraId="0B5641D5" w14:textId="77777777" w:rsidR="009D5F00" w:rsidRDefault="00611F1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probléme </w:t>
      </w:r>
      <w:r w:rsidR="00177B6C">
        <w:rPr>
          <w:rFonts w:asciiTheme="majorHAnsi" w:hAnsiTheme="majorHAnsi"/>
          <w:sz w:val="18"/>
          <w:szCs w:val="18"/>
        </w:rPr>
        <w:t>úhrady</w:t>
      </w:r>
      <w:r>
        <w:rPr>
          <w:rFonts w:asciiTheme="majorHAnsi" w:hAnsiTheme="majorHAnsi"/>
          <w:sz w:val="18"/>
          <w:szCs w:val="18"/>
        </w:rPr>
        <w:t xml:space="preserve"> skr</w:t>
      </w:r>
      <w:r w:rsidR="00177B6C">
        <w:rPr>
          <w:rFonts w:asciiTheme="majorHAnsi" w:hAnsiTheme="majorHAnsi"/>
          <w:sz w:val="18"/>
          <w:szCs w:val="18"/>
        </w:rPr>
        <w:t>ípt</w:t>
      </w:r>
      <w:r>
        <w:rPr>
          <w:rFonts w:asciiTheme="majorHAnsi" w:hAnsiTheme="majorHAnsi"/>
          <w:sz w:val="18"/>
          <w:szCs w:val="18"/>
        </w:rPr>
        <w:t xml:space="preserve"> študentmi v knižniciach STU </w:t>
      </w:r>
    </w:p>
    <w:p w14:paraId="1905CCC6" w14:textId="77777777" w:rsidR="004C3E2A" w:rsidRDefault="00611F1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že portrét bývalého rektora, prof. </w:t>
      </w:r>
      <w:proofErr w:type="spellStart"/>
      <w:r>
        <w:rPr>
          <w:rFonts w:asciiTheme="majorHAnsi" w:hAnsiTheme="majorHAnsi"/>
          <w:sz w:val="18"/>
          <w:szCs w:val="18"/>
        </w:rPr>
        <w:t>Redhammera</w:t>
      </w:r>
      <w:proofErr w:type="spellEnd"/>
      <w:r>
        <w:rPr>
          <w:rFonts w:asciiTheme="majorHAnsi" w:hAnsiTheme="majorHAnsi"/>
          <w:sz w:val="18"/>
          <w:szCs w:val="18"/>
        </w:rPr>
        <w:t>, bude v blízkej dobe doplnený na „stenu“</w:t>
      </w:r>
      <w:r w:rsidR="00646BC6">
        <w:rPr>
          <w:rFonts w:asciiTheme="majorHAnsi" w:hAnsiTheme="majorHAnsi"/>
          <w:sz w:val="18"/>
          <w:szCs w:val="18"/>
        </w:rPr>
        <w:t xml:space="preserve"> rektorov, ktorá sa nachádza vo veľkej zasadacej sieni</w:t>
      </w:r>
    </w:p>
    <w:p w14:paraId="2908EB2C" w14:textId="77777777"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5CF280C" w14:textId="77777777" w:rsidR="00646BC6" w:rsidRDefault="00646BC6" w:rsidP="00646BC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Kvestor </w:t>
      </w:r>
      <w:r w:rsidR="004C3E2A" w:rsidRPr="00AA5C6B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>, že:</w:t>
      </w:r>
    </w:p>
    <w:p w14:paraId="3992FB9D" w14:textId="77777777" w:rsidR="000861F7" w:rsidRPr="00646BC6" w:rsidRDefault="00646BC6" w:rsidP="00646BC6">
      <w:pPr>
        <w:pStyle w:val="Odsekzoznamu"/>
        <w:numPr>
          <w:ilvl w:val="0"/>
          <w:numId w:val="2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46BC6">
        <w:rPr>
          <w:rFonts w:asciiTheme="majorHAnsi" w:hAnsiTheme="majorHAnsi"/>
          <w:sz w:val="18"/>
          <w:szCs w:val="18"/>
        </w:rPr>
        <w:t>všetci prorektori už majú k dispozícii vlastný rozpočet, s ktorým budú hospodáriť</w:t>
      </w:r>
    </w:p>
    <w:p w14:paraId="3C429CC4" w14:textId="77777777" w:rsidR="00646BC6" w:rsidRDefault="00646BC6" w:rsidP="00AA5C6B">
      <w:pPr>
        <w:pStyle w:val="Odsekzoznamu"/>
        <w:numPr>
          <w:ilvl w:val="0"/>
          <w:numId w:val="18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Nadácia pre rozvoj talentov STU má nové zloženie</w:t>
      </w:r>
    </w:p>
    <w:p w14:paraId="08C93CDE" w14:textId="77777777" w:rsidR="00646BC6" w:rsidRPr="00AA5C6B" w:rsidRDefault="00646BC6" w:rsidP="00AA5C6B">
      <w:pPr>
        <w:pStyle w:val="Odsekzoznamu"/>
        <w:numPr>
          <w:ilvl w:val="0"/>
          <w:numId w:val="18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začal zostavovať rozpočet na základe podkladov z fakúlt, momentálne hospodárime z prebytkom cca 495 tis. EUR</w:t>
      </w:r>
    </w:p>
    <w:p w14:paraId="650AF024" w14:textId="77777777" w:rsidR="00646BC6" w:rsidRDefault="00646BC6" w:rsidP="00043ED8">
      <w:pPr>
        <w:pStyle w:val="Odsekzoznamu"/>
        <w:numPr>
          <w:ilvl w:val="1"/>
          <w:numId w:val="18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46BC6">
        <w:rPr>
          <w:rFonts w:asciiTheme="majorHAnsi" w:hAnsiTheme="majorHAnsi"/>
          <w:sz w:val="18"/>
          <w:szCs w:val="18"/>
        </w:rPr>
        <w:t>v súvislosti s</w:t>
      </w:r>
      <w:r w:rsidR="000D6191">
        <w:rPr>
          <w:rFonts w:asciiTheme="majorHAnsi" w:hAnsiTheme="majorHAnsi"/>
          <w:sz w:val="18"/>
          <w:szCs w:val="18"/>
        </w:rPr>
        <w:t xml:space="preserve">o </w:t>
      </w:r>
      <w:r w:rsidRPr="00646BC6">
        <w:rPr>
          <w:rFonts w:asciiTheme="majorHAnsi" w:hAnsiTheme="majorHAnsi"/>
          <w:sz w:val="18"/>
          <w:szCs w:val="18"/>
        </w:rPr>
        <w:t>mzd</w:t>
      </w:r>
      <w:r w:rsidR="000D6191">
        <w:rPr>
          <w:rFonts w:asciiTheme="majorHAnsi" w:hAnsiTheme="majorHAnsi"/>
          <w:sz w:val="18"/>
          <w:szCs w:val="18"/>
        </w:rPr>
        <w:t>ami</w:t>
      </w:r>
      <w:r w:rsidRPr="00646BC6">
        <w:rPr>
          <w:rFonts w:asciiTheme="majorHAnsi" w:hAnsiTheme="majorHAnsi"/>
          <w:sz w:val="18"/>
          <w:szCs w:val="18"/>
        </w:rPr>
        <w:t xml:space="preserve"> rektor </w:t>
      </w:r>
      <w:r w:rsidR="00043ED8" w:rsidRPr="00646BC6">
        <w:rPr>
          <w:rFonts w:asciiTheme="majorHAnsi" w:hAnsiTheme="majorHAnsi"/>
          <w:sz w:val="18"/>
          <w:szCs w:val="18"/>
        </w:rPr>
        <w:t>informoval</w:t>
      </w:r>
      <w:r w:rsidRPr="00646BC6">
        <w:rPr>
          <w:rFonts w:asciiTheme="majorHAnsi" w:hAnsiTheme="majorHAnsi"/>
          <w:sz w:val="18"/>
          <w:szCs w:val="18"/>
        </w:rPr>
        <w:t xml:space="preserve">, že sa uskutoční </w:t>
      </w:r>
      <w:r>
        <w:rPr>
          <w:rFonts w:asciiTheme="majorHAnsi" w:hAnsiTheme="majorHAnsi"/>
          <w:sz w:val="18"/>
          <w:szCs w:val="18"/>
        </w:rPr>
        <w:t xml:space="preserve">úvodné </w:t>
      </w:r>
      <w:r w:rsidRPr="00646BC6">
        <w:rPr>
          <w:rFonts w:asciiTheme="majorHAnsi" w:hAnsiTheme="majorHAnsi"/>
          <w:sz w:val="18"/>
          <w:szCs w:val="18"/>
        </w:rPr>
        <w:t>rokovanie k</w:t>
      </w:r>
      <w:r>
        <w:rPr>
          <w:rFonts w:asciiTheme="majorHAnsi" w:hAnsiTheme="majorHAnsi"/>
          <w:sz w:val="18"/>
          <w:szCs w:val="18"/>
        </w:rPr>
        <w:t> personálne</w:t>
      </w:r>
      <w:r w:rsidR="000D6191">
        <w:rPr>
          <w:rFonts w:asciiTheme="majorHAnsi" w:hAnsiTheme="majorHAnsi"/>
          <w:sz w:val="18"/>
          <w:szCs w:val="18"/>
        </w:rPr>
        <w:t>mu</w:t>
      </w:r>
      <w:r w:rsidRPr="00646BC6">
        <w:rPr>
          <w:rFonts w:asciiTheme="majorHAnsi" w:hAnsiTheme="majorHAnsi"/>
          <w:sz w:val="18"/>
          <w:szCs w:val="18"/>
        </w:rPr>
        <w:t xml:space="preserve"> auditu</w:t>
      </w:r>
      <w:r>
        <w:rPr>
          <w:rFonts w:asciiTheme="majorHAnsi" w:hAnsiTheme="majorHAnsi"/>
          <w:sz w:val="18"/>
          <w:szCs w:val="18"/>
        </w:rPr>
        <w:t xml:space="preserve"> na R STU</w:t>
      </w:r>
    </w:p>
    <w:p w14:paraId="121FD38A" w14:textId="77777777" w:rsidR="00043ED8" w:rsidRDefault="00043ED8" w:rsidP="00646BC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5CAE78E9" w14:textId="77777777" w:rsidR="004825DE" w:rsidRDefault="000D6191" w:rsidP="004825D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>
        <w:rPr>
          <w:rFonts w:asciiTheme="majorHAnsi" w:hAnsiTheme="majorHAnsi"/>
          <w:sz w:val="18"/>
          <w:szCs w:val="18"/>
        </w:rPr>
        <w:t xml:space="preserve"> informovala</w:t>
      </w:r>
      <w:r w:rsidR="004825DE">
        <w:rPr>
          <w:rFonts w:asciiTheme="majorHAnsi" w:hAnsiTheme="majorHAnsi"/>
          <w:sz w:val="18"/>
          <w:szCs w:val="18"/>
        </w:rPr>
        <w:t>:</w:t>
      </w:r>
    </w:p>
    <w:p w14:paraId="73946134" w14:textId="77777777" w:rsidR="004825DE" w:rsidRDefault="000D6191" w:rsidP="004825DE">
      <w:pPr>
        <w:pStyle w:val="Odsekzoznamu"/>
        <w:numPr>
          <w:ilvl w:val="0"/>
          <w:numId w:val="2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825DE">
        <w:rPr>
          <w:rFonts w:asciiTheme="majorHAnsi" w:hAnsiTheme="majorHAnsi"/>
          <w:sz w:val="18"/>
          <w:szCs w:val="18"/>
        </w:rPr>
        <w:t xml:space="preserve">že sa zúčastnila otvorenia zrekonštruovanej rysovne na ŠD N. </w:t>
      </w:r>
      <w:proofErr w:type="spellStart"/>
      <w:r w:rsidRPr="004825DE">
        <w:rPr>
          <w:rFonts w:asciiTheme="majorHAnsi" w:hAnsiTheme="majorHAnsi"/>
          <w:sz w:val="18"/>
          <w:szCs w:val="18"/>
        </w:rPr>
        <w:t>Belojanisa</w:t>
      </w:r>
      <w:proofErr w:type="spellEnd"/>
    </w:p>
    <w:p w14:paraId="15558C08" w14:textId="77777777" w:rsidR="004825DE" w:rsidRDefault="004825DE" w:rsidP="004825DE">
      <w:pPr>
        <w:pStyle w:val="Odsekzoznamu"/>
        <w:numPr>
          <w:ilvl w:val="1"/>
          <w:numId w:val="2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študenti sa zaujímali o historické fotografie budovy, tie by mal mať k dispozícii Archív STU</w:t>
      </w:r>
    </w:p>
    <w:p w14:paraId="1FE2DD96" w14:textId="77777777" w:rsidR="000861F7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16A8151" w14:textId="77777777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Szolgay</w:t>
      </w:r>
      <w:r w:rsidR="0056137A">
        <w:rPr>
          <w:rFonts w:asciiTheme="majorHAnsi" w:hAnsiTheme="majorHAnsi"/>
          <w:sz w:val="18"/>
          <w:szCs w:val="18"/>
        </w:rPr>
        <w:t>:</w:t>
      </w:r>
    </w:p>
    <w:p w14:paraId="38069257" w14:textId="77777777" w:rsidR="004825DE" w:rsidRDefault="0056137A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  <w:r w:rsidR="000959B9">
        <w:rPr>
          <w:rFonts w:asciiTheme="majorHAnsi" w:hAnsiTheme="majorHAnsi"/>
          <w:sz w:val="18"/>
          <w:szCs w:val="18"/>
        </w:rPr>
        <w:t>o</w:t>
      </w:r>
      <w:r w:rsidR="004825DE">
        <w:rPr>
          <w:rFonts w:asciiTheme="majorHAnsi" w:hAnsiTheme="majorHAnsi"/>
          <w:sz w:val="18"/>
          <w:szCs w:val="18"/>
        </w:rPr>
        <w:t xml:space="preserve"> možnostiach uskutočnenia ceremónie </w:t>
      </w:r>
      <w:proofErr w:type="spellStart"/>
      <w:r w:rsidR="004825DE">
        <w:rPr>
          <w:rFonts w:asciiTheme="majorHAnsi" w:hAnsiTheme="majorHAnsi"/>
          <w:sz w:val="18"/>
          <w:szCs w:val="18"/>
        </w:rPr>
        <w:t>Dr.h.c</w:t>
      </w:r>
      <w:proofErr w:type="spellEnd"/>
      <w:r w:rsidR="004825DE">
        <w:rPr>
          <w:rFonts w:asciiTheme="majorHAnsi" w:hAnsiTheme="majorHAnsi"/>
          <w:sz w:val="18"/>
          <w:szCs w:val="18"/>
        </w:rPr>
        <w:t>.</w:t>
      </w:r>
    </w:p>
    <w:p w14:paraId="649E295F" w14:textId="77777777" w:rsidR="004825DE" w:rsidRDefault="004825DE" w:rsidP="004825DE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prítomní sa zhodli, že akademickú slávnosť je najvhodnejšie spojiť s otvorením akademického roka 2019/2020</w:t>
      </w:r>
    </w:p>
    <w:p w14:paraId="7BAF70F3" w14:textId="77777777" w:rsidR="00151218" w:rsidRDefault="004825DE" w:rsidP="004825DE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tejto súvislosti sa rektor zaujímal o možnosť </w:t>
      </w:r>
      <w:r w:rsidR="00D40E69">
        <w:rPr>
          <w:rFonts w:asciiTheme="majorHAnsi" w:hAnsiTheme="majorHAnsi"/>
          <w:sz w:val="18"/>
          <w:szCs w:val="18"/>
        </w:rPr>
        <w:t>realizovať</w:t>
      </w:r>
      <w:r>
        <w:rPr>
          <w:rFonts w:asciiTheme="majorHAnsi" w:hAnsiTheme="majorHAnsi"/>
          <w:sz w:val="18"/>
          <w:szCs w:val="18"/>
        </w:rPr>
        <w:t xml:space="preserve"> </w:t>
      </w:r>
      <w:r w:rsidR="00D40E69">
        <w:rPr>
          <w:rFonts w:asciiTheme="majorHAnsi" w:hAnsiTheme="majorHAnsi"/>
          <w:sz w:val="18"/>
          <w:szCs w:val="18"/>
        </w:rPr>
        <w:t xml:space="preserve">aspoň časť </w:t>
      </w:r>
      <w:r>
        <w:rPr>
          <w:rFonts w:asciiTheme="majorHAnsi" w:hAnsiTheme="majorHAnsi"/>
          <w:sz w:val="18"/>
          <w:szCs w:val="18"/>
        </w:rPr>
        <w:t>slávnos</w:t>
      </w:r>
      <w:r w:rsidR="00D40E69">
        <w:rPr>
          <w:rFonts w:asciiTheme="majorHAnsi" w:hAnsiTheme="majorHAnsi"/>
          <w:sz w:val="18"/>
          <w:szCs w:val="18"/>
        </w:rPr>
        <w:t>ti</w:t>
      </w:r>
      <w:r>
        <w:rPr>
          <w:rFonts w:asciiTheme="majorHAnsi" w:hAnsiTheme="majorHAnsi"/>
          <w:sz w:val="18"/>
          <w:szCs w:val="18"/>
        </w:rPr>
        <w:t xml:space="preserve"> v AJ  </w:t>
      </w:r>
    </w:p>
    <w:p w14:paraId="56222695" w14:textId="77777777" w:rsidR="000959B9" w:rsidRDefault="004825DE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dal podnet na vytvorenie etickej komisie STU, ktorá by sa zaoberala inými ako pracovno-právnymi vzťahmi</w:t>
      </w:r>
    </w:p>
    <w:p w14:paraId="2C40A30A" w14:textId="77777777" w:rsidR="004825DE" w:rsidRDefault="004825DE" w:rsidP="004825DE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 informoval, že STU má etický kódex, ale to nie je v niektorých prípadoch postačujúce</w:t>
      </w:r>
    </w:p>
    <w:p w14:paraId="4FECED3D" w14:textId="77777777" w:rsidR="004825DE" w:rsidRDefault="004825DE" w:rsidP="004825DE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keďže uvedená problematika je blízka časti agendy prorektora </w:t>
      </w:r>
      <w:proofErr w:type="spellStart"/>
      <w:r>
        <w:rPr>
          <w:rFonts w:asciiTheme="majorHAnsi" w:hAnsiTheme="majorHAnsi"/>
          <w:sz w:val="18"/>
          <w:szCs w:val="18"/>
        </w:rPr>
        <w:t>Uhereka</w:t>
      </w:r>
      <w:proofErr w:type="spellEnd"/>
      <w:r>
        <w:rPr>
          <w:rFonts w:asciiTheme="majorHAnsi" w:hAnsiTheme="majorHAnsi"/>
          <w:sz w:val="18"/>
          <w:szCs w:val="18"/>
        </w:rPr>
        <w:t xml:space="preserve">, členovia vedenia rozhodli, </w:t>
      </w:r>
      <w:r w:rsidR="0056137A">
        <w:rPr>
          <w:rFonts w:asciiTheme="majorHAnsi" w:hAnsiTheme="majorHAnsi"/>
          <w:sz w:val="18"/>
          <w:szCs w:val="18"/>
        </w:rPr>
        <w:t>že</w:t>
      </w:r>
      <w:r>
        <w:rPr>
          <w:rFonts w:asciiTheme="majorHAnsi" w:hAnsiTheme="majorHAnsi"/>
          <w:sz w:val="18"/>
          <w:szCs w:val="18"/>
        </w:rPr>
        <w:t xml:space="preserve">by sa touto témou </w:t>
      </w:r>
      <w:r w:rsidR="0056137A">
        <w:rPr>
          <w:rFonts w:asciiTheme="majorHAnsi" w:hAnsiTheme="majorHAnsi"/>
          <w:sz w:val="18"/>
          <w:szCs w:val="18"/>
        </w:rPr>
        <w:t xml:space="preserve">mal zaoberať </w:t>
      </w:r>
      <w:r w:rsidR="00D40E69">
        <w:rPr>
          <w:rFonts w:asciiTheme="majorHAnsi" w:hAnsiTheme="majorHAnsi"/>
          <w:sz w:val="18"/>
          <w:szCs w:val="18"/>
        </w:rPr>
        <w:t>a navrhnúť riešenie</w:t>
      </w:r>
    </w:p>
    <w:p w14:paraId="0DE17FBE" w14:textId="77777777" w:rsidR="0056137A" w:rsidRPr="0056137A" w:rsidRDefault="0056137A" w:rsidP="0056137A">
      <w:pPr>
        <w:pStyle w:val="Odsekzoznamu"/>
        <w:numPr>
          <w:ilvl w:val="0"/>
          <w:numId w:val="2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v nadväznosti na ukončenie projektov mladých by rád uskutočnil v jeseni seminár </w:t>
      </w:r>
    </w:p>
    <w:p w14:paraId="27357532" w14:textId="77777777" w:rsidR="00151218" w:rsidRPr="00D677A1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6F9A3FA" w14:textId="77777777" w:rsidR="00491C1D" w:rsidRDefault="00E45A85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rokovania rektor poďakoval </w:t>
      </w:r>
      <w:r w:rsidR="00181A02">
        <w:rPr>
          <w:rFonts w:ascii="Cambria" w:hAnsi="Cambria" w:cs="Arial"/>
          <w:sz w:val="18"/>
          <w:szCs w:val="18"/>
        </w:rPr>
        <w:t xml:space="preserve">členom vedenia </w:t>
      </w:r>
      <w:r>
        <w:rPr>
          <w:rFonts w:ascii="Cambria" w:hAnsi="Cambria" w:cs="Arial"/>
          <w:sz w:val="18"/>
          <w:szCs w:val="18"/>
        </w:rPr>
        <w:t xml:space="preserve">za </w:t>
      </w:r>
      <w:r w:rsidR="00D677A1">
        <w:rPr>
          <w:rFonts w:ascii="Cambria" w:hAnsi="Cambria" w:cs="Arial"/>
          <w:sz w:val="18"/>
          <w:szCs w:val="18"/>
        </w:rPr>
        <w:t>aktívnu účasť a predložené materiály</w:t>
      </w:r>
      <w:r>
        <w:rPr>
          <w:rFonts w:ascii="Cambria" w:hAnsi="Cambria" w:cs="Arial"/>
          <w:sz w:val="18"/>
          <w:szCs w:val="18"/>
        </w:rPr>
        <w:t>.</w:t>
      </w:r>
    </w:p>
    <w:p w14:paraId="07F023C8" w14:textId="77777777"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BDB5498" w14:textId="77777777" w:rsidR="00E45A85" w:rsidRDefault="00E45A85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41E8135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14:paraId="2916C19D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3047"/>
      </w:tblGrid>
      <w:tr w:rsidR="00C2297A" w14:paraId="1CC4658B" w14:textId="77777777" w:rsidTr="00E45A8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BD17AEE" w14:textId="77777777" w:rsidR="00C2297A" w:rsidRDefault="00C2297A" w:rsidP="00C229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1D318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05.06.2019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DCE3D" w14:textId="77777777" w:rsidR="00C2297A" w:rsidRPr="00E45A85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A2723" w14:textId="77777777" w:rsidR="00C2297A" w:rsidRPr="00E45A85" w:rsidRDefault="00C2297A" w:rsidP="00C229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69460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77A1" w14:paraId="76402AF0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7F57B8" w14:textId="77777777" w:rsidR="00D677A1" w:rsidRDefault="00D677A1" w:rsidP="00D677A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510CE7" w14:textId="77777777" w:rsidR="00D677A1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D677A1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D677A1">
              <w:rPr>
                <w:rFonts w:asciiTheme="majorHAnsi" w:hAnsiTheme="majorHAnsi"/>
                <w:sz w:val="18"/>
                <w:szCs w:val="18"/>
              </w:rPr>
              <w:t>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F25DD" w14:textId="77777777" w:rsidR="00D677A1" w:rsidRPr="00E45A85" w:rsidRDefault="00C2297A" w:rsidP="00D677A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</w:t>
            </w:r>
            <w:r w:rsidR="00D677A1"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EBEA" w14:textId="77777777" w:rsidR="00D677A1" w:rsidRPr="00E45A85" w:rsidRDefault="00D677A1" w:rsidP="00D677A1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38AF4" w14:textId="77777777"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297A" w14:paraId="1CB8FE09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ABBD8F" w14:textId="77777777" w:rsidR="00C2297A" w:rsidRDefault="00C2297A" w:rsidP="00C229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FE132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558FD" w14:textId="77777777" w:rsidR="00C2297A" w:rsidRPr="00E45A85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57ED9" w14:textId="77777777" w:rsidR="00C2297A" w:rsidRPr="00E45A85" w:rsidRDefault="00C2297A" w:rsidP="00C229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BA33E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297A" w14:paraId="4C4CC118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4FCBC1" w14:textId="77777777" w:rsidR="00C2297A" w:rsidRDefault="00C2297A" w:rsidP="00C229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19A26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C8564" w14:textId="77777777" w:rsidR="00C2297A" w:rsidRPr="00E45A85" w:rsidRDefault="00C2297A" w:rsidP="00C2297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4583E" w14:textId="77777777" w:rsidR="00C2297A" w:rsidRPr="00E45A85" w:rsidRDefault="00C2297A" w:rsidP="00C2297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C6B09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297A" w14:paraId="67365A07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82A365" w14:textId="77777777" w:rsidR="00C2297A" w:rsidRDefault="00C2297A" w:rsidP="00C229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7DC4AD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618E7" w14:textId="77777777" w:rsidR="00C2297A" w:rsidRPr="00C2297A" w:rsidRDefault="00C2297A" w:rsidP="00C2297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C2297A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5A55A" w14:textId="77777777" w:rsidR="00C2297A" w:rsidRPr="00C2297A" w:rsidRDefault="00C2297A" w:rsidP="00C2297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C2297A">
              <w:rPr>
                <w:rFonts w:ascii="Cambria" w:hAnsi="Cambria"/>
                <w:color w:val="008000"/>
                <w:sz w:val="18"/>
                <w:szCs w:val="18"/>
              </w:rPr>
              <w:t>10:00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ADE51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9:00 menovanie docentov</w:t>
            </w:r>
          </w:p>
        </w:tc>
      </w:tr>
      <w:tr w:rsidR="00C2297A" w14:paraId="7DA87CC1" w14:textId="77777777" w:rsidTr="00D677A1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F2021" w14:textId="77777777" w:rsidR="00C2297A" w:rsidRDefault="00C2297A" w:rsidP="00C229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Júl</w:t>
            </w: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C512C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03.07.2019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9E07C" w14:textId="77777777" w:rsidR="00C2297A" w:rsidRPr="00E45A85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DCBCA" w14:textId="77777777" w:rsidR="00C2297A" w:rsidRPr="00E45A85" w:rsidRDefault="00C2297A" w:rsidP="00C229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1F136" w14:textId="77777777" w:rsidR="00C2297A" w:rsidRDefault="00C2297A" w:rsidP="00C229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199465" w14:textId="77777777"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A123B1" w14:textId="77777777" w:rsidR="001A5E9D" w:rsidRDefault="001A5E9D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3E7DC4" w14:textId="77777777"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56137A">
        <w:rPr>
          <w:rFonts w:ascii="Cambria" w:hAnsi="Cambria" w:cs="Arial"/>
          <w:sz w:val="18"/>
          <w:szCs w:val="18"/>
        </w:rPr>
        <w:t>31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D677A1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56137A">
        <w:rPr>
          <w:rFonts w:ascii="Cambria" w:hAnsi="Cambria" w:cs="Arial"/>
          <w:sz w:val="18"/>
          <w:szCs w:val="18"/>
        </w:rPr>
        <w:t>03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56137A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14:paraId="4C4CEA3D" w14:textId="77777777"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14:paraId="50895670" w14:textId="77777777" w:rsidR="00E45A85" w:rsidRDefault="00E45A85" w:rsidP="00E45A85"/>
    <w:p w14:paraId="03ADE01B" w14:textId="77777777" w:rsidR="001A5E9D" w:rsidRPr="00BD57DF" w:rsidRDefault="00E45A85" w:rsidP="0056137A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 xml:space="preserve">prof. Ing. Miroslav </w:t>
      </w:r>
      <w:proofErr w:type="spellStart"/>
      <w:r w:rsidR="001A5E9D" w:rsidRPr="00BD57DF">
        <w:rPr>
          <w:rFonts w:ascii="Cambria" w:hAnsi="Cambria" w:cs="Arial"/>
          <w:sz w:val="18"/>
          <w:szCs w:val="18"/>
        </w:rPr>
        <w:t>Fikar</w:t>
      </w:r>
      <w:proofErr w:type="spellEnd"/>
      <w:r w:rsidR="001A5E9D" w:rsidRPr="00BD57DF">
        <w:rPr>
          <w:rFonts w:ascii="Cambria" w:hAnsi="Cambria" w:cs="Arial"/>
          <w:sz w:val="18"/>
          <w:szCs w:val="18"/>
        </w:rPr>
        <w:t xml:space="preserve">, DrSc.      </w:t>
      </w:r>
      <w:r w:rsidR="001A5E9D">
        <w:rPr>
          <w:rFonts w:ascii="Cambria" w:hAnsi="Cambria" w:cs="Arial"/>
          <w:sz w:val="18"/>
          <w:szCs w:val="18"/>
        </w:rPr>
        <w:tab/>
        <w:t xml:space="preserve">          </w:t>
      </w:r>
      <w:r w:rsidR="001A5E9D"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>________________________________</w:t>
      </w:r>
    </w:p>
    <w:p w14:paraId="38C1F859" w14:textId="77777777" w:rsidR="001A5E9D" w:rsidRPr="00E45A85" w:rsidRDefault="001A5E9D" w:rsidP="00E45A85"/>
    <w:sectPr w:rsidR="001A5E9D" w:rsidRPr="00E45A85" w:rsidSect="00D40E69">
      <w:headerReference w:type="default" r:id="rId8"/>
      <w:footerReference w:type="default" r:id="rId9"/>
      <w:pgSz w:w="11906" w:h="16838"/>
      <w:pgMar w:top="851" w:right="567" w:bottom="567" w:left="851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0150" w14:textId="77777777" w:rsidR="00021CC1" w:rsidRDefault="00021CC1">
      <w:r>
        <w:separator/>
      </w:r>
    </w:p>
  </w:endnote>
  <w:endnote w:type="continuationSeparator" w:id="0">
    <w:p w14:paraId="77415D3D" w14:textId="77777777" w:rsidR="00021CC1" w:rsidRDefault="000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EAF4" w14:textId="77777777" w:rsidR="00781012" w:rsidRPr="00516930" w:rsidRDefault="00781012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29. 05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F23C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8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F23C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8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F7121" wp14:editId="56B3E7B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E2FB" w14:textId="77777777" w:rsidR="00781012" w:rsidRPr="0080567D" w:rsidRDefault="00781012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F23C3" w:rsidRPr="002F23C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8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F7121"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407CE2FB" w14:textId="77777777" w:rsidR="00781012" w:rsidRPr="0080567D" w:rsidRDefault="00781012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F23C3" w:rsidRPr="002F23C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8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D4F7" w14:textId="77777777" w:rsidR="00021CC1" w:rsidRDefault="00021CC1">
      <w:r>
        <w:separator/>
      </w:r>
    </w:p>
  </w:footnote>
  <w:footnote w:type="continuationSeparator" w:id="0">
    <w:p w14:paraId="5B673E0C" w14:textId="77777777" w:rsidR="00021CC1" w:rsidRDefault="00021CC1">
      <w:r>
        <w:continuationSeparator/>
      </w:r>
    </w:p>
  </w:footnote>
  <w:footnote w:id="1">
    <w:p w14:paraId="3C030141" w14:textId="77777777" w:rsidR="00781012" w:rsidRDefault="00781012" w:rsidP="004F6765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Príloha</w:t>
      </w:r>
      <w:proofErr w:type="spellEnd"/>
      <w:r>
        <w:rPr>
          <w:rFonts w:asciiTheme="majorHAnsi" w:hAnsiTheme="majorHAnsi"/>
          <w:sz w:val="16"/>
          <w:szCs w:val="16"/>
        </w:rPr>
        <w:t xml:space="preserve"> č. 1 </w:t>
      </w:r>
      <w:proofErr w:type="spellStart"/>
      <w:r>
        <w:rPr>
          <w:rFonts w:asciiTheme="majorHAnsi" w:hAnsiTheme="majorHAnsi"/>
          <w:sz w:val="16"/>
          <w:szCs w:val="16"/>
        </w:rPr>
        <w:t>Smernice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rektora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číslo</w:t>
      </w:r>
      <w:proofErr w:type="spellEnd"/>
      <w:r>
        <w:rPr>
          <w:rFonts w:asciiTheme="majorHAnsi" w:hAnsiTheme="majorHAnsi"/>
          <w:sz w:val="16"/>
          <w:szCs w:val="16"/>
        </w:rPr>
        <w:t xml:space="preserve"> 9/2013-SR „</w:t>
      </w:r>
      <w:proofErr w:type="spellStart"/>
      <w:r>
        <w:rPr>
          <w:rFonts w:asciiTheme="majorHAnsi" w:hAnsiTheme="majorHAnsi"/>
          <w:sz w:val="16"/>
          <w:szCs w:val="16"/>
        </w:rPr>
        <w:t>Nájom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nehnuteľného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majetku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vo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vlastníctve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Slovens</w:t>
      </w:r>
      <w:r>
        <w:rPr>
          <w:sz w:val="16"/>
          <w:szCs w:val="16"/>
        </w:rPr>
        <w:t>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technickej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univerzity</w:t>
      </w:r>
      <w:proofErr w:type="spellEnd"/>
    </w:p>
    <w:p w14:paraId="50B23805" w14:textId="77777777" w:rsidR="00781012" w:rsidRDefault="00781012" w:rsidP="004F6765">
      <w:pPr>
        <w:pStyle w:val="Textpoznmkypodiarou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v</w:t>
      </w:r>
      <w:proofErr w:type="gramEnd"/>
      <w:r>
        <w:rPr>
          <w:sz w:val="16"/>
          <w:szCs w:val="16"/>
        </w:rPr>
        <w:t> </w:t>
      </w:r>
      <w:proofErr w:type="spellStart"/>
      <w:r>
        <w:rPr>
          <w:sz w:val="16"/>
          <w:szCs w:val="16"/>
        </w:rPr>
        <w:t>Bratislave</w:t>
      </w:r>
      <w:proofErr w:type="spellEnd"/>
      <w:r>
        <w:rPr>
          <w:sz w:val="16"/>
          <w:szCs w:val="16"/>
        </w:rPr>
        <w:t xml:space="preserve">“  zo </w:t>
      </w:r>
      <w:proofErr w:type="spellStart"/>
      <w:r>
        <w:rPr>
          <w:sz w:val="16"/>
          <w:szCs w:val="16"/>
        </w:rPr>
        <w:t>dňa</w:t>
      </w:r>
      <w:proofErr w:type="spellEnd"/>
      <w:r>
        <w:rPr>
          <w:sz w:val="16"/>
          <w:szCs w:val="16"/>
        </w:rPr>
        <w:t xml:space="preserve">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50C6" w14:textId="77777777" w:rsidR="00781012" w:rsidRDefault="00781012" w:rsidP="00053A66">
    <w:pPr>
      <w:pStyle w:val="Hlavika"/>
      <w:ind w:hanging="709"/>
    </w:pPr>
    <w:r>
      <w:rPr>
        <w:noProof/>
      </w:rPr>
      <w:drawing>
        <wp:inline distT="0" distB="0" distL="0" distR="0" wp14:anchorId="3D84D686" wp14:editId="2C2698E4">
          <wp:extent cx="1187449" cy="437322"/>
          <wp:effectExtent l="0" t="0" r="0" b="1270"/>
          <wp:docPr id="2" name="Obrázok 2" descr="C:\Users\JEVCAK~1\AppData\Local\Temp\Rar$DRa0.548\stu\PNG\STU-z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VCAK~1\AppData\Local\Temp\Rar$DRa0.548\stu\PNG\STU-z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54" cy="4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3545798"/>
    <w:multiLevelType w:val="hybridMultilevel"/>
    <w:tmpl w:val="63D67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0F8"/>
    <w:multiLevelType w:val="hybridMultilevel"/>
    <w:tmpl w:val="1F2AD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7255"/>
    <w:multiLevelType w:val="hybridMultilevel"/>
    <w:tmpl w:val="12965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483F"/>
    <w:multiLevelType w:val="hybridMultilevel"/>
    <w:tmpl w:val="4398A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748"/>
    <w:multiLevelType w:val="hybridMultilevel"/>
    <w:tmpl w:val="987C7B9C"/>
    <w:lvl w:ilvl="0" w:tplc="41608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AB0"/>
    <w:multiLevelType w:val="hybridMultilevel"/>
    <w:tmpl w:val="EA742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5657"/>
    <w:multiLevelType w:val="hybridMultilevel"/>
    <w:tmpl w:val="2F7882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19C4E27"/>
    <w:multiLevelType w:val="hybridMultilevel"/>
    <w:tmpl w:val="0A06F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7B90"/>
    <w:multiLevelType w:val="hybridMultilevel"/>
    <w:tmpl w:val="335A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6C9D"/>
    <w:multiLevelType w:val="hybridMultilevel"/>
    <w:tmpl w:val="0DB2AC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C540B5"/>
    <w:multiLevelType w:val="hybridMultilevel"/>
    <w:tmpl w:val="37168E22"/>
    <w:lvl w:ilvl="0" w:tplc="041B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4" w15:restartNumberingAfterBreak="0">
    <w:nsid w:val="594E50AD"/>
    <w:multiLevelType w:val="hybridMultilevel"/>
    <w:tmpl w:val="D4F09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6" w15:restartNumberingAfterBreak="0">
    <w:nsid w:val="6C8E4D1E"/>
    <w:multiLevelType w:val="hybridMultilevel"/>
    <w:tmpl w:val="9DEC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53B7E"/>
    <w:multiLevelType w:val="hybridMultilevel"/>
    <w:tmpl w:val="DEC24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5BE0"/>
    <w:multiLevelType w:val="hybridMultilevel"/>
    <w:tmpl w:val="EE280D24"/>
    <w:lvl w:ilvl="0" w:tplc="94F61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4E34"/>
    <w:multiLevelType w:val="hybridMultilevel"/>
    <w:tmpl w:val="B7B08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23"/>
  </w:num>
  <w:num w:numId="5">
    <w:abstractNumId w:val="2"/>
  </w:num>
  <w:num w:numId="6">
    <w:abstractNumId w:val="16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1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  <w:num w:numId="20">
    <w:abstractNumId w:val="13"/>
  </w:num>
  <w:num w:numId="21">
    <w:abstractNumId w:val="10"/>
  </w:num>
  <w:num w:numId="22">
    <w:abstractNumId w:val="3"/>
  </w:num>
  <w:num w:numId="23">
    <w:abstractNumId w:val="12"/>
  </w:num>
  <w:num w:numId="24">
    <w:abstractNumId w:val="8"/>
  </w:num>
  <w:num w:numId="25">
    <w:abstractNumId w:val="1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1CC1"/>
    <w:rsid w:val="000232E9"/>
    <w:rsid w:val="0002390A"/>
    <w:rsid w:val="00023CB9"/>
    <w:rsid w:val="00025FA5"/>
    <w:rsid w:val="0002635E"/>
    <w:rsid w:val="0002672C"/>
    <w:rsid w:val="0002744A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A0A"/>
    <w:rsid w:val="00043D61"/>
    <w:rsid w:val="00043ED8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3A66"/>
    <w:rsid w:val="0005664B"/>
    <w:rsid w:val="00056974"/>
    <w:rsid w:val="00056C4C"/>
    <w:rsid w:val="00056D07"/>
    <w:rsid w:val="00057C42"/>
    <w:rsid w:val="00057D60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59B9"/>
    <w:rsid w:val="00095C50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1CA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191"/>
    <w:rsid w:val="000D63DE"/>
    <w:rsid w:val="000D7476"/>
    <w:rsid w:val="000D7FA1"/>
    <w:rsid w:val="000E01CE"/>
    <w:rsid w:val="000E07E2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2D16"/>
    <w:rsid w:val="00112D6D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38E5"/>
    <w:rsid w:val="00124045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887"/>
    <w:rsid w:val="00137C71"/>
    <w:rsid w:val="00137CAC"/>
    <w:rsid w:val="0014052A"/>
    <w:rsid w:val="00140CF2"/>
    <w:rsid w:val="0014200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218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4B7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B6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5E9D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063AE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6EB"/>
    <w:rsid w:val="00235E41"/>
    <w:rsid w:val="002365C6"/>
    <w:rsid w:val="002368D1"/>
    <w:rsid w:val="002369B3"/>
    <w:rsid w:val="00236AEA"/>
    <w:rsid w:val="00237E1D"/>
    <w:rsid w:val="0024027F"/>
    <w:rsid w:val="00240D98"/>
    <w:rsid w:val="00243EC9"/>
    <w:rsid w:val="002451B8"/>
    <w:rsid w:val="002463AF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722"/>
    <w:rsid w:val="002707CC"/>
    <w:rsid w:val="00270B16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2423"/>
    <w:rsid w:val="00293C87"/>
    <w:rsid w:val="00293F33"/>
    <w:rsid w:val="00295234"/>
    <w:rsid w:val="0029743E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7E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066B"/>
    <w:rsid w:val="002F15A7"/>
    <w:rsid w:val="002F1C90"/>
    <w:rsid w:val="002F23C3"/>
    <w:rsid w:val="002F2440"/>
    <w:rsid w:val="002F5CAD"/>
    <w:rsid w:val="002F6842"/>
    <w:rsid w:val="002F6FD0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4CD1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248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D66C1"/>
    <w:rsid w:val="003E1D91"/>
    <w:rsid w:val="003E286C"/>
    <w:rsid w:val="003E2EFF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1C9"/>
    <w:rsid w:val="003F3D59"/>
    <w:rsid w:val="003F46C8"/>
    <w:rsid w:val="003F4B96"/>
    <w:rsid w:val="003F4BF4"/>
    <w:rsid w:val="003F4E2B"/>
    <w:rsid w:val="003F5656"/>
    <w:rsid w:val="003F57DB"/>
    <w:rsid w:val="003F7C4F"/>
    <w:rsid w:val="004003B4"/>
    <w:rsid w:val="004008DA"/>
    <w:rsid w:val="00400B96"/>
    <w:rsid w:val="00400ED2"/>
    <w:rsid w:val="00401860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75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B9"/>
    <w:rsid w:val="00457CF0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56F5"/>
    <w:rsid w:val="0046628E"/>
    <w:rsid w:val="00467167"/>
    <w:rsid w:val="004676BC"/>
    <w:rsid w:val="004677BC"/>
    <w:rsid w:val="00467B19"/>
    <w:rsid w:val="004706E4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0F05"/>
    <w:rsid w:val="004812B9"/>
    <w:rsid w:val="004825DE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4CD"/>
    <w:rsid w:val="00492921"/>
    <w:rsid w:val="0049293B"/>
    <w:rsid w:val="00493250"/>
    <w:rsid w:val="004937CD"/>
    <w:rsid w:val="004949CF"/>
    <w:rsid w:val="00494B14"/>
    <w:rsid w:val="00495388"/>
    <w:rsid w:val="0049568D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1FC5"/>
    <w:rsid w:val="004B3AB7"/>
    <w:rsid w:val="004B46B8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3E2A"/>
    <w:rsid w:val="004C4D67"/>
    <w:rsid w:val="004C5086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389"/>
    <w:rsid w:val="004F5C63"/>
    <w:rsid w:val="004F62B9"/>
    <w:rsid w:val="004F6765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85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37A"/>
    <w:rsid w:val="00561679"/>
    <w:rsid w:val="00564D48"/>
    <w:rsid w:val="00566072"/>
    <w:rsid w:val="005666FA"/>
    <w:rsid w:val="00570217"/>
    <w:rsid w:val="00570EE0"/>
    <w:rsid w:val="00571E66"/>
    <w:rsid w:val="0057475C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3D16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02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D5A"/>
    <w:rsid w:val="005E6E49"/>
    <w:rsid w:val="005F0893"/>
    <w:rsid w:val="005F1E3E"/>
    <w:rsid w:val="005F264C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1F10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0B66"/>
    <w:rsid w:val="0063127F"/>
    <w:rsid w:val="00631A0E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549F"/>
    <w:rsid w:val="00645590"/>
    <w:rsid w:val="00646BC6"/>
    <w:rsid w:val="006477E6"/>
    <w:rsid w:val="006506ED"/>
    <w:rsid w:val="00650AB4"/>
    <w:rsid w:val="006510A6"/>
    <w:rsid w:val="006511BD"/>
    <w:rsid w:val="00651807"/>
    <w:rsid w:val="00651888"/>
    <w:rsid w:val="00652BC3"/>
    <w:rsid w:val="00653E1D"/>
    <w:rsid w:val="006541C2"/>
    <w:rsid w:val="006545BD"/>
    <w:rsid w:val="00654813"/>
    <w:rsid w:val="006553B7"/>
    <w:rsid w:val="00655DCC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2B4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4CC4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55F5"/>
    <w:rsid w:val="006C7824"/>
    <w:rsid w:val="006D00D7"/>
    <w:rsid w:val="006D0B09"/>
    <w:rsid w:val="006D0C93"/>
    <w:rsid w:val="006D143E"/>
    <w:rsid w:val="006D344D"/>
    <w:rsid w:val="006D389D"/>
    <w:rsid w:val="006D3AAD"/>
    <w:rsid w:val="006D3F4A"/>
    <w:rsid w:val="006D469D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803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1012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5AF1"/>
    <w:rsid w:val="007B62C4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2F2D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1E50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4C6"/>
    <w:rsid w:val="008458E7"/>
    <w:rsid w:val="008464EE"/>
    <w:rsid w:val="00846DEF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1C6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8F7352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4F8B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0EC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0958"/>
    <w:rsid w:val="009711C8"/>
    <w:rsid w:val="0097173E"/>
    <w:rsid w:val="0097245C"/>
    <w:rsid w:val="009725E7"/>
    <w:rsid w:val="00972688"/>
    <w:rsid w:val="009727CA"/>
    <w:rsid w:val="00972D48"/>
    <w:rsid w:val="009744D9"/>
    <w:rsid w:val="009746E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2AA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3D3D"/>
    <w:rsid w:val="009B6C43"/>
    <w:rsid w:val="009B6F62"/>
    <w:rsid w:val="009B7520"/>
    <w:rsid w:val="009C0B43"/>
    <w:rsid w:val="009C0CD9"/>
    <w:rsid w:val="009C266A"/>
    <w:rsid w:val="009C361D"/>
    <w:rsid w:val="009C37A5"/>
    <w:rsid w:val="009C3802"/>
    <w:rsid w:val="009C3B5B"/>
    <w:rsid w:val="009C4954"/>
    <w:rsid w:val="009C5621"/>
    <w:rsid w:val="009C5A9E"/>
    <w:rsid w:val="009C69C9"/>
    <w:rsid w:val="009C75B8"/>
    <w:rsid w:val="009D0E72"/>
    <w:rsid w:val="009D0F98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41FC"/>
    <w:rsid w:val="00A05447"/>
    <w:rsid w:val="00A05849"/>
    <w:rsid w:val="00A05BF5"/>
    <w:rsid w:val="00A05D4A"/>
    <w:rsid w:val="00A067CC"/>
    <w:rsid w:val="00A1130F"/>
    <w:rsid w:val="00A119B9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4ABA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983"/>
    <w:rsid w:val="00A97D0C"/>
    <w:rsid w:val="00AA04BC"/>
    <w:rsid w:val="00AA0575"/>
    <w:rsid w:val="00AA171A"/>
    <w:rsid w:val="00AA1BB1"/>
    <w:rsid w:val="00AA4003"/>
    <w:rsid w:val="00AA4323"/>
    <w:rsid w:val="00AA43DE"/>
    <w:rsid w:val="00AA47D7"/>
    <w:rsid w:val="00AA4940"/>
    <w:rsid w:val="00AA5156"/>
    <w:rsid w:val="00AA5C6B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A1D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383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2C86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08E"/>
    <w:rsid w:val="00B7765A"/>
    <w:rsid w:val="00B777DC"/>
    <w:rsid w:val="00B77F1C"/>
    <w:rsid w:val="00B8171F"/>
    <w:rsid w:val="00B81C40"/>
    <w:rsid w:val="00B826AC"/>
    <w:rsid w:val="00B82AE7"/>
    <w:rsid w:val="00B82EFA"/>
    <w:rsid w:val="00B834AB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1706"/>
    <w:rsid w:val="00BD246C"/>
    <w:rsid w:val="00BD2D1E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227A"/>
    <w:rsid w:val="00BF2785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585"/>
    <w:rsid w:val="00C177F6"/>
    <w:rsid w:val="00C2023B"/>
    <w:rsid w:val="00C214AB"/>
    <w:rsid w:val="00C215FD"/>
    <w:rsid w:val="00C2256B"/>
    <w:rsid w:val="00C2297A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2D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57350"/>
    <w:rsid w:val="00C603D6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0D6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305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0E69"/>
    <w:rsid w:val="00D41B7C"/>
    <w:rsid w:val="00D4225B"/>
    <w:rsid w:val="00D44B84"/>
    <w:rsid w:val="00D44D91"/>
    <w:rsid w:val="00D461C6"/>
    <w:rsid w:val="00D469D7"/>
    <w:rsid w:val="00D46C73"/>
    <w:rsid w:val="00D46ED8"/>
    <w:rsid w:val="00D47073"/>
    <w:rsid w:val="00D478A5"/>
    <w:rsid w:val="00D50512"/>
    <w:rsid w:val="00D5168A"/>
    <w:rsid w:val="00D51B14"/>
    <w:rsid w:val="00D52233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7A1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35F7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69C4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455"/>
    <w:rsid w:val="00DC69AD"/>
    <w:rsid w:val="00DC69E9"/>
    <w:rsid w:val="00DC6B11"/>
    <w:rsid w:val="00DC7005"/>
    <w:rsid w:val="00DC7029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3AB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5F7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0A6D"/>
    <w:rsid w:val="00E92135"/>
    <w:rsid w:val="00E92B29"/>
    <w:rsid w:val="00E94512"/>
    <w:rsid w:val="00E95036"/>
    <w:rsid w:val="00E95665"/>
    <w:rsid w:val="00E95DBA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764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51"/>
    <w:rsid w:val="00F11AA1"/>
    <w:rsid w:val="00F11E79"/>
    <w:rsid w:val="00F129C4"/>
    <w:rsid w:val="00F15F23"/>
    <w:rsid w:val="00F1659B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104"/>
    <w:rsid w:val="00F32FE4"/>
    <w:rsid w:val="00F33242"/>
    <w:rsid w:val="00F34235"/>
    <w:rsid w:val="00F3441C"/>
    <w:rsid w:val="00F35412"/>
    <w:rsid w:val="00F36BC5"/>
    <w:rsid w:val="00F37128"/>
    <w:rsid w:val="00F37196"/>
    <w:rsid w:val="00F378E6"/>
    <w:rsid w:val="00F379E4"/>
    <w:rsid w:val="00F401AA"/>
    <w:rsid w:val="00F410BE"/>
    <w:rsid w:val="00F41580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648F"/>
    <w:rsid w:val="00FB734F"/>
    <w:rsid w:val="00FB736E"/>
    <w:rsid w:val="00FC0FA1"/>
    <w:rsid w:val="00FC14A0"/>
    <w:rsid w:val="00FC2D7A"/>
    <w:rsid w:val="00FC3702"/>
    <w:rsid w:val="00FC4473"/>
    <w:rsid w:val="00FC47B9"/>
    <w:rsid w:val="00FC4A0C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28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  <w:rsid w:val="1265E922"/>
    <w:rsid w:val="2100C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8B3B4"/>
  <w15:docId w15:val="{53FC7865-D843-4396-8685-3C6AEF2A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A267-17A5-4B77-9079-C3F1D29D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5252</Words>
  <Characters>29941</Characters>
  <Application>Microsoft Office Word</Application>
  <DocSecurity>0</DocSecurity>
  <Lines>249</Lines>
  <Paragraphs>70</Paragraphs>
  <ScaleCrop>false</ScaleCrop>
  <Company>Hewlett-Packard</Company>
  <LinksUpToDate>false</LinksUpToDate>
  <CharactersWithSpaces>35123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Erika</cp:lastModifiedBy>
  <cp:revision>3</cp:revision>
  <cp:lastPrinted>2019-05-20T13:59:00Z</cp:lastPrinted>
  <dcterms:created xsi:type="dcterms:W3CDTF">2019-06-02T08:53:00Z</dcterms:created>
  <dcterms:modified xsi:type="dcterms:W3CDTF">2019-06-02T09:07:00Z</dcterms:modified>
</cp:coreProperties>
</file>