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</w:t>
      </w:r>
      <w:r w:rsidR="00A1672E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A1672E">
        <w:rPr>
          <w:rFonts w:ascii="Cambria" w:hAnsi="Cambria" w:cs="Arial"/>
          <w:sz w:val="18"/>
          <w:szCs w:val="18"/>
        </w:rPr>
        <w:t>24</w:t>
      </w:r>
      <w:r w:rsidR="00E05A56">
        <w:rPr>
          <w:rFonts w:ascii="Cambria" w:hAnsi="Cambria" w:cs="Arial"/>
          <w:sz w:val="18"/>
          <w:szCs w:val="18"/>
        </w:rPr>
        <w:t>.</w:t>
      </w:r>
      <w:r w:rsidR="00847431">
        <w:rPr>
          <w:rFonts w:ascii="Cambria" w:hAnsi="Cambria" w:cs="Arial"/>
          <w:sz w:val="18"/>
          <w:szCs w:val="18"/>
        </w:rPr>
        <w:t>10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F58E4" w:rsidRPr="00BC6D4B" w:rsidRDefault="00AF58E4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BC6D4B">
        <w:rPr>
          <w:rFonts w:asciiTheme="majorHAnsi" w:hAnsiTheme="majorHAnsi"/>
          <w:sz w:val="18"/>
          <w:szCs w:val="18"/>
        </w:rPr>
        <w:t>1.</w:t>
      </w:r>
      <w:r w:rsidRPr="00BC6D4B">
        <w:rPr>
          <w:rFonts w:asciiTheme="majorHAnsi" w:hAnsiTheme="majorHAnsi"/>
          <w:sz w:val="18"/>
          <w:szCs w:val="18"/>
        </w:rPr>
        <w:tab/>
        <w:t>Kontrola úloh</w:t>
      </w:r>
    </w:p>
    <w:p w:rsidR="00BC6D4B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 xml:space="preserve">Správa o činnosti a hospodárení Kancelárie spolupráce s praxou (KSP) </w:t>
      </w:r>
    </w:p>
    <w:p w:rsidR="00BC6D4B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 xml:space="preserve">Správa o činnosti a hospodárení Archívu STU za 1. polrok 2018 </w:t>
      </w:r>
    </w:p>
    <w:p w:rsidR="00BC6D4B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 xml:space="preserve">Energetické úspory STU vyplývajúce z rekonštrukcie a opráv budov od roku 2009                </w:t>
      </w:r>
    </w:p>
    <w:p w:rsidR="00BC6D4B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 xml:space="preserve">Návrh na vydanie Rozhodnutia o nepotrebnosti nehnuteľných vecí STU – Karlova Ves           </w:t>
      </w:r>
    </w:p>
    <w:p w:rsid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 xml:space="preserve">Kamerový systém na CAŠ </w:t>
      </w:r>
    </w:p>
    <w:p w:rsidR="00BC6D4B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 xml:space="preserve">Zmluva o vytvorení konzorcia a spolupráci pri realizácii projektu ACCORD </w:t>
      </w:r>
    </w:p>
    <w:p w:rsidR="00BC6D4B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 xml:space="preserve">Návrh na odsúhlasenie nájomných zmlúv a dodatkov k nájomným zmluvám </w:t>
      </w:r>
    </w:p>
    <w:p w:rsidR="00BC6D4B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>Legislatívne zmeny v oblasti vysokých škôl a postup ich implem</w:t>
      </w:r>
      <w:bookmarkStart w:id="0" w:name="_GoBack"/>
      <w:bookmarkEnd w:id="0"/>
      <w:r w:rsidRPr="00BC6D4B">
        <w:rPr>
          <w:rFonts w:asciiTheme="majorHAnsi" w:hAnsiTheme="majorHAnsi"/>
          <w:sz w:val="18"/>
          <w:szCs w:val="18"/>
        </w:rPr>
        <w:t xml:space="preserve">entácie na STU – informácia </w:t>
      </w:r>
    </w:p>
    <w:p w:rsidR="00BC6D4B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BC6D4B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0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 xml:space="preserve">Súdne spory STU – informácia </w:t>
      </w:r>
    </w:p>
    <w:p w:rsid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</w:t>
      </w:r>
      <w:r w:rsidRPr="00BC6D4B">
        <w:rPr>
          <w:rFonts w:asciiTheme="majorHAnsi" w:hAnsiTheme="majorHAnsi"/>
          <w:sz w:val="18"/>
          <w:szCs w:val="18"/>
        </w:rPr>
        <w:t>.</w:t>
      </w:r>
      <w:r w:rsidRPr="00BC6D4B">
        <w:rPr>
          <w:rFonts w:asciiTheme="majorHAnsi" w:hAnsiTheme="majorHAnsi"/>
          <w:sz w:val="18"/>
          <w:szCs w:val="18"/>
        </w:rPr>
        <w:tab/>
        <w:t>Návrh na zahraničné pracovné cesty</w:t>
      </w:r>
    </w:p>
    <w:p w:rsidR="007A53B2" w:rsidRPr="00BC6D4B" w:rsidRDefault="00BC6D4B" w:rsidP="00BC6D4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12.</w:t>
      </w:r>
      <w:r>
        <w:rPr>
          <w:rFonts w:asciiTheme="majorHAnsi" w:hAnsiTheme="majorHAnsi"/>
          <w:sz w:val="18"/>
          <w:szCs w:val="18"/>
        </w:rPr>
        <w:tab/>
      </w:r>
      <w:r w:rsidR="007A53B2" w:rsidRPr="00BC6D4B">
        <w:rPr>
          <w:rFonts w:asciiTheme="majorHAnsi" w:hAnsiTheme="majorHAnsi"/>
          <w:sz w:val="18"/>
          <w:szCs w:val="18"/>
        </w:rPr>
        <w:t>Rôzne</w:t>
      </w:r>
      <w:r w:rsidR="007A53B2" w:rsidRPr="00BC6D4B">
        <w:rPr>
          <w:rFonts w:asciiTheme="majorHAnsi" w:hAnsiTheme="majorHAnsi"/>
          <w:sz w:val="18"/>
          <w:szCs w:val="18"/>
        </w:rPr>
        <w:br/>
      </w:r>
    </w:p>
    <w:p w:rsidR="004A57A9" w:rsidRPr="004A57A9" w:rsidRDefault="004A57A9" w:rsidP="004A57A9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4A57A9">
        <w:rPr>
          <w:rFonts w:asciiTheme="majorHAnsi" w:hAnsiTheme="majorHAnsi"/>
          <w:sz w:val="18"/>
          <w:szCs w:val="18"/>
        </w:rPr>
        <w:t>V úvode rokovania rektor informoval o záveroch odbornej diskusie v rámci Okrúhleho stola ku konceptu výziev na podporu výskumno-vývojových kapacít, ktorý sa konal dňa 23.10.2018 vo Výskumnej agentúre.</w:t>
      </w:r>
    </w:p>
    <w:p w:rsidR="004A57A9" w:rsidRPr="004A57A9" w:rsidRDefault="004A57A9" w:rsidP="004A57A9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4A57A9">
        <w:rPr>
          <w:rFonts w:asciiTheme="majorHAnsi" w:hAnsiTheme="majorHAnsi"/>
          <w:sz w:val="18"/>
          <w:szCs w:val="18"/>
        </w:rPr>
        <w:t xml:space="preserve">Predseda AS STU </w:t>
      </w:r>
      <w:r>
        <w:rPr>
          <w:rFonts w:asciiTheme="majorHAnsi" w:hAnsiTheme="majorHAnsi"/>
          <w:sz w:val="18"/>
          <w:szCs w:val="18"/>
        </w:rPr>
        <w:t xml:space="preserve">zároveň v úvode zasadnutia </w:t>
      </w:r>
      <w:r w:rsidRPr="004A57A9">
        <w:rPr>
          <w:rFonts w:asciiTheme="majorHAnsi" w:hAnsiTheme="majorHAnsi"/>
          <w:sz w:val="18"/>
          <w:szCs w:val="18"/>
        </w:rPr>
        <w:t>prítomným oznámil, že uznášaniaschopnosť AS STU je dňa 05.11.2018 ohrozená</w:t>
      </w:r>
      <w:r w:rsidR="00E95665">
        <w:rPr>
          <w:rFonts w:asciiTheme="majorHAnsi" w:hAnsiTheme="majorHAnsi"/>
          <w:sz w:val="18"/>
          <w:szCs w:val="18"/>
        </w:rPr>
        <w:t>. Z uvedeného dôvodu bude zasadnutie AS STU prebiehať len v</w:t>
      </w:r>
      <w:r w:rsidR="0006239D">
        <w:rPr>
          <w:rFonts w:asciiTheme="majorHAnsi" w:hAnsiTheme="majorHAnsi"/>
          <w:sz w:val="18"/>
          <w:szCs w:val="18"/>
        </w:rPr>
        <w:t> tzv.</w:t>
      </w:r>
      <w:r w:rsidR="00E95665">
        <w:rPr>
          <w:rFonts w:asciiTheme="majorHAnsi" w:hAnsiTheme="majorHAnsi"/>
          <w:sz w:val="18"/>
          <w:szCs w:val="18"/>
        </w:rPr>
        <w:t> „mäkkom“ formáte.</w:t>
      </w:r>
    </w:p>
    <w:p w:rsidR="00E05A56" w:rsidRPr="004A57A9" w:rsidRDefault="004A57A9" w:rsidP="004A57A9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4A57A9">
        <w:rPr>
          <w:rFonts w:asciiTheme="majorHAnsi" w:hAnsiTheme="majorHAnsi"/>
          <w:sz w:val="18"/>
          <w:szCs w:val="18"/>
        </w:rPr>
        <w:t xml:space="preserve"> </w:t>
      </w: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AF58E4" w:rsidRPr="00AF58E4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AF58E4" w:rsidRPr="00EE30AE" w:rsidTr="00D96C5B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8E4" w:rsidRPr="00EE30AE" w:rsidRDefault="00AF58E4" w:rsidP="00D96C5B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F58E4" w:rsidRPr="00EE30AE" w:rsidTr="00D96C5B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4" w:rsidRPr="00EE30AE" w:rsidRDefault="00AF58E4" w:rsidP="00D96C5B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14.2D/20</w:t>
            </w: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E4" w:rsidRPr="00EE30AE" w:rsidRDefault="00AF58E4" w:rsidP="00D96C5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pripraviť „Prevádzkovú a bezpečnostnú smernicu“ a „Smernicu pre ochranu osobných údajov“.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E4" w:rsidRPr="00EE30AE" w:rsidRDefault="00AF58E4" w:rsidP="00D96C5B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BC6D4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BC6D4B">
              <w:rPr>
                <w:rFonts w:asciiTheme="majorHAnsi" w:hAnsiTheme="majorHAnsi" w:cstheme="majorHAnsi"/>
                <w:sz w:val="18"/>
                <w:szCs w:val="18"/>
              </w:rPr>
              <w:t>01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.201</w:t>
            </w:r>
            <w:r w:rsidR="00BC6D4B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  <w:p w:rsidR="00AF58E4" w:rsidRPr="00EE30AE" w:rsidRDefault="00AF58E4" w:rsidP="00D96C5B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E4" w:rsidRPr="00EE30AE" w:rsidRDefault="00AF58E4" w:rsidP="00D96C5B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osoba, prorektor </w:t>
            </w:r>
            <w:proofErr w:type="spellStart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Čičák</w:t>
            </w:r>
            <w:proofErr w:type="spellEnd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, riaditeľ CVT STU</w:t>
            </w:r>
            <w:r w:rsidR="00BC6D4B">
              <w:rPr>
                <w:rFonts w:asciiTheme="majorHAnsi" w:hAnsiTheme="majorHAnsi" w:cstheme="majorHAnsi"/>
                <w:sz w:val="18"/>
                <w:szCs w:val="18"/>
              </w:rPr>
              <w:t>, kvestor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E4" w:rsidRPr="00EE30AE" w:rsidRDefault="00BC6D4B" w:rsidP="00D96C5B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8E4" w:rsidRPr="00EE30AE" w:rsidRDefault="00AF58E4" w:rsidP="00D96C5B">
            <w:pPr>
              <w:rPr>
                <w:rFonts w:asciiTheme="majorHAnsi" w:hAnsiTheme="majorHAnsi"/>
                <w:sz w:val="18"/>
                <w:szCs w:val="18"/>
              </w:rPr>
            </w:pPr>
            <w:r w:rsidRPr="00EE30AE"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</w:tbl>
    <w:p w:rsidR="00AF58E4" w:rsidRDefault="00AF58E4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720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BC6D4B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098B" w:rsidRDefault="00AF58E4" w:rsidP="005B6327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Pr="00EE30AE">
        <w:rPr>
          <w:rFonts w:asciiTheme="majorHAnsi" w:hAnsiTheme="majorHAnsi"/>
          <w:sz w:val="18"/>
          <w:szCs w:val="18"/>
        </w:rPr>
        <w:t>stav plnen</w:t>
      </w:r>
      <w:r>
        <w:rPr>
          <w:rFonts w:asciiTheme="majorHAnsi" w:hAnsiTheme="majorHAnsi"/>
          <w:sz w:val="18"/>
          <w:szCs w:val="18"/>
        </w:rPr>
        <w:t>ia</w:t>
      </w:r>
      <w:r w:rsidRPr="00EE30AE">
        <w:rPr>
          <w:rFonts w:asciiTheme="majorHAnsi" w:hAnsiTheme="majorHAnsi"/>
          <w:sz w:val="18"/>
          <w:szCs w:val="18"/>
        </w:rPr>
        <w:t xml:space="preserve"> úloh</w:t>
      </w:r>
      <w:r>
        <w:rPr>
          <w:rFonts w:asciiTheme="majorHAnsi" w:hAnsiTheme="majorHAnsi"/>
          <w:sz w:val="18"/>
          <w:szCs w:val="18"/>
        </w:rPr>
        <w:t>y</w:t>
      </w:r>
      <w:r w:rsidRPr="00EE30AE">
        <w:rPr>
          <w:rFonts w:asciiTheme="majorHAnsi" w:hAnsiTheme="majorHAnsi"/>
          <w:sz w:val="18"/>
          <w:szCs w:val="18"/>
        </w:rPr>
        <w:t xml:space="preserve"> č. 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14.2D/2018-V</w:t>
      </w:r>
      <w:r w:rsidR="000F76B8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</w:p>
    <w:p w:rsidR="00AF58E4" w:rsidRDefault="00AF58E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C6D4B" w:rsidRPr="00BC6D4B">
        <w:rPr>
          <w:rFonts w:asciiTheme="majorHAnsi" w:hAnsiTheme="majorHAnsi"/>
          <w:b/>
          <w:sz w:val="18"/>
          <w:szCs w:val="18"/>
          <w:u w:val="single"/>
        </w:rPr>
        <w:t>Správa o činnosti a hospodárení Kancelárie spolupráce s praxou (KSP)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BC6D4B">
        <w:rPr>
          <w:rFonts w:asciiTheme="majorHAnsi" w:hAnsiTheme="majorHAnsi" w:cs="Calibri"/>
          <w:sz w:val="18"/>
          <w:szCs w:val="18"/>
        </w:rPr>
        <w:t>prorektor Peciar</w:t>
      </w:r>
      <w:r>
        <w:rPr>
          <w:rFonts w:asciiTheme="majorHAnsi" w:hAnsiTheme="majorHAnsi" w:cs="Calibri"/>
          <w:sz w:val="18"/>
          <w:szCs w:val="18"/>
        </w:rPr>
        <w:t>. Prizvan</w:t>
      </w:r>
      <w:r w:rsidR="00BC6D4B">
        <w:rPr>
          <w:rFonts w:asciiTheme="majorHAnsi" w:hAnsiTheme="majorHAnsi" w:cs="Calibri"/>
          <w:sz w:val="18"/>
          <w:szCs w:val="18"/>
        </w:rPr>
        <w:t>á</w:t>
      </w:r>
      <w:r>
        <w:rPr>
          <w:rFonts w:asciiTheme="majorHAnsi" w:hAnsiTheme="majorHAnsi" w:cs="Calibri"/>
          <w:sz w:val="18"/>
          <w:szCs w:val="18"/>
        </w:rPr>
        <w:t xml:space="preserve">: </w:t>
      </w:r>
      <w:r w:rsidR="00BC6D4B">
        <w:rPr>
          <w:rFonts w:asciiTheme="majorHAnsi" w:hAnsiTheme="majorHAnsi" w:cs="Calibri"/>
          <w:sz w:val="18"/>
          <w:szCs w:val="18"/>
        </w:rPr>
        <w:t>JUDr</w:t>
      </w:r>
      <w:r>
        <w:rPr>
          <w:rFonts w:asciiTheme="majorHAnsi" w:hAnsiTheme="majorHAnsi" w:cs="Calibri"/>
          <w:sz w:val="18"/>
          <w:szCs w:val="18"/>
        </w:rPr>
        <w:t xml:space="preserve">. </w:t>
      </w:r>
      <w:r w:rsidR="00BC6D4B">
        <w:rPr>
          <w:rFonts w:asciiTheme="majorHAnsi" w:hAnsiTheme="majorHAnsi" w:cs="Calibri"/>
          <w:sz w:val="18"/>
          <w:szCs w:val="18"/>
        </w:rPr>
        <w:t>Rybanská</w:t>
      </w:r>
      <w:r>
        <w:rPr>
          <w:rFonts w:asciiTheme="majorHAnsi" w:hAnsiTheme="majorHAnsi" w:cs="Calibri"/>
          <w:sz w:val="18"/>
          <w:szCs w:val="18"/>
        </w:rPr>
        <w:t>.</w:t>
      </w:r>
    </w:p>
    <w:p w:rsidR="004A5DB2" w:rsidRDefault="00BC6D4B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JUDr. Rybanská v krátkosti </w:t>
      </w:r>
      <w:r w:rsidR="00AF58E4">
        <w:rPr>
          <w:rFonts w:asciiTheme="majorHAnsi" w:hAnsiTheme="majorHAnsi" w:cs="Calibri"/>
          <w:sz w:val="18"/>
          <w:szCs w:val="18"/>
        </w:rPr>
        <w:t>oboznámil</w:t>
      </w:r>
      <w:r>
        <w:rPr>
          <w:rFonts w:asciiTheme="majorHAnsi" w:hAnsiTheme="majorHAnsi" w:cs="Calibri"/>
          <w:sz w:val="18"/>
          <w:szCs w:val="18"/>
        </w:rPr>
        <w:t>a</w:t>
      </w:r>
      <w:r w:rsidR="00AF58E4">
        <w:rPr>
          <w:rFonts w:asciiTheme="majorHAnsi" w:hAnsiTheme="majorHAnsi" w:cs="Calibri"/>
          <w:sz w:val="18"/>
          <w:szCs w:val="18"/>
        </w:rPr>
        <w:t xml:space="preserve"> prítomných o</w:t>
      </w:r>
      <w:r w:rsidR="0083544A">
        <w:rPr>
          <w:rFonts w:asciiTheme="majorHAnsi" w:hAnsiTheme="majorHAnsi" w:cs="Calibri"/>
          <w:sz w:val="18"/>
          <w:szCs w:val="18"/>
        </w:rPr>
        <w:t xml:space="preserve"> realizovaných aktivitách v roku 2018, počte doručených oznámení </w:t>
      </w:r>
      <w:r w:rsidR="004A5DB2">
        <w:rPr>
          <w:rFonts w:asciiTheme="majorHAnsi" w:hAnsiTheme="majorHAnsi" w:cs="Calibri"/>
          <w:sz w:val="18"/>
          <w:szCs w:val="18"/>
        </w:rPr>
        <w:t xml:space="preserve">pôvodcu </w:t>
      </w:r>
    </w:p>
    <w:p w:rsidR="004A5DB2" w:rsidRDefault="004A5DB2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o vytvorení predmetu priemyselného vlastníctva, ako aj návrhoch na podanie prihlášky ochrannej známky, ktoré svojim počtom </w:t>
      </w:r>
    </w:p>
    <w:p w:rsidR="00896451" w:rsidRDefault="00A8518D" w:rsidP="004A5DB2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aktuálne </w:t>
      </w:r>
      <w:r w:rsidR="004A5DB2">
        <w:rPr>
          <w:rFonts w:asciiTheme="majorHAnsi" w:hAnsiTheme="majorHAnsi" w:cs="Calibri"/>
          <w:sz w:val="18"/>
          <w:szCs w:val="18"/>
        </w:rPr>
        <w:t>prevyšujú všetky doterajšie podania. V súvislosti s uvedeným upozornila na problém personálnej kapacity na pracovisku</w:t>
      </w:r>
      <w:r w:rsidR="00896451">
        <w:rPr>
          <w:rFonts w:asciiTheme="majorHAnsi" w:hAnsiTheme="majorHAnsi" w:cs="Calibri"/>
          <w:sz w:val="18"/>
          <w:szCs w:val="18"/>
        </w:rPr>
        <w:t xml:space="preserve">, ktorý </w:t>
      </w:r>
    </w:p>
    <w:p w:rsidR="00AF58E4" w:rsidRDefault="00896451" w:rsidP="004A5DB2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sa bude podľa vyjadrenia kvestora riešiť</w:t>
      </w:r>
      <w:r w:rsidR="004A5DB2">
        <w:rPr>
          <w:rFonts w:asciiTheme="majorHAnsi" w:hAnsiTheme="majorHAnsi" w:cs="Calibri"/>
          <w:sz w:val="18"/>
          <w:szCs w:val="18"/>
        </w:rPr>
        <w:t>.</w:t>
      </w:r>
    </w:p>
    <w:p w:rsidR="004A5DB2" w:rsidRDefault="00A8518D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rektor poďakoval </w:t>
      </w:r>
      <w:r w:rsidR="004A5DB2">
        <w:rPr>
          <w:rFonts w:asciiTheme="majorHAnsi" w:hAnsiTheme="majorHAnsi" w:cs="Calibri"/>
          <w:sz w:val="18"/>
          <w:szCs w:val="18"/>
        </w:rPr>
        <w:t xml:space="preserve">JUDr. Rybanskej a prorektorovi Peciarovi </w:t>
      </w:r>
      <w:r>
        <w:rPr>
          <w:rFonts w:asciiTheme="majorHAnsi" w:hAnsiTheme="majorHAnsi" w:cs="Calibri"/>
          <w:sz w:val="18"/>
          <w:szCs w:val="18"/>
        </w:rPr>
        <w:t xml:space="preserve">za </w:t>
      </w:r>
      <w:r w:rsidR="004A5DB2">
        <w:rPr>
          <w:rFonts w:asciiTheme="majorHAnsi" w:hAnsiTheme="majorHAnsi" w:cs="Calibri"/>
          <w:sz w:val="18"/>
          <w:szCs w:val="18"/>
        </w:rPr>
        <w:t xml:space="preserve">dosiahnuté vynikajúce výsledky v rámci patentovej politiky na </w:t>
      </w:r>
    </w:p>
    <w:p w:rsidR="00A8518D" w:rsidRDefault="004A5DB2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STU</w:t>
      </w:r>
      <w:r w:rsidR="00A8518D">
        <w:rPr>
          <w:rFonts w:asciiTheme="majorHAnsi" w:hAnsiTheme="majorHAnsi" w:cs="Calibri"/>
          <w:sz w:val="18"/>
          <w:szCs w:val="18"/>
        </w:rPr>
        <w:t>.</w:t>
      </w:r>
    </w:p>
    <w:p w:rsidR="009A24A1" w:rsidRDefault="009A24A1" w:rsidP="00791D7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896451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96451" w:rsidRDefault="009A24A1" w:rsidP="00A8518D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8518D">
        <w:rPr>
          <w:rFonts w:asciiTheme="majorHAnsi" w:hAnsiTheme="majorHAnsi" w:cs="Calibri"/>
          <w:sz w:val="18"/>
          <w:szCs w:val="18"/>
        </w:rPr>
        <w:t xml:space="preserve">berie na vedomie </w:t>
      </w:r>
      <w:r w:rsidR="00A8518D" w:rsidRPr="00AF58E4">
        <w:rPr>
          <w:rFonts w:asciiTheme="majorHAnsi" w:hAnsiTheme="majorHAnsi"/>
          <w:sz w:val="18"/>
          <w:szCs w:val="18"/>
        </w:rPr>
        <w:t>Správ</w:t>
      </w:r>
      <w:r w:rsidR="00A8518D">
        <w:rPr>
          <w:rFonts w:asciiTheme="majorHAnsi" w:hAnsiTheme="majorHAnsi"/>
          <w:sz w:val="18"/>
          <w:szCs w:val="18"/>
        </w:rPr>
        <w:t>u</w:t>
      </w:r>
      <w:r w:rsidR="00A8518D" w:rsidRPr="00AF58E4">
        <w:rPr>
          <w:rFonts w:asciiTheme="majorHAnsi" w:hAnsiTheme="majorHAnsi"/>
          <w:sz w:val="18"/>
          <w:szCs w:val="18"/>
        </w:rPr>
        <w:t xml:space="preserve"> o činnosti a hospodárení </w:t>
      </w:r>
      <w:r w:rsidR="00896451">
        <w:rPr>
          <w:rFonts w:asciiTheme="majorHAnsi" w:hAnsiTheme="majorHAnsi"/>
          <w:sz w:val="18"/>
          <w:szCs w:val="18"/>
        </w:rPr>
        <w:t xml:space="preserve">Kancelárie spolupráce s praxou a po miernej úprave odporúča predložiť </w:t>
      </w:r>
    </w:p>
    <w:p w:rsidR="00791D74" w:rsidRDefault="00896451" w:rsidP="00A8518D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na rokovanie Kolégia rektora STU</w:t>
      </w:r>
      <w:r w:rsidR="00A8518D">
        <w:rPr>
          <w:rFonts w:asciiTheme="majorHAnsi" w:hAnsiTheme="majorHAnsi"/>
          <w:sz w:val="18"/>
          <w:szCs w:val="18"/>
        </w:rPr>
        <w:t>.</w:t>
      </w:r>
    </w:p>
    <w:p w:rsidR="00A8518D" w:rsidRDefault="00A8518D" w:rsidP="00A8518D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A1D3B" w:rsidRPr="007A53B2" w:rsidRDefault="00013D34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882B0E" w:rsidRPr="00882B0E">
        <w:rPr>
          <w:rFonts w:asciiTheme="majorHAnsi" w:hAnsiTheme="majorHAnsi"/>
          <w:b/>
          <w:sz w:val="18"/>
          <w:szCs w:val="18"/>
          <w:u w:val="single"/>
        </w:rPr>
        <w:t>Správa o činnosti a hospodárení Archívu STU za 1. polrok 2018</w:t>
      </w:r>
    </w:p>
    <w:p w:rsidR="00C74513" w:rsidRP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226EC" w:rsidRDefault="00C74513" w:rsidP="00A8518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791D7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A8518D">
        <w:rPr>
          <w:rFonts w:asciiTheme="majorHAnsi" w:hAnsiTheme="majorHAnsi" w:cs="Calibri"/>
          <w:sz w:val="18"/>
          <w:szCs w:val="18"/>
        </w:rPr>
        <w:t>kvestor</w:t>
      </w:r>
      <w:r w:rsidR="006713D6">
        <w:rPr>
          <w:rFonts w:asciiTheme="majorHAnsi" w:hAnsiTheme="majorHAnsi" w:cs="Calibri"/>
          <w:sz w:val="18"/>
          <w:szCs w:val="18"/>
        </w:rPr>
        <w:t xml:space="preserve">. </w:t>
      </w:r>
      <w:r w:rsidR="00882B0E">
        <w:rPr>
          <w:rFonts w:asciiTheme="majorHAnsi" w:hAnsiTheme="majorHAnsi" w:cs="Calibri"/>
          <w:sz w:val="18"/>
          <w:szCs w:val="18"/>
        </w:rPr>
        <w:t xml:space="preserve">Prizvaná: PhDr. </w:t>
      </w:r>
      <w:proofErr w:type="spellStart"/>
      <w:r w:rsidR="00882B0E">
        <w:rPr>
          <w:rFonts w:asciiTheme="majorHAnsi" w:hAnsiTheme="majorHAnsi" w:cs="Calibri"/>
          <w:sz w:val="18"/>
          <w:szCs w:val="18"/>
        </w:rPr>
        <w:t>Boriková</w:t>
      </w:r>
      <w:proofErr w:type="spellEnd"/>
      <w:r w:rsidR="00791D74" w:rsidRPr="00791D74">
        <w:rPr>
          <w:rFonts w:asciiTheme="majorHAnsi" w:hAnsiTheme="majorHAnsi"/>
          <w:sz w:val="18"/>
          <w:szCs w:val="18"/>
        </w:rPr>
        <w:t>.</w:t>
      </w:r>
      <w:r w:rsidR="00791D74" w:rsidRPr="00791D74">
        <w:rPr>
          <w:rFonts w:asciiTheme="majorHAnsi" w:hAnsiTheme="majorHAnsi" w:cs="Calibri"/>
          <w:sz w:val="18"/>
          <w:szCs w:val="18"/>
        </w:rPr>
        <w:t xml:space="preserve"> </w:t>
      </w:r>
    </w:p>
    <w:p w:rsidR="00882B0E" w:rsidRDefault="00882B0E" w:rsidP="00A8518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Vedúca pracoviska informovala členov vedenia prioritne o problematike GDPR, ochrane, evidencii, starostlivosti a možnostiach </w:t>
      </w:r>
    </w:p>
    <w:p w:rsidR="00882B0E" w:rsidRDefault="00882B0E" w:rsidP="00A8518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sprístupnenia osobných údajov hlavne v súvislosti s prebiehajúcou digitalizáciou archívnych dokumentov. Zároveň oboznámila </w:t>
      </w:r>
    </w:p>
    <w:p w:rsidR="00882B0E" w:rsidRDefault="00882B0E" w:rsidP="00A8518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prítomných o odbornej </w:t>
      </w:r>
      <w:proofErr w:type="spellStart"/>
      <w:r>
        <w:rPr>
          <w:rFonts w:asciiTheme="majorHAnsi" w:hAnsiTheme="majorHAnsi" w:cs="Calibri"/>
          <w:sz w:val="18"/>
          <w:szCs w:val="18"/>
        </w:rPr>
        <w:t>kultúrno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- propagačnej činnosti, v rámci ktorej považuje za najvýznamnejší počin rozhodnutie vydať reedíciu </w:t>
      </w:r>
    </w:p>
    <w:p w:rsidR="00882B0E" w:rsidRDefault="00882B0E" w:rsidP="00A8518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publikácie Profesori STU doplnenú o nové desaťročie.</w:t>
      </w:r>
    </w:p>
    <w:p w:rsidR="00882B0E" w:rsidRPr="00791D74" w:rsidRDefault="00882B0E" w:rsidP="00A8518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Rektor poďakoval PhDr. </w:t>
      </w:r>
      <w:proofErr w:type="spellStart"/>
      <w:r>
        <w:rPr>
          <w:rFonts w:asciiTheme="majorHAnsi" w:hAnsiTheme="majorHAnsi" w:cs="Calibri"/>
          <w:sz w:val="18"/>
          <w:szCs w:val="18"/>
        </w:rPr>
        <w:t>Borikovej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za úspešné vedenie Archívu STU</w:t>
      </w:r>
      <w:r w:rsidR="00740D31">
        <w:rPr>
          <w:rFonts w:asciiTheme="majorHAnsi" w:hAnsiTheme="majorHAnsi" w:cs="Calibri"/>
          <w:sz w:val="18"/>
          <w:szCs w:val="18"/>
        </w:rPr>
        <w:t xml:space="preserve"> a viditeľný pokrok v realizovaných činnostiach.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882B0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791D74" w:rsidRDefault="00013D34" w:rsidP="00791D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40D31">
        <w:rPr>
          <w:rFonts w:asciiTheme="majorHAnsi" w:hAnsiTheme="majorHAnsi" w:cs="Calibri"/>
          <w:sz w:val="18"/>
          <w:szCs w:val="18"/>
        </w:rPr>
        <w:t xml:space="preserve">berie na vedomie </w:t>
      </w:r>
      <w:r w:rsidR="00740D31" w:rsidRPr="00AF58E4">
        <w:rPr>
          <w:rFonts w:asciiTheme="majorHAnsi" w:hAnsiTheme="majorHAnsi"/>
          <w:sz w:val="18"/>
          <w:szCs w:val="18"/>
        </w:rPr>
        <w:t>Správ</w:t>
      </w:r>
      <w:r w:rsidR="00740D31">
        <w:rPr>
          <w:rFonts w:asciiTheme="majorHAnsi" w:hAnsiTheme="majorHAnsi"/>
          <w:sz w:val="18"/>
          <w:szCs w:val="18"/>
        </w:rPr>
        <w:t>u</w:t>
      </w:r>
      <w:r w:rsidR="00740D31" w:rsidRPr="00AF58E4">
        <w:rPr>
          <w:rFonts w:asciiTheme="majorHAnsi" w:hAnsiTheme="majorHAnsi"/>
          <w:sz w:val="18"/>
          <w:szCs w:val="18"/>
        </w:rPr>
        <w:t xml:space="preserve"> o činnosti a</w:t>
      </w:r>
      <w:r w:rsidR="00740D31">
        <w:rPr>
          <w:rFonts w:asciiTheme="majorHAnsi" w:hAnsiTheme="majorHAnsi"/>
          <w:sz w:val="18"/>
          <w:szCs w:val="18"/>
        </w:rPr>
        <w:t> </w:t>
      </w:r>
      <w:r w:rsidR="00740D31" w:rsidRPr="00AF58E4">
        <w:rPr>
          <w:rFonts w:asciiTheme="majorHAnsi" w:hAnsiTheme="majorHAnsi"/>
          <w:sz w:val="18"/>
          <w:szCs w:val="18"/>
        </w:rPr>
        <w:t>hospodárení</w:t>
      </w:r>
      <w:r w:rsidR="00740D31">
        <w:rPr>
          <w:rFonts w:asciiTheme="majorHAnsi" w:hAnsiTheme="majorHAnsi"/>
          <w:sz w:val="18"/>
          <w:szCs w:val="18"/>
        </w:rPr>
        <w:t xml:space="preserve"> </w:t>
      </w:r>
      <w:r w:rsidR="00740D31" w:rsidRPr="00740D31">
        <w:rPr>
          <w:rFonts w:asciiTheme="majorHAnsi" w:hAnsiTheme="majorHAnsi"/>
          <w:sz w:val="18"/>
          <w:szCs w:val="18"/>
        </w:rPr>
        <w:t>Archívu STU za 1. polrok 2018</w:t>
      </w:r>
      <w:r w:rsidR="00816831" w:rsidRPr="00740D31">
        <w:rPr>
          <w:rFonts w:asciiTheme="majorHAnsi" w:hAnsiTheme="majorHAnsi"/>
          <w:sz w:val="18"/>
          <w:szCs w:val="18"/>
        </w:rPr>
        <w:t>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3C1FCD" w:rsidRDefault="003C1FCD" w:rsidP="00791D74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3C1FCD" w:rsidRDefault="003C1FCD" w:rsidP="00791D74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3C1FCD" w:rsidRDefault="003C1FCD" w:rsidP="00791D74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74513" w:rsidRDefault="00013D34" w:rsidP="00791D74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40D31" w:rsidRPr="00740D31">
        <w:rPr>
          <w:rFonts w:asciiTheme="majorHAnsi" w:hAnsiTheme="majorHAnsi"/>
          <w:b/>
          <w:sz w:val="18"/>
          <w:szCs w:val="18"/>
          <w:u w:val="single"/>
        </w:rPr>
        <w:t>Energetické úspory STU vyplývajúce z rekonštrukcie a opráv budov od roku 2009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40D31" w:rsidRDefault="003C426B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C451AB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226EC" w:rsidRPr="00C451AB">
        <w:rPr>
          <w:rFonts w:asciiTheme="majorHAnsi" w:hAnsiTheme="majorHAnsi" w:cs="Calibri"/>
          <w:sz w:val="18"/>
          <w:szCs w:val="18"/>
        </w:rPr>
        <w:t>kvestor</w:t>
      </w:r>
      <w:r w:rsidR="00740D31">
        <w:rPr>
          <w:rFonts w:asciiTheme="majorHAnsi" w:hAnsiTheme="majorHAnsi" w:cs="Calibri"/>
          <w:sz w:val="18"/>
          <w:szCs w:val="18"/>
        </w:rPr>
        <w:t>.</w:t>
      </w:r>
    </w:p>
    <w:p w:rsidR="00740D31" w:rsidRDefault="00740D31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40D31">
        <w:rPr>
          <w:rFonts w:asciiTheme="majorHAnsi" w:hAnsiTheme="majorHAnsi"/>
          <w:sz w:val="18"/>
          <w:szCs w:val="18"/>
        </w:rPr>
        <w:t xml:space="preserve">Po uskutočnení modernizácií, opráv a zateplení objektov STU  sa dosiahli významné úspory v spotrebe energií oproti východiskovému </w:t>
      </w:r>
    </w:p>
    <w:p w:rsidR="00740D31" w:rsidRDefault="00740D31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40D31">
        <w:rPr>
          <w:rFonts w:asciiTheme="majorHAnsi" w:hAnsiTheme="majorHAnsi"/>
          <w:sz w:val="18"/>
          <w:szCs w:val="18"/>
        </w:rPr>
        <w:t xml:space="preserve">stavu v roku 2009. </w:t>
      </w:r>
      <w:r w:rsidRPr="00E95665">
        <w:rPr>
          <w:rFonts w:asciiTheme="majorHAnsi" w:hAnsiTheme="majorHAnsi"/>
          <w:sz w:val="18"/>
          <w:szCs w:val="18"/>
        </w:rPr>
        <w:t xml:space="preserve">Výsledný efekt </w:t>
      </w:r>
      <w:r w:rsidR="00EB0C28" w:rsidRPr="00E95665">
        <w:rPr>
          <w:rFonts w:asciiTheme="majorHAnsi" w:hAnsiTheme="majorHAnsi"/>
          <w:sz w:val="18"/>
          <w:szCs w:val="18"/>
        </w:rPr>
        <w:t xml:space="preserve">je o to výraznejší, že v sledovanom období došlo </w:t>
      </w:r>
      <w:r w:rsidRPr="00E95665">
        <w:rPr>
          <w:rFonts w:asciiTheme="majorHAnsi" w:hAnsiTheme="majorHAnsi"/>
          <w:sz w:val="18"/>
          <w:szCs w:val="18"/>
        </w:rPr>
        <w:t>aj</w:t>
      </w:r>
      <w:r w:rsidR="00EB0C28" w:rsidRPr="00E95665">
        <w:rPr>
          <w:rFonts w:asciiTheme="majorHAnsi" w:hAnsiTheme="majorHAnsi"/>
          <w:sz w:val="18"/>
          <w:szCs w:val="18"/>
        </w:rPr>
        <w:t xml:space="preserve"> k</w:t>
      </w:r>
      <w:r w:rsidRPr="00E95665">
        <w:rPr>
          <w:rFonts w:asciiTheme="majorHAnsi" w:hAnsiTheme="majorHAnsi"/>
          <w:sz w:val="18"/>
          <w:szCs w:val="18"/>
        </w:rPr>
        <w:t xml:space="preserve"> priebežné</w:t>
      </w:r>
      <w:r w:rsidR="00EB0C28" w:rsidRPr="00E95665">
        <w:rPr>
          <w:rFonts w:asciiTheme="majorHAnsi" w:hAnsiTheme="majorHAnsi"/>
          <w:sz w:val="18"/>
          <w:szCs w:val="18"/>
        </w:rPr>
        <w:t>mu</w:t>
      </w:r>
      <w:r w:rsidRPr="00E95665">
        <w:rPr>
          <w:rFonts w:asciiTheme="majorHAnsi" w:hAnsiTheme="majorHAnsi"/>
          <w:sz w:val="18"/>
          <w:szCs w:val="18"/>
        </w:rPr>
        <w:t xml:space="preserve"> zvyšovani</w:t>
      </w:r>
      <w:r w:rsidR="00EB0C28" w:rsidRPr="00E95665">
        <w:rPr>
          <w:rFonts w:asciiTheme="majorHAnsi" w:hAnsiTheme="majorHAnsi"/>
          <w:sz w:val="18"/>
          <w:szCs w:val="18"/>
        </w:rPr>
        <w:t>u</w:t>
      </w:r>
      <w:r w:rsidRPr="00E95665">
        <w:rPr>
          <w:rFonts w:asciiTheme="majorHAnsi" w:hAnsiTheme="majorHAnsi"/>
          <w:sz w:val="18"/>
          <w:szCs w:val="18"/>
        </w:rPr>
        <w:t xml:space="preserve"> cien energií.</w:t>
      </w:r>
    </w:p>
    <w:p w:rsidR="003C1FCD" w:rsidRDefault="00740D31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40D31">
        <w:rPr>
          <w:rFonts w:asciiTheme="majorHAnsi" w:hAnsiTheme="majorHAnsi"/>
          <w:sz w:val="18"/>
          <w:szCs w:val="18"/>
        </w:rPr>
        <w:t xml:space="preserve">V rámci krátkej diskusie rektor požiadal </w:t>
      </w:r>
      <w:r>
        <w:rPr>
          <w:rFonts w:asciiTheme="majorHAnsi" w:hAnsiTheme="majorHAnsi"/>
          <w:sz w:val="18"/>
          <w:szCs w:val="18"/>
        </w:rPr>
        <w:t xml:space="preserve">o špecifikáciu </w:t>
      </w:r>
      <w:r w:rsidR="003C1FCD">
        <w:rPr>
          <w:rFonts w:asciiTheme="majorHAnsi" w:hAnsiTheme="majorHAnsi"/>
          <w:sz w:val="18"/>
          <w:szCs w:val="18"/>
        </w:rPr>
        <w:t xml:space="preserve">investovaných </w:t>
      </w:r>
      <w:r w:rsidRPr="00740D31">
        <w:rPr>
          <w:rFonts w:asciiTheme="majorHAnsi" w:hAnsiTheme="majorHAnsi"/>
          <w:sz w:val="18"/>
          <w:szCs w:val="18"/>
        </w:rPr>
        <w:t>finančn</w:t>
      </w:r>
      <w:r>
        <w:rPr>
          <w:rFonts w:asciiTheme="majorHAnsi" w:hAnsiTheme="majorHAnsi"/>
          <w:sz w:val="18"/>
          <w:szCs w:val="18"/>
        </w:rPr>
        <w:t>ých</w:t>
      </w:r>
      <w:r w:rsidRPr="00740D31">
        <w:rPr>
          <w:rFonts w:asciiTheme="majorHAnsi" w:hAnsiTheme="majorHAnsi"/>
          <w:sz w:val="18"/>
          <w:szCs w:val="18"/>
        </w:rPr>
        <w:t xml:space="preserve"> zdroj</w:t>
      </w:r>
      <w:r>
        <w:rPr>
          <w:rFonts w:asciiTheme="majorHAnsi" w:hAnsiTheme="majorHAnsi"/>
          <w:sz w:val="18"/>
          <w:szCs w:val="18"/>
        </w:rPr>
        <w:t>ov</w:t>
      </w:r>
      <w:r w:rsidRPr="00740D31">
        <w:rPr>
          <w:rFonts w:asciiTheme="majorHAnsi" w:hAnsiTheme="majorHAnsi"/>
          <w:sz w:val="18"/>
          <w:szCs w:val="18"/>
        </w:rPr>
        <w:t xml:space="preserve"> v členení vlastných zdrojov univerzity, účelovej </w:t>
      </w:r>
    </w:p>
    <w:p w:rsidR="00740D31" w:rsidRPr="00740D31" w:rsidRDefault="00740D31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40D31">
        <w:rPr>
          <w:rFonts w:asciiTheme="majorHAnsi" w:hAnsiTheme="majorHAnsi"/>
          <w:sz w:val="18"/>
          <w:szCs w:val="18"/>
        </w:rPr>
        <w:t>dotácie a štrukturálnych fondov EÚ.</w:t>
      </w:r>
      <w:r>
        <w:rPr>
          <w:rFonts w:asciiTheme="majorHAnsi" w:hAnsiTheme="majorHAnsi"/>
          <w:sz w:val="18"/>
          <w:szCs w:val="18"/>
        </w:rPr>
        <w:t xml:space="preserve"> Taktiež požiadal doplniť do grafu vývoj reflektujúci stav už od roku 2003.</w:t>
      </w:r>
    </w:p>
    <w:p w:rsidR="00013D34" w:rsidRDefault="00013D34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6679C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6679C" w:rsidRDefault="00013D34" w:rsidP="00E6679C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E6679C">
        <w:rPr>
          <w:rFonts w:asciiTheme="majorHAnsi" w:hAnsiTheme="majorHAnsi"/>
          <w:sz w:val="18"/>
          <w:szCs w:val="18"/>
        </w:rPr>
        <w:t>berie na vedomie materiál „</w:t>
      </w:r>
      <w:r w:rsidR="00E6679C" w:rsidRPr="00E6679C">
        <w:rPr>
          <w:rFonts w:asciiTheme="majorHAnsi" w:hAnsiTheme="majorHAnsi"/>
          <w:sz w:val="18"/>
          <w:szCs w:val="18"/>
        </w:rPr>
        <w:t>Energetické úspory STU vyplývajúce z rekonštrukcie a opráv budov od roku 2009</w:t>
      </w:r>
      <w:r w:rsidR="00E6679C">
        <w:rPr>
          <w:rFonts w:asciiTheme="majorHAnsi" w:hAnsiTheme="majorHAnsi"/>
          <w:sz w:val="18"/>
          <w:szCs w:val="18"/>
        </w:rPr>
        <w:t xml:space="preserve">“ s </w:t>
      </w:r>
    </w:p>
    <w:p w:rsidR="00E6679C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pripomienkami</w:t>
      </w:r>
      <w:r w:rsidR="00C451AB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Po zapracovaní pripomienok odporúča predložiť materiál na rokovanie Kolégia rektora STU a Akademického senátu </w:t>
      </w:r>
    </w:p>
    <w:p w:rsidR="00E6679C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STU.</w:t>
      </w:r>
    </w:p>
    <w:p w:rsidR="00C13866" w:rsidRDefault="00C13866" w:rsidP="00E6679C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E6679C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E6679C">
        <w:rPr>
          <w:rFonts w:asciiTheme="majorHAnsi" w:hAnsiTheme="majorHAnsi"/>
          <w:b/>
          <w:sz w:val="18"/>
          <w:szCs w:val="18"/>
          <w:u w:val="single"/>
        </w:rPr>
        <w:t>Návrh na vydanie Rozhodnutia o nepotrebnosti nehnuteľných vecí STU – Karlova Ves</w:t>
      </w:r>
    </w:p>
    <w:p w:rsidR="00E6679C" w:rsidRPr="00390E23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D3C63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DD3C63">
        <w:rPr>
          <w:rFonts w:asciiTheme="majorHAnsi" w:hAnsiTheme="majorHAnsi" w:cs="Calibri"/>
          <w:sz w:val="18"/>
          <w:szCs w:val="18"/>
        </w:rPr>
        <w:t xml:space="preserve">Materiál uviedol kvestor </w:t>
      </w:r>
      <w:r w:rsidR="00DD3C63" w:rsidRPr="00DD3C63">
        <w:rPr>
          <w:rFonts w:asciiTheme="majorHAnsi" w:hAnsiTheme="majorHAnsi"/>
          <w:sz w:val="18"/>
          <w:szCs w:val="18"/>
        </w:rPr>
        <w:t xml:space="preserve">v zmysle článku 3 bod 3 Smernice rektora číslo 3/2015-SR „Nakladanie s nepotrebným majetkom Slovenskej </w:t>
      </w:r>
    </w:p>
    <w:p w:rsidR="00E6679C" w:rsidRPr="00DD3C63" w:rsidRDefault="00DD3C63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DD3C63">
        <w:rPr>
          <w:rFonts w:asciiTheme="majorHAnsi" w:hAnsiTheme="majorHAnsi"/>
          <w:sz w:val="18"/>
          <w:szCs w:val="18"/>
        </w:rPr>
        <w:t>technickej univerzity v Bratislave“ zo dňa 05.03.2015</w:t>
      </w:r>
      <w:r w:rsidR="00E6679C" w:rsidRPr="00DD3C63">
        <w:rPr>
          <w:rFonts w:asciiTheme="majorHAnsi" w:hAnsiTheme="majorHAnsi" w:cs="Calibri"/>
          <w:sz w:val="18"/>
          <w:szCs w:val="18"/>
        </w:rPr>
        <w:t>.</w:t>
      </w:r>
    </w:p>
    <w:p w:rsidR="00E6679C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D3C63" w:rsidRDefault="00E6679C" w:rsidP="00DD3C63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DD3C6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DD3C63" w:rsidRPr="00DD3C63">
        <w:rPr>
          <w:rFonts w:asciiTheme="majorHAnsi" w:hAnsiTheme="majorHAnsi"/>
          <w:sz w:val="18"/>
          <w:szCs w:val="18"/>
        </w:rPr>
        <w:t xml:space="preserve">prerokovalo </w:t>
      </w:r>
      <w:r w:rsidR="00DD3C63">
        <w:rPr>
          <w:rFonts w:asciiTheme="majorHAnsi" w:hAnsiTheme="majorHAnsi"/>
          <w:sz w:val="18"/>
          <w:szCs w:val="18"/>
        </w:rPr>
        <w:t xml:space="preserve">materiál a súhlasí s </w:t>
      </w:r>
      <w:r w:rsidR="00DD3C63" w:rsidRPr="00DD3C63">
        <w:rPr>
          <w:rFonts w:asciiTheme="majorHAnsi" w:hAnsiTheme="majorHAnsi"/>
          <w:sz w:val="18"/>
          <w:szCs w:val="18"/>
        </w:rPr>
        <w:t>návrh</w:t>
      </w:r>
      <w:r w:rsidR="00DD3C63">
        <w:rPr>
          <w:rFonts w:asciiTheme="majorHAnsi" w:hAnsiTheme="majorHAnsi"/>
          <w:sz w:val="18"/>
          <w:szCs w:val="18"/>
        </w:rPr>
        <w:t>om</w:t>
      </w:r>
      <w:r w:rsidR="00DD3C63" w:rsidRPr="00DD3C63">
        <w:rPr>
          <w:rFonts w:asciiTheme="majorHAnsi" w:hAnsiTheme="majorHAnsi"/>
          <w:sz w:val="18"/>
          <w:szCs w:val="18"/>
        </w:rPr>
        <w:t xml:space="preserve"> na vydanie Rozhodnutia o nepotrebnosti nehnuteľnej veci STU v užívaní </w:t>
      </w:r>
    </w:p>
    <w:p w:rsidR="00E6679C" w:rsidRPr="00DD3C63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 w:rsidRPr="00DD3C63">
        <w:rPr>
          <w:rFonts w:asciiTheme="majorHAnsi" w:hAnsiTheme="majorHAnsi"/>
          <w:sz w:val="18"/>
          <w:szCs w:val="18"/>
        </w:rPr>
        <w:t>Rektorátu STU nachádzajúcej sa v mestskej časti Karlovej Vsi</w:t>
      </w:r>
      <w:r>
        <w:rPr>
          <w:rFonts w:asciiTheme="majorHAnsi" w:hAnsiTheme="majorHAnsi"/>
          <w:sz w:val="18"/>
          <w:szCs w:val="18"/>
        </w:rPr>
        <w:t>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DD3C63" w:rsidRDefault="00DD3C63" w:rsidP="00DD3C63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DD3C63">
        <w:rPr>
          <w:rFonts w:asciiTheme="majorHAnsi" w:hAnsiTheme="majorHAnsi"/>
          <w:b/>
          <w:sz w:val="18"/>
          <w:szCs w:val="18"/>
          <w:u w:val="single"/>
        </w:rPr>
        <w:t>Kamerový systém na CAŠ</w:t>
      </w:r>
    </w:p>
    <w:p w:rsidR="00DD3C63" w:rsidRPr="00390E23" w:rsidRDefault="00DD3C63" w:rsidP="00DD3C6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D3C63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DD3C63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Stanko s cieľom zvýšiť bezpečnosť a ochranu majetku CAŠ STU</w:t>
      </w:r>
      <w:r w:rsidRPr="00DD3C63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Prizvaný: Mgr. </w:t>
      </w:r>
      <w:proofErr w:type="spellStart"/>
      <w:r>
        <w:rPr>
          <w:rFonts w:asciiTheme="majorHAnsi" w:hAnsiTheme="majorHAnsi" w:cs="Calibri"/>
          <w:sz w:val="18"/>
          <w:szCs w:val="18"/>
        </w:rPr>
        <w:t>Gejmovský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DD3C63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Riaditeľ CAŠ STU informoval členov vedenia, že športový areál Mladá garda nie je </w:t>
      </w:r>
      <w:proofErr w:type="spellStart"/>
      <w:r>
        <w:rPr>
          <w:rFonts w:asciiTheme="majorHAnsi" w:hAnsiTheme="majorHAnsi" w:cs="Calibri"/>
          <w:sz w:val="18"/>
          <w:szCs w:val="18"/>
        </w:rPr>
        <w:t>t.č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ideálne zabezpečený. Kamerový systém by slúžil na </w:t>
      </w:r>
    </w:p>
    <w:p w:rsidR="00DD3C63" w:rsidRPr="00DD3C63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ochranu majetku a poskytoval by informácie o aktuálnom stave športovísk.</w:t>
      </w:r>
    </w:p>
    <w:p w:rsidR="00DD3C63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D3C63" w:rsidRPr="00DD3C63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 w:rsidRPr="00DD3C6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súhlasí s inštaláciou kamerového systému v areáli CAŠ STU.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DD3C63" w:rsidRDefault="00DD3C63" w:rsidP="00DD3C63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DD3C63">
        <w:rPr>
          <w:rFonts w:asciiTheme="majorHAnsi" w:hAnsiTheme="majorHAnsi"/>
          <w:b/>
          <w:sz w:val="18"/>
          <w:szCs w:val="18"/>
          <w:u w:val="single"/>
        </w:rPr>
        <w:t>Zmluva o vytvorení konzorcia a spolupráci pri realizácii projektu ACCORD</w:t>
      </w:r>
    </w:p>
    <w:p w:rsidR="00DD3C63" w:rsidRPr="00390E23" w:rsidRDefault="00DD3C63" w:rsidP="00DD3C6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376A6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DD3C63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Moravčík.</w:t>
      </w:r>
      <w:r w:rsidR="009376A6">
        <w:rPr>
          <w:rFonts w:asciiTheme="majorHAnsi" w:hAnsiTheme="majorHAnsi" w:cs="Calibri"/>
          <w:sz w:val="18"/>
          <w:szCs w:val="18"/>
        </w:rPr>
        <w:t xml:space="preserve"> Informoval</w:t>
      </w:r>
      <w:r>
        <w:rPr>
          <w:rFonts w:asciiTheme="majorHAnsi" w:hAnsiTheme="majorHAnsi" w:cs="Calibri"/>
          <w:sz w:val="18"/>
          <w:szCs w:val="18"/>
        </w:rPr>
        <w:t xml:space="preserve">, že </w:t>
      </w:r>
      <w:r w:rsidR="009376A6">
        <w:rPr>
          <w:rFonts w:asciiTheme="majorHAnsi" w:hAnsiTheme="majorHAnsi" w:cs="Calibri"/>
          <w:sz w:val="18"/>
          <w:szCs w:val="18"/>
        </w:rPr>
        <w:t xml:space="preserve">v súvislosti s prípravou projektu ACCORD je potrebné </w:t>
      </w:r>
      <w:r>
        <w:rPr>
          <w:rFonts w:asciiTheme="majorHAnsi" w:hAnsiTheme="majorHAnsi" w:cs="Calibri"/>
          <w:sz w:val="18"/>
          <w:szCs w:val="18"/>
        </w:rPr>
        <w:t>uzatvori</w:t>
      </w:r>
      <w:r w:rsidR="009376A6">
        <w:rPr>
          <w:rFonts w:asciiTheme="majorHAnsi" w:hAnsiTheme="majorHAnsi" w:cs="Calibri"/>
          <w:sz w:val="18"/>
          <w:szCs w:val="18"/>
        </w:rPr>
        <w:t>ť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9376A6">
        <w:rPr>
          <w:rFonts w:asciiTheme="majorHAnsi" w:hAnsiTheme="majorHAnsi" w:cs="Calibri"/>
          <w:sz w:val="18"/>
          <w:szCs w:val="18"/>
        </w:rPr>
        <w:t>Z</w:t>
      </w:r>
      <w:r>
        <w:rPr>
          <w:rFonts w:asciiTheme="majorHAnsi" w:hAnsiTheme="majorHAnsi" w:cs="Calibri"/>
          <w:sz w:val="18"/>
          <w:szCs w:val="18"/>
        </w:rPr>
        <w:t>mluv</w:t>
      </w:r>
      <w:r w:rsidR="009376A6">
        <w:rPr>
          <w:rFonts w:asciiTheme="majorHAnsi" w:hAnsiTheme="majorHAnsi" w:cs="Calibri"/>
          <w:sz w:val="18"/>
          <w:szCs w:val="18"/>
        </w:rPr>
        <w:t xml:space="preserve">u o vytvorení </w:t>
      </w:r>
    </w:p>
    <w:p w:rsidR="009376A6" w:rsidRDefault="009376A6" w:rsidP="00DD3C6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konzorcia a spolupráci pri realizácii projektu medzi jeho partnermi. Vytvorenie konzorcia</w:t>
      </w:r>
      <w:r w:rsidR="00DD3C63">
        <w:rPr>
          <w:rFonts w:asciiTheme="majorHAnsi" w:hAnsiTheme="majorHAnsi" w:cs="Calibri"/>
          <w:sz w:val="18"/>
          <w:szCs w:val="18"/>
        </w:rPr>
        <w:t xml:space="preserve"> je podmienkou pre podanie žiadosti </w:t>
      </w:r>
    </w:p>
    <w:p w:rsidR="00DD3C63" w:rsidRPr="00DD3C63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</w:t>
      </w:r>
      <w:r w:rsidR="009376A6">
        <w:rPr>
          <w:rFonts w:asciiTheme="majorHAnsi" w:hAnsiTheme="majorHAnsi" w:cs="Calibri"/>
          <w:sz w:val="18"/>
          <w:szCs w:val="18"/>
        </w:rPr>
        <w:t> nenávratný finančný príspevok</w:t>
      </w:r>
      <w:r>
        <w:rPr>
          <w:rFonts w:asciiTheme="majorHAnsi" w:hAnsiTheme="majorHAnsi" w:cs="Calibri"/>
          <w:sz w:val="18"/>
          <w:szCs w:val="18"/>
        </w:rPr>
        <w:t>.</w:t>
      </w:r>
    </w:p>
    <w:p w:rsidR="00DD3C63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376A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376A6" w:rsidRDefault="00DD3C63" w:rsidP="00DD3C63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DD3C6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9376A6">
        <w:rPr>
          <w:rFonts w:asciiTheme="majorHAnsi" w:hAnsiTheme="majorHAnsi"/>
          <w:sz w:val="18"/>
          <w:szCs w:val="18"/>
        </w:rPr>
        <w:t xml:space="preserve">schvaľuje návrh na uzatvorenie Zmluvy o vytvorení konzorcia a spolupráci pri realizácii projektu ACCORD s </w:t>
      </w:r>
    </w:p>
    <w:p w:rsidR="00DD3C63" w:rsidRPr="00DD3C63" w:rsidRDefault="009376A6" w:rsidP="00DD3C63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>
        <w:rPr>
          <w:rFonts w:asciiTheme="majorHAnsi" w:hAnsiTheme="majorHAnsi"/>
          <w:sz w:val="18"/>
          <w:szCs w:val="18"/>
        </w:rPr>
        <w:t>pripomienkami</w:t>
      </w:r>
      <w:r w:rsidR="00DD3C63">
        <w:rPr>
          <w:rFonts w:asciiTheme="majorHAnsi" w:hAnsiTheme="majorHAnsi"/>
          <w:sz w:val="18"/>
          <w:szCs w:val="18"/>
        </w:rPr>
        <w:t>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451AB" w:rsidRDefault="00C451AB" w:rsidP="00C451AB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9376A6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</w:t>
      </w:r>
      <w:r>
        <w:rPr>
          <w:rFonts w:asciiTheme="majorHAnsi" w:hAnsiTheme="majorHAnsi"/>
          <w:b/>
          <w:sz w:val="18"/>
          <w:szCs w:val="18"/>
          <w:u w:val="single"/>
        </w:rPr>
        <w:t> </w:t>
      </w:r>
      <w:r w:rsidRPr="009C69C9">
        <w:rPr>
          <w:rFonts w:asciiTheme="majorHAnsi" w:hAnsiTheme="majorHAnsi"/>
          <w:b/>
          <w:sz w:val="18"/>
          <w:szCs w:val="18"/>
          <w:u w:val="single"/>
        </w:rPr>
        <w:t>dodatkov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k NZ</w:t>
      </w:r>
    </w:p>
    <w:p w:rsidR="00C451AB" w:rsidRDefault="00C451AB" w:rsidP="00C451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51AB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C451AB" w:rsidRPr="003E286C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376A6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376A6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9376A6" w:rsidRDefault="00C451AB" w:rsidP="009376A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376A6">
        <w:rPr>
          <w:rFonts w:asciiTheme="majorHAnsi" w:hAnsiTheme="majorHAnsi" w:cs="Calibri"/>
          <w:sz w:val="18"/>
          <w:szCs w:val="18"/>
        </w:rPr>
        <w:t xml:space="preserve">Vedenie STU </w:t>
      </w:r>
      <w:r w:rsidR="009376A6" w:rsidRPr="009376A6">
        <w:rPr>
          <w:rFonts w:asciiTheme="majorHAnsi" w:hAnsiTheme="majorHAnsi"/>
          <w:sz w:val="18"/>
          <w:szCs w:val="18"/>
        </w:rPr>
        <w:t xml:space="preserve">prerokovalo žiadosti FCHPT, </w:t>
      </w:r>
      <w:proofErr w:type="spellStart"/>
      <w:r w:rsidR="009376A6" w:rsidRPr="009376A6">
        <w:rPr>
          <w:rFonts w:asciiTheme="majorHAnsi" w:hAnsiTheme="majorHAnsi"/>
          <w:sz w:val="18"/>
          <w:szCs w:val="18"/>
        </w:rPr>
        <w:t>SjF</w:t>
      </w:r>
      <w:proofErr w:type="spellEnd"/>
      <w:r w:rsidR="009376A6" w:rsidRPr="009376A6">
        <w:rPr>
          <w:rFonts w:asciiTheme="majorHAnsi" w:hAnsiTheme="majorHAnsi"/>
          <w:sz w:val="18"/>
          <w:szCs w:val="18"/>
        </w:rPr>
        <w:t xml:space="preserve">, FEI, ÚZ </w:t>
      </w:r>
      <w:proofErr w:type="spellStart"/>
      <w:r w:rsidR="009376A6" w:rsidRPr="009376A6">
        <w:rPr>
          <w:rFonts w:asciiTheme="majorHAnsi" w:hAnsiTheme="majorHAnsi"/>
          <w:sz w:val="18"/>
          <w:szCs w:val="18"/>
        </w:rPr>
        <w:t>ŠDaJ</w:t>
      </w:r>
      <w:proofErr w:type="spellEnd"/>
      <w:r w:rsidR="009376A6" w:rsidRPr="009376A6">
        <w:rPr>
          <w:rFonts w:asciiTheme="majorHAnsi" w:hAnsiTheme="majorHAnsi"/>
          <w:sz w:val="18"/>
          <w:szCs w:val="18"/>
        </w:rPr>
        <w:t xml:space="preserve"> a UTI o nájom nehnuteľného majetku STU uvedeného v bodoch 1 až 14 tohto materiálu </w:t>
      </w:r>
      <w:r w:rsidR="009376A6">
        <w:rPr>
          <w:rFonts w:asciiTheme="majorHAnsi" w:hAnsiTheme="majorHAnsi"/>
          <w:sz w:val="18"/>
          <w:szCs w:val="18"/>
        </w:rPr>
        <w:t xml:space="preserve">s pripomienkou. </w:t>
      </w:r>
    </w:p>
    <w:p w:rsidR="009376A6" w:rsidRPr="00A93CAC" w:rsidRDefault="009376A6" w:rsidP="009376A6">
      <w:pPr>
        <w:tabs>
          <w:tab w:val="left" w:pos="1985"/>
        </w:tabs>
        <w:rPr>
          <w:rFonts w:asciiTheme="majorHAnsi" w:hAnsiTheme="majorHAnsi"/>
          <w:sz w:val="18"/>
          <w:szCs w:val="18"/>
          <w:u w:val="single"/>
        </w:rPr>
      </w:pPr>
      <w:r w:rsidRPr="00A93CAC">
        <w:rPr>
          <w:rFonts w:asciiTheme="majorHAnsi" w:hAnsiTheme="majorHAnsi"/>
          <w:sz w:val="18"/>
          <w:szCs w:val="18"/>
          <w:u w:val="single"/>
        </w:rPr>
        <w:t>Pripomienka:</w:t>
      </w:r>
    </w:p>
    <w:p w:rsidR="009376A6" w:rsidRPr="009376A6" w:rsidRDefault="009376A6" w:rsidP="009376A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376A6">
        <w:rPr>
          <w:rFonts w:asciiTheme="majorHAnsi" w:hAnsiTheme="majorHAnsi"/>
          <w:sz w:val="18"/>
          <w:szCs w:val="18"/>
        </w:rPr>
        <w:t xml:space="preserve">Vedenie STU súhlasí s uzavretím zmluvy v bode 6 </w:t>
      </w:r>
      <w:r>
        <w:rPr>
          <w:rFonts w:asciiTheme="majorHAnsi" w:hAnsiTheme="majorHAnsi"/>
          <w:sz w:val="18"/>
          <w:szCs w:val="18"/>
        </w:rPr>
        <w:t>s</w:t>
      </w:r>
      <w:r w:rsidRPr="009376A6">
        <w:rPr>
          <w:rFonts w:asciiTheme="majorHAnsi" w:hAnsiTheme="majorHAnsi"/>
          <w:sz w:val="18"/>
          <w:szCs w:val="18"/>
        </w:rPr>
        <w:t xml:space="preserve"> dob</w:t>
      </w:r>
      <w:r>
        <w:rPr>
          <w:rFonts w:asciiTheme="majorHAnsi" w:hAnsiTheme="majorHAnsi"/>
          <w:sz w:val="18"/>
          <w:szCs w:val="18"/>
        </w:rPr>
        <w:t>o</w:t>
      </w:r>
      <w:r w:rsidRPr="009376A6">
        <w:rPr>
          <w:rFonts w:asciiTheme="majorHAnsi" w:hAnsiTheme="majorHAnsi"/>
          <w:sz w:val="18"/>
          <w:szCs w:val="18"/>
        </w:rPr>
        <w:t xml:space="preserve">u nájmu </w:t>
      </w:r>
      <w:r>
        <w:rPr>
          <w:rFonts w:asciiTheme="majorHAnsi" w:hAnsiTheme="majorHAnsi"/>
          <w:sz w:val="18"/>
          <w:szCs w:val="18"/>
        </w:rPr>
        <w:t>4 roky</w:t>
      </w:r>
      <w:r w:rsidR="003C1FCD">
        <w:rPr>
          <w:rFonts w:asciiTheme="majorHAnsi" w:hAnsiTheme="majorHAnsi"/>
          <w:sz w:val="18"/>
          <w:szCs w:val="18"/>
        </w:rPr>
        <w:t xml:space="preserve"> </w:t>
      </w:r>
      <w:r w:rsidR="004129E8">
        <w:rPr>
          <w:rFonts w:asciiTheme="majorHAnsi" w:hAnsiTheme="majorHAnsi"/>
          <w:sz w:val="18"/>
          <w:szCs w:val="18"/>
        </w:rPr>
        <w:t>s možnosťou predĺženia</w:t>
      </w:r>
      <w:r>
        <w:rPr>
          <w:rFonts w:asciiTheme="majorHAnsi" w:hAnsiTheme="majorHAnsi"/>
          <w:sz w:val="18"/>
          <w:szCs w:val="18"/>
        </w:rPr>
        <w:t xml:space="preserve">, tzn. </w:t>
      </w:r>
      <w:r w:rsidRPr="009376A6">
        <w:rPr>
          <w:rFonts w:asciiTheme="majorHAnsi" w:hAnsiTheme="majorHAnsi"/>
          <w:sz w:val="18"/>
          <w:szCs w:val="18"/>
        </w:rPr>
        <w:t>01.12.2018 – 30.11.20</w:t>
      </w:r>
      <w:r>
        <w:rPr>
          <w:rFonts w:asciiTheme="majorHAnsi" w:hAnsiTheme="majorHAnsi"/>
          <w:sz w:val="18"/>
          <w:szCs w:val="18"/>
        </w:rPr>
        <w:t>22</w:t>
      </w:r>
      <w:r w:rsidRPr="009376A6">
        <w:rPr>
          <w:rFonts w:asciiTheme="majorHAnsi" w:hAnsiTheme="majorHAnsi"/>
          <w:sz w:val="18"/>
          <w:szCs w:val="18"/>
        </w:rPr>
        <w:t>.</w:t>
      </w:r>
    </w:p>
    <w:p w:rsidR="009376A6" w:rsidRPr="009376A6" w:rsidRDefault="009376A6" w:rsidP="009376A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Pr="009376A6">
        <w:rPr>
          <w:rFonts w:asciiTheme="majorHAnsi" w:hAnsiTheme="majorHAnsi"/>
          <w:sz w:val="18"/>
          <w:szCs w:val="18"/>
        </w:rPr>
        <w:t xml:space="preserve">odporúča rektorovi žiadosti uvedené v bodoch 1 až 12 tohto  materiálu v zmysle článku 3 bod 3 smernice rektora číslo 9/0213-SR predložiť na vyjadrenie predchádzajúceho písomného súhlasu do Akademického senátu STU. </w:t>
      </w:r>
    </w:p>
    <w:p w:rsidR="009376A6" w:rsidRDefault="009376A6" w:rsidP="009376A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Slovak </w:t>
            </w:r>
            <w:proofErr w:type="spellStart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Telekom</w:t>
            </w:r>
            <w:proofErr w:type="spellEnd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, a.s.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Bajkalská 28, 817 62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nájomca je zapísaný v OR OS  Bratislava I, oddiel Sa, vložka č.: 2081/B</w:t>
            </w:r>
          </w:p>
        </w:tc>
      </w:tr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na siedmom poschodí starej budovy v objekte FCHPT na Radlinského 9 v BA pozostávajúci z miestnosti č.705 o výmere 23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o výmere 4,49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: 27,49m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9376A6" w:rsidRPr="001F717D" w:rsidTr="001F717D">
        <w:trPr>
          <w:trHeight w:val="178"/>
        </w:trPr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9376A6" w:rsidRPr="001F717D" w:rsidTr="001F717D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prevádzkové priestory (23m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100,00 €/m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/rok, t. j. 2 300,00 €/rok,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spoločné priestory (4,49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15,00€/m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67,35 €/rok,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591,84 €,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2 367,35 €/rok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376A6" w:rsidRPr="001F717D" w:rsidRDefault="009376A6" w:rsidP="001F717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1F717D">
        <w:trPr>
          <w:trHeight w:val="554"/>
        </w:trPr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 vypočítaná ako aritmetický priemer z platieb za uplynulý kalendárny rok. Vyúčtovanie preddavkov za služby podľa skutočnej spotreby nájomcu do 30 dní od doručenia zúčtovacej faktúry dodávateľom služieb, v kalendárnom roku nasledujúceho po roku, za ktorý spotreba vznikla.</w:t>
            </w:r>
          </w:p>
        </w:tc>
      </w:tr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376A6" w:rsidRDefault="009376A6" w:rsidP="009376A6">
      <w:pPr>
        <w:jc w:val="both"/>
        <w:rPr>
          <w:rFonts w:asciiTheme="majorHAnsi" w:hAnsiTheme="majorHAnsi"/>
          <w:sz w:val="18"/>
          <w:szCs w:val="18"/>
        </w:rPr>
      </w:pPr>
    </w:p>
    <w:p w:rsidR="00E95665" w:rsidRPr="001F717D" w:rsidRDefault="00E95665" w:rsidP="009376A6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GEORGANICS s.r.o.,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Koreničova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1,811 03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nájomca je zapísaný v OR OS  Bratislava I, oddiel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>, vložka č.: 34912/B</w:t>
            </w:r>
          </w:p>
        </w:tc>
      </w:tr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v novej budove v objekte FCHPT na Radlinského 9 v BA pozostávajúci z miestnosti č.307 o výmere 10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o výmere 1,95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: 11,95m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9376A6" w:rsidRPr="001F717D" w:rsidTr="001F717D">
        <w:trPr>
          <w:trHeight w:val="178"/>
        </w:trPr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9376A6" w:rsidRPr="001F717D" w:rsidTr="001F717D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kancelárske priestory (10m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/rok, t. j. 800,00 €/rok,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spoločné priestory (1,95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15,00€/m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29,25 €/rok,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207,31 €,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829,25 €/rok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376A6" w:rsidRPr="001F717D" w:rsidRDefault="009376A6" w:rsidP="001F717D">
            <w:pPr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1F717D">
        <w:trPr>
          <w:trHeight w:val="483"/>
        </w:trPr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vypočítaná ako aritmetický priemer z platieb za uplynulý kalendárny rok. Po uplynutí 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zálohového obdobia sa vyhotoví zúčtovacia faktúra.</w:t>
            </w:r>
          </w:p>
        </w:tc>
      </w:tr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376A6" w:rsidRPr="001F717D" w:rsidRDefault="009376A6" w:rsidP="009376A6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3" w:type="dxa"/>
          </w:tcPr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Malé centrum s.r.o.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Radlinského 9, 812 37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>, vložka č.: 24149/B</w:t>
            </w:r>
          </w:p>
        </w:tc>
      </w:tr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3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v novej budove v objekte FCHPT na Radlinského 9 v BA pozostávajúci zo skladu č.246 o výmere 30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kancelárie č.140 o výmere 30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predajne kníh č.139 o výmere 36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skladu č. P-117 o výmere 66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skladu č.142 o výmere 14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skladu č.126 o výmere 14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o výmere 37,05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: 227,05m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9376A6" w:rsidRPr="001F717D" w:rsidTr="001F717D"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3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9376A6" w:rsidRPr="001F717D" w:rsidTr="001F717D">
        <w:trPr>
          <w:trHeight w:val="178"/>
        </w:trPr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01.11.2018 – 30.11.2023</w:t>
            </w:r>
          </w:p>
        </w:tc>
      </w:tr>
      <w:tr w:rsidR="009376A6" w:rsidRPr="001F717D" w:rsidTr="001F717D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skladové priestory (124m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/rok, t. j. 2 480,00 €/rok,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priestory predajne (36m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40,00 €/m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/rok, t. j. 1 440,00 €/rok,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kancelárske priestory (30m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70,00 €/m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/rok, t. j. 2 100,00 €/rok,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spoločné priestory (37,05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555,75 €/rok,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1 643,94 €,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6 575,75 €/rok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376A6" w:rsidRPr="001F717D" w:rsidRDefault="009376A6" w:rsidP="001F717D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9376A6" w:rsidRPr="001F717D" w:rsidTr="001F717D">
        <w:trPr>
          <w:trHeight w:val="442"/>
        </w:trPr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3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vypočítaná ako aritmetický priemer z platieb za uplynulý kalendárny rok. Po uplynutí </w:t>
            </w:r>
          </w:p>
          <w:p w:rsidR="009376A6" w:rsidRPr="001F717D" w:rsidRDefault="009376A6" w:rsidP="009376A6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zálohového obdobia sa vyhotoví zúčtovacia faktúra.</w:t>
            </w:r>
          </w:p>
        </w:tc>
      </w:tr>
      <w:tr w:rsidR="009376A6" w:rsidRPr="001F717D" w:rsidTr="001F717D">
        <w:trPr>
          <w:trHeight w:val="396"/>
        </w:trPr>
        <w:tc>
          <w:tcPr>
            <w:tcW w:w="42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3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376A6" w:rsidRPr="001F717D" w:rsidTr="001F717D">
        <w:tc>
          <w:tcPr>
            <w:tcW w:w="421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Slovanet</w:t>
            </w:r>
            <w:proofErr w:type="spellEnd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 a.s.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Záhradnícka 151, 821 08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nájomca je zapísaný v OR OS BA I, oddiel Sa, vložka č.: 3692/B</w:t>
            </w:r>
          </w:p>
        </w:tc>
      </w:tr>
      <w:tr w:rsidR="009376A6" w:rsidRPr="001F717D" w:rsidTr="001F717D">
        <w:trPr>
          <w:trHeight w:val="708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sa v starej budove FCHPT na ulici Radlinského 9 v BA pozostávajúci z miestnosti č. 712 o výmere 24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o výmere 4,68m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28,68m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376A6" w:rsidRPr="001F717D" w:rsidTr="001F717D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9376A6" w:rsidRPr="001F717D" w:rsidTr="001F717D">
        <w:trPr>
          <w:trHeight w:val="259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01.11.2018 – 30.11.2023</w:t>
            </w:r>
          </w:p>
        </w:tc>
      </w:tr>
      <w:tr w:rsidR="009376A6" w:rsidRPr="001F717D" w:rsidTr="001F717D">
        <w:trPr>
          <w:trHeight w:val="816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technické priestory (24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90,00 €/m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2 160,00 €/rok,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spoločné priestory (4,68m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70,20 €/rok,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557,55 €,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2 230,20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9376A6" w:rsidRPr="001F717D" w:rsidRDefault="009376A6" w:rsidP="001F717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1F717D">
        <w:trPr>
          <w:trHeight w:val="50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vypočítaná ako aritmetický priemer z platieb za uplynulý kalendárny rok. Po uplynutí 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zálohového obdobia sa vyhotoví zúčtovacia faktúra.</w:t>
            </w:r>
          </w:p>
        </w:tc>
      </w:tr>
      <w:tr w:rsidR="009376A6" w:rsidRPr="001F717D" w:rsidTr="001F717D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376A6" w:rsidRPr="001F717D" w:rsidTr="001F717D">
        <w:tc>
          <w:tcPr>
            <w:tcW w:w="421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A1Synth s.r.o.,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Dr. Valacha 62, 909 01 Skalica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nájomca je zapísaný v OR OS Trnava, oddiel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>, vložka č.: 28329/T</w:t>
            </w:r>
          </w:p>
        </w:tc>
      </w:tr>
      <w:tr w:rsidR="009376A6" w:rsidRPr="001F717D" w:rsidTr="001F717D">
        <w:trPr>
          <w:trHeight w:val="708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sa v starej budove FCHPT na ulici Radlinského 9 v BA pozostávajúci z miestnosti č. 369 o výmere 16,97m2 a pomerná časť spoločných priestorov o výmere 3,31m2,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20,28m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376A6" w:rsidRPr="001F717D" w:rsidTr="001F717D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9376A6" w:rsidRPr="001F717D" w:rsidTr="001F717D">
        <w:trPr>
          <w:trHeight w:val="259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01.11.2018 – 30.11.2022</w:t>
            </w:r>
          </w:p>
        </w:tc>
      </w:tr>
      <w:tr w:rsidR="009376A6" w:rsidRPr="001F717D" w:rsidTr="001F717D">
        <w:trPr>
          <w:trHeight w:val="816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laboratórne priestory (16,97m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70,00 €/m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j.1 187,90 €/rok,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spoločné priestory (3,31m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49,65 €/rok,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309,39 €,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1 237,55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9376A6" w:rsidRPr="001F717D" w:rsidRDefault="009376A6" w:rsidP="001F717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1F717D">
        <w:trPr>
          <w:trHeight w:val="50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vypočítaná ako aritmetický priemer z platieb za uplynulý kalendárny rok. Po uplynutí 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zálohového obdobia sa vyhotoví zúčtovacia faktúra.</w:t>
            </w:r>
          </w:p>
        </w:tc>
      </w:tr>
      <w:tr w:rsidR="009376A6" w:rsidRPr="001F717D" w:rsidTr="001F717D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ANV, s.r.o.,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3, 841 04 Bratislava,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>, vložka č.: 72615/B</w:t>
            </w:r>
          </w:p>
        </w:tc>
      </w:tr>
      <w:tr w:rsidR="009376A6" w:rsidRPr="001F717D" w:rsidTr="009376A6">
        <w:trPr>
          <w:trHeight w:val="708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administratívnej budove FEI STU na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3 pozostávajúce z laboratórií bloku T o celkovej výmere 298,27m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skladové priestory o celkovej výmere 454,94m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kancelársky priestor o výmere 45,75m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spoločné priestory o výmere 176,66m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sociálne zariadenie o výmere 37,18m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1 012,80m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9376A6" w:rsidRPr="001F717D" w:rsidTr="009376A6">
        <w:trPr>
          <w:trHeight w:val="259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9376A6" w:rsidRPr="004129E8" w:rsidRDefault="009376A6" w:rsidP="001F717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29E8">
              <w:rPr>
                <w:rFonts w:asciiTheme="majorHAnsi" w:hAnsiTheme="majorHAnsi"/>
                <w:b/>
                <w:sz w:val="18"/>
                <w:szCs w:val="18"/>
              </w:rPr>
              <w:t>01.12.2018 – 30.11.20</w:t>
            </w:r>
            <w:r w:rsidR="001F717D" w:rsidRPr="004129E8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</w:tr>
      <w:tr w:rsidR="009376A6" w:rsidRPr="001F717D" w:rsidTr="009376A6">
        <w:trPr>
          <w:trHeight w:val="816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kancelársky priestor (45,75m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50,00 €/m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2 287,50 €/rok,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laboratórny priestor (298,27m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33,00 €/m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9 842,91 €/rok,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sklad (454,94m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6 824,10 €/rok,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chodba (176,66m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4,00 €/m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706,64 €/rok,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soc. zariadenie (37,18m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5,00 €/m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185,90 €/rok,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4 961,76,00 €,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19 847,05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9376A6" w:rsidRPr="001F717D" w:rsidRDefault="009376A6" w:rsidP="001F717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9376A6">
        <w:trPr>
          <w:trHeight w:val="50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preddavky na náklady za dodanie energií a služieb sú stanovené zálohovo štvrťročne vopred.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dekan FEI STU  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Alu</w:t>
            </w:r>
            <w:proofErr w:type="spellEnd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BauTech</w:t>
            </w:r>
            <w:proofErr w:type="spellEnd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Bílikova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1866/10, 841 01 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>., vložka č.: 55801/B</w:t>
            </w:r>
          </w:p>
        </w:tc>
      </w:tr>
      <w:tr w:rsidR="009376A6" w:rsidRPr="001F717D" w:rsidTr="009376A6">
        <w:trPr>
          <w:trHeight w:val="708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k NZ  sa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majetok, nebytový priestor nachádzajúci sa na Pionierskej č. 15 v BA na prízemí budovy pozostávajúci z miestnosti č. 8 o výmere 14,60m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,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14,60m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9376A6" w:rsidRPr="001F717D" w:rsidTr="009376A6">
        <w:trPr>
          <w:trHeight w:val="259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01.11.2018 – 31.08.2019</w:t>
            </w:r>
          </w:p>
        </w:tc>
      </w:tr>
      <w:tr w:rsidR="009376A6" w:rsidRPr="001F717D" w:rsidTr="009376A6">
        <w:trPr>
          <w:trHeight w:val="816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miestnosť č. 8 (14,60m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20,26 €/m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295,80 €/rok,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73,95 €,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295,80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9376A6" w:rsidRPr="001F717D" w:rsidRDefault="009376A6" w:rsidP="001F717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9376A6">
        <w:trPr>
          <w:trHeight w:val="50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zálohovo fakturované nájomcovi do 15. dňa 1. mesiaca daného štvrťroka. Po uplynutí polroka 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prenajímateľ vyhotoví nájomcovi zúčtovaciu faktúru za uvedený polrok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STU  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OZ Divadlo Malá scéna,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Dostojevského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rad 7, 811 09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nájomca je OZ zaregistrované na MV SR</w:t>
            </w:r>
          </w:p>
        </w:tc>
      </w:tr>
      <w:tr w:rsidR="009376A6" w:rsidRPr="001F717D" w:rsidTr="009376A6">
        <w:trPr>
          <w:trHeight w:val="708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k NZ  sa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mení výška nájomného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; dočasne nepotrebný majetok, nebytový priestor nachádzajúci sa v ŠD na ul.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č. 14 v BA pozostávajúci z miestností na prízemí a v suteréne, vrátane javiska a hľadiska o celkovej výmere 866,32m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spoločné priestory o výmere 183,34m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  049,66m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prevádzka divadla</w:t>
            </w:r>
          </w:p>
        </w:tc>
      </w:tr>
      <w:tr w:rsidR="009376A6" w:rsidRPr="001F717D" w:rsidTr="009376A6">
        <w:trPr>
          <w:trHeight w:val="259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01.12.2018 – 31.12.2020</w:t>
            </w:r>
          </w:p>
        </w:tc>
      </w:tr>
      <w:tr w:rsidR="009376A6" w:rsidRPr="001F717D" w:rsidTr="009376A6">
        <w:trPr>
          <w:trHeight w:val="816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z dôvodu rekonštrukcie ŠD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dochádza k obmedzeniu prevádzky divadla. Zmluvné strany sa z uvedeného dôvodu dohodli na nájomnom vo výške 1,00 €/m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1 049,66 €/rok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262,42 €,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1 049,66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</w:tc>
      </w:tr>
      <w:tr w:rsidR="009376A6" w:rsidRPr="001F717D" w:rsidTr="009376A6">
        <w:trPr>
          <w:trHeight w:val="50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OZ Divadlo Malá scéna,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Dostojevského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rad 7, 811 09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nájomca je OZ zaregistrované na MV SR</w:t>
            </w:r>
          </w:p>
        </w:tc>
      </w:tr>
      <w:tr w:rsidR="009376A6" w:rsidRPr="001F717D" w:rsidTr="009376A6">
        <w:trPr>
          <w:trHeight w:val="708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k NZ  sa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mení výška nájomného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; dočasne nepotrebný majetok, nebytový priestor nachádzajúci sa v ŠD na ul.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č. 14 v BA pozostávajúci z kancelárií č. 4 a 6 o výmere 39,80m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pomerná časť WC a chodba o výmere 6,00m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45,80m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Kancelárske priestory</w:t>
            </w:r>
          </w:p>
        </w:tc>
      </w:tr>
      <w:tr w:rsidR="009376A6" w:rsidRPr="001F717D" w:rsidTr="009376A6">
        <w:trPr>
          <w:trHeight w:val="259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01.12.2018 – 30.11.2019</w:t>
            </w:r>
          </w:p>
        </w:tc>
      </w:tr>
      <w:tr w:rsidR="009376A6" w:rsidRPr="001F717D" w:rsidTr="009376A6">
        <w:trPr>
          <w:trHeight w:val="816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z dôvodu rekonštrukcie ŠD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dochádza k obmedzeniu prevádzky divadla a kancelárií. Zmluvné strany sa z uvedeného dôvodu dohodli na nájomnom vo výške 1,00 €/m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45,80 €/rok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11,45 €,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45,80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9376A6" w:rsidRPr="001F717D" w:rsidRDefault="009376A6" w:rsidP="001F717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9376A6">
        <w:trPr>
          <w:trHeight w:val="50"/>
        </w:trPr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9376A6" w:rsidRPr="001F717D" w:rsidTr="009376A6">
        <w:tc>
          <w:tcPr>
            <w:tcW w:w="421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9376A6" w:rsidRPr="001F717D" w:rsidRDefault="009376A6" w:rsidP="009376A6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622"/>
        <w:gridCol w:w="7825"/>
      </w:tblGrid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25" w:type="dxa"/>
          </w:tcPr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Intrach</w:t>
            </w:r>
            <w:proofErr w:type="spellEnd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Račianska 1504/13, 831 02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>., vložka č.: 122760/B</w:t>
            </w:r>
          </w:p>
        </w:tc>
      </w:tr>
      <w:tr w:rsidR="009376A6" w:rsidRPr="001F717D" w:rsidTr="001F717D">
        <w:trPr>
          <w:trHeight w:val="708"/>
        </w:trPr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2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sa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352 a 353 spolu s pomernou časťou spoločných priestorov (chodba, WC, kuchynka a pod.) a hnuteľné veci nachádzajúce sa v predmetnom NP na 3. poschodí budovy UTI na Pionierskej 15, Bratislava spolu o výmere 46,10m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46,10m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2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9376A6" w:rsidRPr="001F717D" w:rsidTr="001F717D">
        <w:trPr>
          <w:trHeight w:val="259"/>
        </w:trPr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2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01.11.2018 – 31.10.2019</w:t>
            </w:r>
          </w:p>
        </w:tc>
      </w:tr>
      <w:tr w:rsidR="009376A6" w:rsidRPr="001F717D" w:rsidTr="001F717D">
        <w:trPr>
          <w:trHeight w:val="816"/>
        </w:trPr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5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miestnosť č. 352,353 – 172,40€/mesačne do 15. dňa príslušného kalendárneho mesiaca za daný mesiac. Nájomné za hnuteľné veci zaplatí nájomca vždy do 15. dňa príslušného mesiaca vo výške 65,78 €/mesačne spolu s úhradou sa služby vo výške 172,88 €/mesačne, t. j.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411,07 €/mesiac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9376A6" w:rsidRPr="001F717D" w:rsidTr="001F717D">
        <w:trPr>
          <w:trHeight w:val="50"/>
        </w:trPr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825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elektrina, teplo, TÚV a SÚV, OLO – 172,88 € mesačne  a sú súčasťou mesačného nájomného</w:t>
            </w:r>
          </w:p>
        </w:tc>
      </w:tr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25" w:type="dxa"/>
          </w:tcPr>
          <w:p w:rsidR="009376A6" w:rsidRPr="001F717D" w:rsidRDefault="009376A6" w:rsidP="009376A6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5"/>
        <w:gridCol w:w="1622"/>
        <w:gridCol w:w="7797"/>
      </w:tblGrid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Ing. Tibor </w:t>
            </w:r>
            <w:proofErr w:type="spellStart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Pálszegi</w:t>
            </w:r>
            <w:proofErr w:type="spellEnd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proofErr w:type="spellStart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TheMatExp</w:t>
            </w:r>
            <w:proofErr w:type="spellEnd"/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Fedinova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1117/22 , 851 01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nájomca je podnikateľ zapísaný v Živnostenskom registri vedenom Okresným úradom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Bratislava</w:t>
            </w:r>
          </w:p>
        </w:tc>
      </w:tr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v starej budove v objekte FCHPT na Radlinského 9 v BA pozostávajúci z miestnosti č.215a o výmere 10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o výmere 1,95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: 11,95m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9376A6" w:rsidRPr="001F717D" w:rsidTr="001F717D">
        <w:trPr>
          <w:trHeight w:val="178"/>
        </w:trPr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9376A6" w:rsidRPr="001F717D" w:rsidTr="001F717D">
        <w:trPr>
          <w:trHeight w:val="770"/>
        </w:trPr>
        <w:tc>
          <w:tcPr>
            <w:tcW w:w="505" w:type="dxa"/>
            <w:tcBorders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skladové priestory (10m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/rok, t. j. 200,00 €/rok,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spoločné priestory (1,95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15,00€/m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29,25 €/rok,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štvrťročná výška nájomného je 57,31 €,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spolu ročne: 2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29,25 €/rok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376A6" w:rsidRPr="001F717D" w:rsidRDefault="009376A6" w:rsidP="001F717D">
            <w:pPr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1F717D">
        <w:trPr>
          <w:trHeight w:val="483"/>
        </w:trPr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vypočítaná ako aritmetický priemer z platieb za uplynulý kalendárny rok. Po uplynutí 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zálohového obdobia sa vyhotoví zúčtovacia faktúra.</w:t>
            </w:r>
          </w:p>
        </w:tc>
      </w:tr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5"/>
        <w:gridCol w:w="1622"/>
        <w:gridCol w:w="7797"/>
      </w:tblGrid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VODNÉ ZDROJE SLOVAKIA s.r.o.,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Radlinského 9, 811 07 Bratislava</w:t>
            </w:r>
          </w:p>
          <w:p w:rsidR="009376A6" w:rsidRPr="001F717D" w:rsidRDefault="009376A6" w:rsidP="009376A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nájomca je zapísaný v OR OS  Bratislava I, oddiel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>, vložka č.: 11437/B</w:t>
            </w:r>
          </w:p>
        </w:tc>
      </w:tr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v novej budove v objekte FCHPT na Radlinského 9 v BA pozostávajúci z miestnosti č.1106, 1107, 1108 (kancelárie) o výmere 86m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 miestnosti č. S-64 (sklad) o výmere 14m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o výmere 19,50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: 119,50m</w:t>
            </w:r>
            <w:r w:rsidRPr="001F717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9376A6" w:rsidRPr="001F717D" w:rsidTr="001F717D">
        <w:trPr>
          <w:trHeight w:val="178"/>
        </w:trPr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9376A6" w:rsidRPr="001F717D" w:rsidTr="001F717D">
        <w:trPr>
          <w:trHeight w:val="770"/>
        </w:trPr>
        <w:tc>
          <w:tcPr>
            <w:tcW w:w="505" w:type="dxa"/>
            <w:tcBorders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kancelárske priestory (86m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90,00 €/m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/rok, t. j. 7 740,00 €/rok,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skladové priestory (14m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280,00 €/rok,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spoločné priestory (19,50 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) – 15,00€/m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/rok, t. j. 292,50 €/rok,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lastRenderedPageBreak/>
              <w:t>štvrťročná výška nájomného je 2 078,13 €,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8 312,50 €/rok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376A6" w:rsidRPr="001F717D" w:rsidRDefault="009376A6" w:rsidP="001F717D">
            <w:pPr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376A6" w:rsidRPr="001F717D" w:rsidTr="001F717D">
        <w:trPr>
          <w:trHeight w:val="483"/>
        </w:trPr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vypočítaná ako aritmetický priemer z platieb za uplynulý kalendárny rok. Po uplynutí </w:t>
            </w:r>
          </w:p>
          <w:p w:rsidR="009376A6" w:rsidRPr="001F717D" w:rsidRDefault="009376A6" w:rsidP="009376A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zálohového obdobia sa vyhotoví zúčtovacia faktúra.</w:t>
            </w:r>
          </w:p>
        </w:tc>
      </w:tr>
      <w:tr w:rsidR="009376A6" w:rsidRPr="001F717D" w:rsidTr="001F717D">
        <w:tc>
          <w:tcPr>
            <w:tcW w:w="505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2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376A6" w:rsidRDefault="009376A6" w:rsidP="009376A6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7"/>
        <w:gridCol w:w="1620"/>
        <w:gridCol w:w="7797"/>
      </w:tblGrid>
      <w:tr w:rsidR="009376A6" w:rsidRPr="001F717D" w:rsidTr="001F717D">
        <w:tc>
          <w:tcPr>
            <w:tcW w:w="507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>Rádioklub</w:t>
            </w:r>
            <w:proofErr w:type="spellEnd"/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OMEGA OM3KFF,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Obrancov mieru 58, 902 01 Pezinok,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nájomca je občianske združenie, zaregistrované na MV SR pod č. VVS/1900/90-17831 </w:t>
            </w:r>
          </w:p>
        </w:tc>
      </w:tr>
      <w:tr w:rsidR="009376A6" w:rsidRPr="001F717D" w:rsidTr="001F717D">
        <w:tc>
          <w:tcPr>
            <w:tcW w:w="50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dodatkom č. 1 k 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Zmluve o budúcej nájomnej zmluve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sa predlžuje lehota na uzatvorenie nájomnej zmluvy z 1 na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2 roky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odo dňa nadobudnutia účinnosti zmluvy o budúcej zmluve</w:t>
            </w:r>
          </w:p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predmetom nájomnej zmluvy budú miestnosti č. 06.5,.6,.10 a .11 – skladové priestory spolu o výmere 57,71m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nachádzajúca sa v ŠD Mladosť, Staré grunty 53, Bratislava na 1. nadzemnom podlaží bloku A6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celkom o výmere 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>57,71m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376A6" w:rsidRPr="001F717D" w:rsidTr="001F717D">
        <w:tc>
          <w:tcPr>
            <w:tcW w:w="50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vykonávanie činností spojených s prevádzkovaním rádioamatérskeho vysielania </w:t>
            </w:r>
          </w:p>
        </w:tc>
      </w:tr>
      <w:tr w:rsidR="009376A6" w:rsidRPr="001F717D" w:rsidTr="001F717D">
        <w:trPr>
          <w:trHeight w:val="259"/>
        </w:trPr>
        <w:tc>
          <w:tcPr>
            <w:tcW w:w="50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376A6" w:rsidRPr="001F717D" w:rsidRDefault="009376A6" w:rsidP="009376A6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na 4 roky od uzatvorenia nájomnej zmluvy</w:t>
            </w:r>
          </w:p>
        </w:tc>
      </w:tr>
      <w:tr w:rsidR="009376A6" w:rsidRPr="001F717D" w:rsidTr="001F717D">
        <w:trPr>
          <w:trHeight w:val="305"/>
        </w:trPr>
        <w:tc>
          <w:tcPr>
            <w:tcW w:w="507" w:type="dxa"/>
            <w:tcBorders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nebytové priestory spolu – 1,00 €/m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/ročne , 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t. j. 57,71 € ročne. </w:t>
            </w:r>
          </w:p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vopred, a to najneskôr do 15. dňa prvého mesiaca príslušného štvrťroka vo výške 14,43 € </w:t>
            </w:r>
          </w:p>
          <w:p w:rsidR="009376A6" w:rsidRPr="001F717D" w:rsidRDefault="009376A6" w:rsidP="001F717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znížené nájomné je v súlade s Čl. 5 bod 3 písm. c) smernice </w:t>
            </w:r>
          </w:p>
        </w:tc>
      </w:tr>
      <w:tr w:rsidR="009376A6" w:rsidRPr="001F717D" w:rsidTr="001F717D">
        <w:trPr>
          <w:trHeight w:val="50"/>
        </w:trPr>
        <w:tc>
          <w:tcPr>
            <w:tcW w:w="50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 fakturovať štvrťročne; za dodanie energií vyfakturuje prenajímateľ zálohovo do 15 dní po uplynutí daného štvrťroka. Náklady za dodanie služieb budú fakturované paušálnou sumou do 15 dní po uplynutí príslušného štvrťroka. Prenajímateľ po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zúčtovacích faktúr od dodávateľov energií vyhotoví nájomcovi vyúčtovaciu faktúru za príslušný </w:t>
            </w:r>
          </w:p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preplatku zo zúčtovacej faktúry je 15 kalendárnych dní odo dňa doručenia vyúčtovania nájomcovi. </w:t>
            </w:r>
          </w:p>
        </w:tc>
      </w:tr>
      <w:tr w:rsidR="009376A6" w:rsidRPr="001F717D" w:rsidTr="001F717D">
        <w:tc>
          <w:tcPr>
            <w:tcW w:w="50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riaditeľ ÚZ ŠD a J STU </w:t>
            </w:r>
          </w:p>
        </w:tc>
      </w:tr>
    </w:tbl>
    <w:p w:rsidR="009376A6" w:rsidRPr="001F717D" w:rsidRDefault="009376A6" w:rsidP="009376A6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7797"/>
      </w:tblGrid>
      <w:tr w:rsidR="009376A6" w:rsidRPr="001F717D" w:rsidTr="001F717D">
        <w:tc>
          <w:tcPr>
            <w:tcW w:w="567" w:type="dxa"/>
          </w:tcPr>
          <w:p w:rsidR="009376A6" w:rsidRPr="001F717D" w:rsidRDefault="009376A6" w:rsidP="009376A6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Študentské združenie IRŠ TLIS pri STU,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o. z., ŠD Mladosť, Staré grunty 53, Bratislava, </w:t>
            </w:r>
          </w:p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nájomca je občianske združenie, zaregistrované na MV SR pod č. VVS/1900/90-45900</w:t>
            </w:r>
          </w:p>
        </w:tc>
      </w:tr>
      <w:tr w:rsidR="009376A6" w:rsidRPr="001F717D" w:rsidTr="001F717D">
        <w:tc>
          <w:tcPr>
            <w:tcW w:w="56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 xml:space="preserve">dodatkom č. 1 k 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Zmluve o budúcej nájomnej zmluve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sa predlžuje lehota na uzatvorenie nájomnej zmluvy z 1 na </w:t>
            </w:r>
            <w:r w:rsidRPr="001F717D">
              <w:rPr>
                <w:rFonts w:asciiTheme="majorHAnsi" w:hAnsiTheme="majorHAnsi"/>
                <w:b/>
                <w:sz w:val="18"/>
                <w:szCs w:val="18"/>
              </w:rPr>
              <w:t>2 roky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odo dňa nadobudnutia účinnosti zmluvy o budúcej zmluve</w:t>
            </w:r>
          </w:p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predmetom nájomnej zmluvy budú miestnosti č. B4 o výmere 39,66m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a B4 o výmere 41,08m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 – skladové priestory spolu o výmere 80,74m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nachádzajúca sa v ŠD Mladosť, Staré grunty 53, Bratislava na zníženom  podlaží bloku A8, </w:t>
            </w:r>
          </w:p>
          <w:p w:rsidR="009376A6" w:rsidRPr="001F717D" w:rsidRDefault="009376A6" w:rsidP="009376A6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predmet nájmu celkom o výmere 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>80,74m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376A6" w:rsidRPr="001F717D" w:rsidTr="001F717D">
        <w:tc>
          <w:tcPr>
            <w:tcW w:w="56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vykonávanie činností spojených s prevádzkovaním študentského rádia, ktoré zahŕňa najmä živé moderovanie vysielania, prípravu relácií, nahrávanie,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workshopy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pre členov rádia</w:t>
            </w:r>
          </w:p>
        </w:tc>
      </w:tr>
      <w:tr w:rsidR="009376A6" w:rsidRPr="001F717D" w:rsidTr="001F717D">
        <w:trPr>
          <w:trHeight w:val="259"/>
        </w:trPr>
        <w:tc>
          <w:tcPr>
            <w:tcW w:w="56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na 4 roky od uzatvorenia nájomnej zmluvy </w:t>
            </w:r>
          </w:p>
        </w:tc>
      </w:tr>
      <w:tr w:rsidR="009376A6" w:rsidRPr="001F717D" w:rsidTr="001F717D">
        <w:tc>
          <w:tcPr>
            <w:tcW w:w="56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56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nebytové priestory spolu – 1,00 €/m</w:t>
            </w:r>
            <w:r w:rsidRPr="001F717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F717D">
              <w:rPr>
                <w:rFonts w:asciiTheme="majorHAnsi" w:hAnsiTheme="majorHAnsi"/>
                <w:sz w:val="18"/>
                <w:szCs w:val="18"/>
              </w:rPr>
              <w:t xml:space="preserve">/ročne , </w:t>
            </w:r>
            <w:r w:rsidRPr="001F71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t. j. 80,74 € ročne. </w:t>
            </w:r>
          </w:p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vopred, a to najneskôr do 15. dňa prvého mesiaca príslušného štvrťroka vo výške 20,19 €, </w:t>
            </w:r>
          </w:p>
          <w:p w:rsidR="009376A6" w:rsidRPr="001F717D" w:rsidRDefault="009376A6" w:rsidP="001F717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znížené nájomné je v súlade s Čl. 5 bod 3 písm. c) smernice </w:t>
            </w:r>
          </w:p>
        </w:tc>
      </w:tr>
      <w:tr w:rsidR="009376A6" w:rsidRPr="001F717D" w:rsidTr="001F717D">
        <w:trPr>
          <w:trHeight w:val="50"/>
        </w:trPr>
        <w:tc>
          <w:tcPr>
            <w:tcW w:w="56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 fakturovať štvrťročne; za dodanie energií vyfakturuje prenajímateľ zálohovo do 15 dní po uplynutí daného štvrťroka. Náklady za dodanie služieb budú fakturované paušálnou  sumou do 15 dní po uplynutí príslušného štvrťroka. Prenajímateľ po </w:t>
            </w:r>
            <w:proofErr w:type="spellStart"/>
            <w:r w:rsidRPr="001F717D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1F717D">
              <w:rPr>
                <w:rFonts w:asciiTheme="majorHAnsi" w:hAnsiTheme="majorHAnsi"/>
                <w:sz w:val="18"/>
                <w:szCs w:val="18"/>
              </w:rPr>
              <w:t xml:space="preserve"> zúčtovacích faktúr od dodávateľov energií vyhotoví nájomcovi vyúčtovaciu faktúru za príslušný </w:t>
            </w:r>
          </w:p>
          <w:p w:rsidR="009376A6" w:rsidRPr="001F717D" w:rsidRDefault="009376A6" w:rsidP="009376A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preplatku zo zúčtovacej faktúry je 15 kalendárnych dní odo dňa doručenia vyúčtovania nájomcovi. </w:t>
            </w:r>
          </w:p>
        </w:tc>
      </w:tr>
      <w:tr w:rsidR="009376A6" w:rsidRPr="001F717D" w:rsidTr="001F717D">
        <w:tc>
          <w:tcPr>
            <w:tcW w:w="567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76A6" w:rsidRPr="001F717D" w:rsidRDefault="009376A6" w:rsidP="009376A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7" w:type="dxa"/>
          </w:tcPr>
          <w:p w:rsidR="009376A6" w:rsidRPr="001F717D" w:rsidRDefault="009376A6" w:rsidP="009376A6">
            <w:pPr>
              <w:rPr>
                <w:rFonts w:asciiTheme="majorHAnsi" w:hAnsiTheme="majorHAnsi"/>
                <w:sz w:val="18"/>
                <w:szCs w:val="18"/>
              </w:rPr>
            </w:pPr>
            <w:r w:rsidRPr="001F717D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9376A6" w:rsidRPr="001F717D" w:rsidRDefault="009376A6" w:rsidP="009376A6">
      <w:pPr>
        <w:rPr>
          <w:rFonts w:asciiTheme="majorHAnsi" w:hAnsiTheme="majorHAnsi"/>
          <w:sz w:val="18"/>
          <w:szCs w:val="18"/>
        </w:rPr>
      </w:pPr>
    </w:p>
    <w:p w:rsidR="003C1FCD" w:rsidRDefault="003C1FCD" w:rsidP="004129E8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129E8" w:rsidRDefault="004129E8" w:rsidP="004129E8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4129E8">
        <w:rPr>
          <w:rFonts w:asciiTheme="majorHAnsi" w:hAnsiTheme="majorHAnsi"/>
          <w:b/>
          <w:sz w:val="18"/>
          <w:szCs w:val="18"/>
          <w:u w:val="single"/>
        </w:rPr>
        <w:t>Legislatívne zmeny v oblasti vysokých škôl a postup ich implementácie na STU – informácia</w:t>
      </w:r>
    </w:p>
    <w:p w:rsidR="004129E8" w:rsidRPr="00390E23" w:rsidRDefault="004129E8" w:rsidP="004129E8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129E8" w:rsidRPr="004129E8" w:rsidRDefault="004129E8" w:rsidP="004129E8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4129E8">
        <w:rPr>
          <w:rFonts w:asciiTheme="majorHAnsi" w:hAnsiTheme="majorHAnsi" w:cs="Calibri"/>
          <w:sz w:val="18"/>
          <w:szCs w:val="18"/>
        </w:rPr>
        <w:t xml:space="preserve">Materiál uviedol kvestor ako informáciu </w:t>
      </w:r>
      <w:r w:rsidRPr="004129E8">
        <w:rPr>
          <w:rFonts w:asciiTheme="majorHAnsi" w:hAnsiTheme="majorHAnsi"/>
          <w:sz w:val="18"/>
          <w:szCs w:val="18"/>
        </w:rPr>
        <w:t>o legislatívnych zmenách v oblasti vysokých škôl v súvislosti s prijatím zákona o zabezpečovaní kvality vysokoškolského vzdelávania a novely zákona o vysokých školách.</w:t>
      </w:r>
    </w:p>
    <w:p w:rsidR="004129E8" w:rsidRPr="004129E8" w:rsidRDefault="004129E8" w:rsidP="004129E8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4129E8">
        <w:rPr>
          <w:rFonts w:asciiTheme="majorHAnsi" w:hAnsiTheme="majorHAnsi" w:cs="Arial"/>
          <w:b/>
          <w:color w:val="C00000"/>
          <w:sz w:val="18"/>
          <w:szCs w:val="18"/>
        </w:rPr>
        <w:t>UZNESENIE: 19.9/</w:t>
      </w:r>
      <w:r w:rsidRPr="004129E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4129E8" w:rsidRPr="004129E8" w:rsidRDefault="004129E8" w:rsidP="004129E8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 w:rsidRPr="004129E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4129E8">
        <w:rPr>
          <w:rFonts w:asciiTheme="majorHAnsi" w:hAnsiTheme="majorHAnsi"/>
          <w:sz w:val="18"/>
          <w:szCs w:val="18"/>
        </w:rPr>
        <w:t>berie na vedomie informáciu o legislatívnych zmenách v oblasti vysokých škôl a postupe ich implementácie na STU.</w:t>
      </w:r>
    </w:p>
    <w:p w:rsidR="004129E8" w:rsidRDefault="004129E8" w:rsidP="00D96C5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95665" w:rsidRDefault="00E95665" w:rsidP="004129E8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95665" w:rsidRDefault="00E95665" w:rsidP="004129E8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95665" w:rsidRDefault="00E95665" w:rsidP="004129E8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95665" w:rsidRDefault="00E95665" w:rsidP="004129E8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95665" w:rsidRDefault="00E95665" w:rsidP="004129E8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129E8" w:rsidRDefault="004129E8" w:rsidP="004129E8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10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4129E8">
        <w:rPr>
          <w:rFonts w:asciiTheme="majorHAnsi" w:hAnsiTheme="majorHAnsi"/>
          <w:b/>
          <w:sz w:val="18"/>
          <w:szCs w:val="18"/>
          <w:u w:val="single"/>
        </w:rPr>
        <w:t>Súdne spory STU – informácia</w:t>
      </w:r>
    </w:p>
    <w:p w:rsidR="004129E8" w:rsidRPr="00390E23" w:rsidRDefault="004129E8" w:rsidP="004129E8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129E8" w:rsidRPr="004129E8" w:rsidRDefault="004129E8" w:rsidP="004129E8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4129E8">
        <w:rPr>
          <w:rFonts w:asciiTheme="majorHAnsi" w:hAnsiTheme="majorHAnsi" w:cs="Calibri"/>
          <w:sz w:val="18"/>
          <w:szCs w:val="18"/>
        </w:rPr>
        <w:t xml:space="preserve">Materiál uviedol kvestor ako </w:t>
      </w:r>
      <w:r w:rsidRPr="004129E8">
        <w:rPr>
          <w:rFonts w:asciiTheme="majorHAnsi" w:hAnsiTheme="majorHAnsi"/>
          <w:sz w:val="18"/>
          <w:szCs w:val="18"/>
        </w:rPr>
        <w:t>aktuálnu informáciu</w:t>
      </w:r>
      <w:r>
        <w:rPr>
          <w:rFonts w:asciiTheme="majorHAnsi" w:hAnsiTheme="majorHAnsi"/>
          <w:sz w:val="18"/>
          <w:szCs w:val="18"/>
        </w:rPr>
        <w:t xml:space="preserve"> </w:t>
      </w:r>
      <w:r w:rsidRPr="004129E8">
        <w:rPr>
          <w:rFonts w:asciiTheme="majorHAnsi" w:hAnsiTheme="majorHAnsi"/>
          <w:sz w:val="18"/>
          <w:szCs w:val="18"/>
        </w:rPr>
        <w:t>o súdnych sporoch, v ktorých je jednou zo strán sporu Slovenská technická univerzita v Bratislave.</w:t>
      </w:r>
    </w:p>
    <w:p w:rsidR="004129E8" w:rsidRPr="004129E8" w:rsidRDefault="004129E8" w:rsidP="004129E8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4129E8">
        <w:rPr>
          <w:rFonts w:asciiTheme="majorHAnsi" w:hAnsiTheme="majorHAnsi" w:cs="Arial"/>
          <w:b/>
          <w:color w:val="C00000"/>
          <w:sz w:val="18"/>
          <w:szCs w:val="18"/>
        </w:rPr>
        <w:t>UZNESENIE: 19.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4129E8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4129E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4129E8" w:rsidRPr="004129E8" w:rsidRDefault="004129E8" w:rsidP="004129E8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 w:rsidRPr="004129E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4129E8">
        <w:rPr>
          <w:rFonts w:asciiTheme="majorHAnsi" w:hAnsiTheme="majorHAnsi"/>
          <w:sz w:val="18"/>
          <w:szCs w:val="18"/>
        </w:rPr>
        <w:t>berie na vedomie informáciu o</w:t>
      </w:r>
      <w:r>
        <w:rPr>
          <w:rFonts w:asciiTheme="majorHAnsi" w:hAnsiTheme="majorHAnsi"/>
          <w:sz w:val="18"/>
          <w:szCs w:val="18"/>
        </w:rPr>
        <w:t> súdnych sporoch STU</w:t>
      </w:r>
      <w:r w:rsidRPr="004129E8">
        <w:rPr>
          <w:rFonts w:asciiTheme="majorHAnsi" w:hAnsiTheme="majorHAnsi"/>
          <w:sz w:val="18"/>
          <w:szCs w:val="18"/>
        </w:rPr>
        <w:t>.</w:t>
      </w:r>
    </w:p>
    <w:p w:rsidR="004A57A9" w:rsidRDefault="004A57A9" w:rsidP="00D96C5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D96C5B" w:rsidRDefault="00D96C5B" w:rsidP="00D96C5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129E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11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5090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D96C5B" w:rsidRDefault="00D96C5B" w:rsidP="00D96C5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D96C5B" w:rsidRPr="00CD7501" w:rsidRDefault="00D96C5B" w:rsidP="00D96C5B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129E8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4129E8"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– </w:t>
      </w:r>
      <w:r w:rsidR="004A57A9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).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4A57A9" w:rsidRPr="004A57A9" w:rsidRDefault="004A57A9" w:rsidP="004A57A9">
      <w:pPr>
        <w:pStyle w:val="Odsekzoznamu"/>
        <w:numPr>
          <w:ilvl w:val="0"/>
          <w:numId w:val="15"/>
        </w:numPr>
        <w:rPr>
          <w:rFonts w:asciiTheme="majorHAnsi" w:hAnsiTheme="majorHAnsi"/>
          <w:b/>
          <w:bCs/>
          <w:sz w:val="18"/>
          <w:szCs w:val="18"/>
        </w:rPr>
      </w:pPr>
      <w:r w:rsidRPr="004A57A9">
        <w:rPr>
          <w:rFonts w:asciiTheme="majorHAnsi" w:hAnsiTheme="majorHAnsi"/>
          <w:b/>
          <w:sz w:val="18"/>
          <w:szCs w:val="18"/>
        </w:rPr>
        <w:t>Česká republika - Brno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4A57A9" w:rsidRPr="004A57A9" w:rsidTr="004A57A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A57A9">
              <w:rPr>
                <w:rFonts w:asciiTheme="majorHAnsi" w:hAnsiTheme="majorHAnsi"/>
                <w:bCs/>
                <w:sz w:val="18"/>
                <w:szCs w:val="18"/>
              </w:rPr>
              <w:t xml:space="preserve">Účasť na veľtrhu </w:t>
            </w:r>
            <w:proofErr w:type="spellStart"/>
            <w:r w:rsidRPr="004A57A9">
              <w:rPr>
                <w:rFonts w:asciiTheme="majorHAnsi" w:hAnsiTheme="majorHAnsi"/>
                <w:bCs/>
                <w:sz w:val="18"/>
                <w:szCs w:val="18"/>
              </w:rPr>
              <w:t>Gaudeamus</w:t>
            </w:r>
            <w:proofErr w:type="spellEnd"/>
            <w:r w:rsidRPr="004A57A9">
              <w:rPr>
                <w:rFonts w:asciiTheme="majorHAnsi" w:hAnsiTheme="majorHAnsi"/>
                <w:bCs/>
                <w:sz w:val="18"/>
                <w:szCs w:val="18"/>
              </w:rPr>
              <w:t xml:space="preserve"> 2018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22.-26.10.2018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Ing. Zuzana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Mokošová</w:t>
            </w:r>
            <w:proofErr w:type="spellEnd"/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eastAsiaTheme="minorHAnsi" w:hAnsiTheme="majorHAnsi"/>
                <w:sz w:val="18"/>
                <w:szCs w:val="18"/>
              </w:rPr>
              <w:t>1007 – Útvar práce s verejnosťou</w:t>
            </w:r>
          </w:p>
        </w:tc>
      </w:tr>
    </w:tbl>
    <w:p w:rsidR="004A57A9" w:rsidRPr="004A57A9" w:rsidRDefault="004A57A9" w:rsidP="004A57A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4A57A9" w:rsidRPr="004A57A9" w:rsidRDefault="004A57A9" w:rsidP="004A57A9">
      <w:pPr>
        <w:pStyle w:val="Odsekzoznamu"/>
        <w:numPr>
          <w:ilvl w:val="0"/>
          <w:numId w:val="15"/>
        </w:numPr>
        <w:rPr>
          <w:rFonts w:asciiTheme="majorHAnsi" w:hAnsiTheme="majorHAnsi"/>
          <w:b/>
          <w:bCs/>
          <w:sz w:val="18"/>
          <w:szCs w:val="18"/>
        </w:rPr>
      </w:pPr>
      <w:r w:rsidRPr="004A57A9">
        <w:rPr>
          <w:rFonts w:asciiTheme="majorHAnsi" w:hAnsiTheme="majorHAnsi"/>
          <w:b/>
          <w:sz w:val="18"/>
          <w:szCs w:val="18"/>
        </w:rPr>
        <w:t>Nemecko - Drážďany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4A57A9" w:rsidRPr="004A57A9" w:rsidTr="004A57A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Rokovanie o strategických projektoch H2020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18.-19.10.2018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Nemecko - Drážďany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Dr.h.c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 xml:space="preserve">. prof.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Dr.Ing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>. Oliver Moravčík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bez nákladov na R-STU (MTF)</w:t>
            </w:r>
          </w:p>
        </w:tc>
      </w:tr>
    </w:tbl>
    <w:p w:rsidR="004A57A9" w:rsidRPr="004A57A9" w:rsidRDefault="004A57A9" w:rsidP="004A57A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4A57A9" w:rsidRPr="004A57A9" w:rsidRDefault="004A57A9" w:rsidP="004A57A9">
      <w:pPr>
        <w:pStyle w:val="Odsekzoznamu"/>
        <w:numPr>
          <w:ilvl w:val="0"/>
          <w:numId w:val="15"/>
        </w:numPr>
        <w:rPr>
          <w:rFonts w:asciiTheme="majorHAnsi" w:hAnsiTheme="majorHAnsi"/>
          <w:b/>
          <w:bCs/>
          <w:sz w:val="18"/>
          <w:szCs w:val="18"/>
        </w:rPr>
      </w:pPr>
      <w:r w:rsidRPr="004A57A9">
        <w:rPr>
          <w:rFonts w:asciiTheme="majorHAnsi" w:hAnsiTheme="majorHAnsi"/>
          <w:b/>
          <w:sz w:val="18"/>
          <w:szCs w:val="18"/>
        </w:rPr>
        <w:t>Bulharsko - Sofia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4A57A9" w:rsidRPr="004A57A9" w:rsidTr="004A57A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Pracovné stretnutie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Konfuciových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 xml:space="preserve"> inštitútov, európskych vetiev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23.-25.10.2018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Bulharsko - Sofia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500 €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Ing.  Petra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Kotuliaková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4A57A9" w:rsidRPr="004A57A9" w:rsidRDefault="004A57A9" w:rsidP="004A57A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4A57A9" w:rsidRPr="004A57A9" w:rsidRDefault="004A57A9" w:rsidP="004A57A9">
      <w:pPr>
        <w:pStyle w:val="Odsekzoznamu"/>
        <w:numPr>
          <w:ilvl w:val="0"/>
          <w:numId w:val="15"/>
        </w:numPr>
        <w:rPr>
          <w:rFonts w:asciiTheme="majorHAnsi" w:hAnsiTheme="majorHAnsi"/>
          <w:b/>
          <w:bCs/>
          <w:sz w:val="18"/>
          <w:szCs w:val="18"/>
        </w:rPr>
      </w:pPr>
      <w:r w:rsidRPr="004A57A9">
        <w:rPr>
          <w:rFonts w:asciiTheme="majorHAnsi" w:hAnsiTheme="majorHAnsi"/>
          <w:b/>
          <w:sz w:val="18"/>
          <w:szCs w:val="18"/>
        </w:rPr>
        <w:t xml:space="preserve">Maďarsko - </w:t>
      </w:r>
      <w:proofErr w:type="spellStart"/>
      <w:r w:rsidRPr="004A57A9">
        <w:rPr>
          <w:rFonts w:asciiTheme="majorHAnsi" w:hAnsiTheme="majorHAnsi"/>
          <w:b/>
          <w:sz w:val="18"/>
          <w:szCs w:val="18"/>
        </w:rPr>
        <w:t>Győr</w:t>
      </w:r>
      <w:proofErr w:type="spellEnd"/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4A57A9" w:rsidRPr="004A57A9" w:rsidTr="004A57A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 w:rsidP="004A57A9">
            <w:pPr>
              <w:ind w:left="34" w:hanging="34"/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Rokovanie na úrovni prorektorov o spolupráci pri príprave projektov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25.10.2018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Maďarsko -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Győr</w:t>
            </w:r>
            <w:proofErr w:type="spellEnd"/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50 €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Dr.h.c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 xml:space="preserve">. prof.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Dr.Ing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>. Oliver Moravčík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4A57A9" w:rsidRPr="004A57A9" w:rsidRDefault="004A57A9" w:rsidP="004A57A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4A57A9" w:rsidRPr="004A57A9" w:rsidRDefault="004A57A9" w:rsidP="004A57A9">
      <w:pPr>
        <w:pStyle w:val="Odsekzoznamu"/>
        <w:numPr>
          <w:ilvl w:val="0"/>
          <w:numId w:val="15"/>
        </w:numPr>
        <w:rPr>
          <w:rFonts w:asciiTheme="majorHAnsi" w:hAnsiTheme="majorHAnsi"/>
          <w:b/>
          <w:bCs/>
          <w:sz w:val="18"/>
          <w:szCs w:val="18"/>
        </w:rPr>
      </w:pPr>
      <w:r w:rsidRPr="004A57A9">
        <w:rPr>
          <w:rFonts w:asciiTheme="majorHAnsi" w:hAnsiTheme="majorHAnsi"/>
          <w:b/>
          <w:sz w:val="18"/>
          <w:szCs w:val="18"/>
        </w:rPr>
        <w:t>Slovinsko - Ľubľana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4A57A9" w:rsidRPr="004A57A9" w:rsidTr="004A57A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Pracovné konzultácie s prof. J.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Dolinšekom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 xml:space="preserve">, obhajoba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diz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>. práce nášho spoločného doktoranda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14.-16.11.2018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Slovinsko - Ľubľana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Prof. Ing. Jozef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Janovec</w:t>
            </w:r>
            <w:proofErr w:type="spellEnd"/>
            <w:r w:rsidRPr="004A57A9">
              <w:rPr>
                <w:rFonts w:asciiTheme="majorHAnsi" w:hAnsiTheme="majorHAnsi"/>
                <w:sz w:val="18"/>
                <w:szCs w:val="18"/>
              </w:rPr>
              <w:t>, DrSc.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Náklady hradí prijímajúca strana</w:t>
            </w:r>
          </w:p>
        </w:tc>
      </w:tr>
    </w:tbl>
    <w:p w:rsidR="004A57A9" w:rsidRPr="004A57A9" w:rsidRDefault="004A57A9" w:rsidP="004A57A9">
      <w:pPr>
        <w:jc w:val="both"/>
        <w:rPr>
          <w:rFonts w:asciiTheme="majorHAnsi" w:hAnsiTheme="majorHAnsi"/>
          <w:sz w:val="18"/>
          <w:szCs w:val="18"/>
          <w:highlight w:val="yellow"/>
        </w:rPr>
      </w:pPr>
    </w:p>
    <w:p w:rsidR="004A57A9" w:rsidRPr="004A57A9" w:rsidRDefault="004A57A9" w:rsidP="004A57A9">
      <w:pPr>
        <w:pStyle w:val="Odsekzoznamu"/>
        <w:numPr>
          <w:ilvl w:val="0"/>
          <w:numId w:val="15"/>
        </w:numPr>
        <w:rPr>
          <w:rFonts w:asciiTheme="majorHAnsi" w:hAnsiTheme="majorHAnsi"/>
          <w:b/>
          <w:bCs/>
          <w:sz w:val="18"/>
          <w:szCs w:val="18"/>
        </w:rPr>
      </w:pPr>
      <w:r w:rsidRPr="004A57A9">
        <w:rPr>
          <w:rFonts w:asciiTheme="majorHAnsi" w:hAnsiTheme="majorHAnsi"/>
          <w:b/>
          <w:sz w:val="18"/>
          <w:szCs w:val="18"/>
        </w:rPr>
        <w:t xml:space="preserve">Maďarsko - </w:t>
      </w:r>
      <w:proofErr w:type="spellStart"/>
      <w:r w:rsidRPr="004A57A9">
        <w:rPr>
          <w:rFonts w:asciiTheme="majorHAnsi" w:hAnsiTheme="majorHAnsi"/>
          <w:b/>
          <w:sz w:val="18"/>
          <w:szCs w:val="18"/>
        </w:rPr>
        <w:t>Győr</w:t>
      </w:r>
      <w:proofErr w:type="spellEnd"/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4A57A9" w:rsidRPr="004A57A9" w:rsidTr="004A57A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Rokovanie o spolupráci pri príprave projektov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25.10.2018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 xml:space="preserve">Maďarsko - </w:t>
            </w:r>
            <w:proofErr w:type="spellStart"/>
            <w:r w:rsidRPr="004A57A9">
              <w:rPr>
                <w:rFonts w:asciiTheme="majorHAnsi" w:hAnsiTheme="majorHAnsi"/>
                <w:sz w:val="18"/>
                <w:szCs w:val="18"/>
              </w:rPr>
              <w:t>Győr</w:t>
            </w:r>
            <w:proofErr w:type="spellEnd"/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50 €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Ing. Erika Kučerová</w:t>
            </w:r>
          </w:p>
        </w:tc>
      </w:tr>
      <w:tr w:rsidR="004A57A9" w:rsidRPr="004A57A9" w:rsidTr="004A57A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A9" w:rsidRPr="004A57A9" w:rsidRDefault="004A57A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A57A9">
              <w:rPr>
                <w:rFonts w:asciiTheme="majorHAnsi" w:hAnsiTheme="majorHAnsi"/>
                <w:sz w:val="18"/>
                <w:szCs w:val="18"/>
              </w:rPr>
              <w:t>1030 PS</w:t>
            </w:r>
          </w:p>
        </w:tc>
      </w:tr>
    </w:tbl>
    <w:p w:rsidR="004A57A9" w:rsidRPr="004A57A9" w:rsidRDefault="004A57A9" w:rsidP="004A57A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4A57A9" w:rsidRDefault="004A57A9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3C1FCD" w:rsidRDefault="003C1FCD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3C1FCD" w:rsidRDefault="003C1FCD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3C1FCD" w:rsidRDefault="003C1FCD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050909" w:rsidRDefault="00E657CC" w:rsidP="0005090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E657CC" w:rsidRDefault="00E657CC" w:rsidP="00E657CC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4A57A9">
        <w:rPr>
          <w:rFonts w:asciiTheme="majorHAnsi" w:hAnsiTheme="majorHAnsi" w:cs="Arial"/>
          <w:sz w:val="18"/>
          <w:szCs w:val="18"/>
        </w:rPr>
        <w:t> aktuálnom stave výzvy DSV a</w:t>
      </w:r>
      <w:r w:rsidR="007F6ABB">
        <w:rPr>
          <w:rFonts w:asciiTheme="majorHAnsi" w:hAnsiTheme="majorHAnsi" w:cs="Arial"/>
          <w:sz w:val="18"/>
          <w:szCs w:val="18"/>
        </w:rPr>
        <w:t xml:space="preserve"> progrese v rámci </w:t>
      </w:r>
      <w:r w:rsidR="004A57A9">
        <w:rPr>
          <w:rFonts w:asciiTheme="majorHAnsi" w:hAnsiTheme="majorHAnsi" w:cs="Arial"/>
          <w:sz w:val="18"/>
          <w:szCs w:val="18"/>
        </w:rPr>
        <w:t>prebiehajúcich projekto</w:t>
      </w:r>
      <w:r w:rsidR="007F6ABB">
        <w:rPr>
          <w:rFonts w:asciiTheme="majorHAnsi" w:hAnsiTheme="majorHAnsi" w:cs="Arial"/>
          <w:sz w:val="18"/>
          <w:szCs w:val="18"/>
        </w:rPr>
        <w:t>v</w:t>
      </w:r>
    </w:p>
    <w:p w:rsidR="00860E31" w:rsidRDefault="00860E31" w:rsidP="00050909">
      <w:pPr>
        <w:ind w:right="284"/>
        <w:rPr>
          <w:rFonts w:asciiTheme="majorHAnsi" w:hAnsiTheme="majorHAnsi" w:cs="Arial"/>
          <w:sz w:val="18"/>
          <w:szCs w:val="18"/>
        </w:rPr>
      </w:pPr>
    </w:p>
    <w:p w:rsidR="007D7AC2" w:rsidRDefault="007D7AC2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7F6ABB" w:rsidRPr="007F6ABB" w:rsidRDefault="00190AB4" w:rsidP="007F6ABB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7F6ABB">
        <w:rPr>
          <w:rFonts w:asciiTheme="majorHAnsi" w:hAnsiTheme="majorHAnsi" w:cs="Arial"/>
          <w:sz w:val="18"/>
          <w:szCs w:val="18"/>
        </w:rPr>
        <w:t>informoval o</w:t>
      </w:r>
      <w:r w:rsidR="007F6ABB" w:rsidRPr="007F6ABB">
        <w:rPr>
          <w:rFonts w:asciiTheme="majorHAnsi" w:hAnsiTheme="majorHAnsi" w:cs="Arial"/>
          <w:sz w:val="18"/>
          <w:szCs w:val="18"/>
        </w:rPr>
        <w:t xml:space="preserve"> iniciatíve tlačového odboru ÚV SR, </w:t>
      </w:r>
      <w:r w:rsidR="007F6ABB">
        <w:rPr>
          <w:rFonts w:asciiTheme="majorHAnsi" w:hAnsiTheme="majorHAnsi" w:cs="Arial"/>
          <w:sz w:val="18"/>
          <w:szCs w:val="18"/>
        </w:rPr>
        <w:t xml:space="preserve">ktorý </w:t>
      </w:r>
      <w:r w:rsidR="007F6ABB" w:rsidRPr="007F6ABB">
        <w:rPr>
          <w:rFonts w:asciiTheme="majorHAnsi" w:hAnsiTheme="majorHAnsi"/>
          <w:sz w:val="18"/>
          <w:szCs w:val="18"/>
        </w:rPr>
        <w:t>oslov</w:t>
      </w:r>
      <w:r w:rsidR="007F6ABB">
        <w:rPr>
          <w:rFonts w:asciiTheme="majorHAnsi" w:hAnsiTheme="majorHAnsi"/>
          <w:sz w:val="18"/>
          <w:szCs w:val="18"/>
        </w:rPr>
        <w:t>il univerzity</w:t>
      </w:r>
      <w:r w:rsidR="007F6ABB" w:rsidRPr="007F6ABB">
        <w:rPr>
          <w:rFonts w:asciiTheme="majorHAnsi" w:hAnsiTheme="majorHAnsi"/>
          <w:sz w:val="18"/>
          <w:szCs w:val="18"/>
        </w:rPr>
        <w:t xml:space="preserve"> s ponukou účasti na projekte predsedu vlády SR Petra </w:t>
      </w:r>
      <w:proofErr w:type="spellStart"/>
      <w:r w:rsidR="007F6ABB" w:rsidRPr="007F6ABB">
        <w:rPr>
          <w:rFonts w:asciiTheme="majorHAnsi" w:hAnsiTheme="majorHAnsi"/>
          <w:sz w:val="18"/>
          <w:szCs w:val="18"/>
        </w:rPr>
        <w:t>Pellegriniho</w:t>
      </w:r>
      <w:proofErr w:type="spellEnd"/>
      <w:r w:rsidR="007F6ABB" w:rsidRPr="007F6ABB">
        <w:rPr>
          <w:rFonts w:asciiTheme="majorHAnsi" w:hAnsiTheme="majorHAnsi"/>
          <w:sz w:val="18"/>
          <w:szCs w:val="18"/>
        </w:rPr>
        <w:t xml:space="preserve"> </w:t>
      </w:r>
      <w:r w:rsidR="007F6ABB">
        <w:rPr>
          <w:rFonts w:asciiTheme="majorHAnsi" w:hAnsiTheme="majorHAnsi"/>
          <w:sz w:val="18"/>
          <w:szCs w:val="18"/>
        </w:rPr>
        <w:t>„</w:t>
      </w:r>
      <w:r w:rsidR="007F6ABB" w:rsidRPr="007F6ABB">
        <w:rPr>
          <w:rFonts w:asciiTheme="majorHAnsi" w:hAnsiTheme="majorHAnsi"/>
          <w:sz w:val="18"/>
          <w:szCs w:val="18"/>
        </w:rPr>
        <w:t>S premiérom na cestách</w:t>
      </w:r>
      <w:r w:rsidR="007F6ABB">
        <w:rPr>
          <w:rFonts w:asciiTheme="majorHAnsi" w:hAnsiTheme="majorHAnsi"/>
          <w:sz w:val="18"/>
          <w:szCs w:val="18"/>
        </w:rPr>
        <w:t>“</w:t>
      </w:r>
      <w:r w:rsidR="007F6ABB" w:rsidRPr="007F6ABB">
        <w:rPr>
          <w:rFonts w:asciiTheme="majorHAnsi" w:hAnsiTheme="majorHAnsi"/>
          <w:sz w:val="18"/>
          <w:szCs w:val="18"/>
        </w:rPr>
        <w:t xml:space="preserve">, určenom pre študentov vysokých škôl, </w:t>
      </w:r>
      <w:r w:rsidR="007F6ABB">
        <w:rPr>
          <w:rFonts w:asciiTheme="majorHAnsi" w:hAnsiTheme="majorHAnsi"/>
          <w:sz w:val="18"/>
          <w:szCs w:val="18"/>
        </w:rPr>
        <w:t>kde</w:t>
      </w:r>
      <w:r w:rsidR="007F6ABB" w:rsidRPr="007F6ABB">
        <w:rPr>
          <w:rFonts w:asciiTheme="majorHAnsi" w:hAnsiTheme="majorHAnsi"/>
          <w:sz w:val="18"/>
          <w:szCs w:val="18"/>
        </w:rPr>
        <w:t xml:space="preserve"> ponúka</w:t>
      </w:r>
      <w:r w:rsidR="007F6ABB">
        <w:rPr>
          <w:rFonts w:asciiTheme="majorHAnsi" w:hAnsiTheme="majorHAnsi"/>
          <w:sz w:val="18"/>
          <w:szCs w:val="18"/>
        </w:rPr>
        <w:t>jú</w:t>
      </w:r>
      <w:r w:rsidR="007F6ABB" w:rsidRPr="007F6ABB">
        <w:rPr>
          <w:rFonts w:asciiTheme="majorHAnsi" w:hAnsiTheme="majorHAnsi"/>
          <w:sz w:val="18"/>
          <w:szCs w:val="18"/>
        </w:rPr>
        <w:t xml:space="preserve"> možnosť zúčastňovať sa na zahranič</w:t>
      </w:r>
      <w:r w:rsidR="007F6ABB">
        <w:rPr>
          <w:rFonts w:asciiTheme="majorHAnsi" w:hAnsiTheme="majorHAnsi"/>
          <w:sz w:val="18"/>
          <w:szCs w:val="18"/>
        </w:rPr>
        <w:t>ných cestách predsedu vlády SR</w:t>
      </w:r>
    </w:p>
    <w:p w:rsidR="007F6ABB" w:rsidRDefault="007F6ABB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0F76B8" w:rsidRDefault="007F6ABB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7F6ABB" w:rsidRDefault="007F6ABB" w:rsidP="007F6ABB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stave a možnostiach sťahovania UTI STU do priestorov FIIT/FEI STU</w:t>
      </w:r>
    </w:p>
    <w:p w:rsidR="007F6ABB" w:rsidRDefault="007F6ABB" w:rsidP="007F6ABB">
      <w:pPr>
        <w:ind w:right="284"/>
        <w:rPr>
          <w:rFonts w:asciiTheme="majorHAnsi" w:hAnsiTheme="majorHAnsi" w:cs="Arial"/>
          <w:sz w:val="18"/>
          <w:szCs w:val="18"/>
        </w:rPr>
      </w:pPr>
    </w:p>
    <w:p w:rsidR="007F6ABB" w:rsidRDefault="007F6ABB" w:rsidP="007F6AB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7F6ABB" w:rsidRPr="007F6ABB" w:rsidRDefault="007F6ABB" w:rsidP="007F6ABB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informoval, že od 01.01.2019 vstúpi do platnosti zmena zákona o verejnej službe</w:t>
      </w:r>
      <w:r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zahrňujúca </w:t>
      </w: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navýšenie taríf, </w:t>
      </w:r>
      <w:r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ktoré sa následne</w:t>
      </w: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premietn</w:t>
      </w:r>
      <w:r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u</w:t>
      </w: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do nových platových tabuliek</w:t>
      </w:r>
    </w:p>
    <w:p w:rsidR="004D685B" w:rsidRDefault="004D685B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3C1FCD" w:rsidRDefault="003C1FC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190AB4" w:rsidTr="00D96C5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0AB4" w:rsidRDefault="007F6ABB" w:rsidP="00190AB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Default="007F6A50" w:rsidP="007F6A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05.11.2018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Pr="00945AA2" w:rsidRDefault="007F6A50" w:rsidP="00190AB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Pr="00945AA2" w:rsidRDefault="007F6A50" w:rsidP="00190AB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0AB4" w:rsidTr="007F6ABB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AB4" w:rsidRPr="007F6A50" w:rsidRDefault="007F6A50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6A50">
              <w:rPr>
                <w:rFonts w:asciiTheme="majorHAnsi" w:hAnsiTheme="majorHAnsi"/>
                <w:sz w:val="18"/>
                <w:szCs w:val="18"/>
              </w:rPr>
              <w:t>07.11.2018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AB4" w:rsidRPr="007F6A50" w:rsidRDefault="007F6A50" w:rsidP="00190AB4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7F6A50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AB4" w:rsidRPr="007F6A50" w:rsidRDefault="007F6A50" w:rsidP="00190AB4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7F6A50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AB4" w:rsidRPr="007F6A50" w:rsidRDefault="00190AB4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0AB4" w:rsidTr="007F6A50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Default="007F6A50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14.11.2018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Pr="007F6A50" w:rsidRDefault="007F6A50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6A50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Pr="007F6A50" w:rsidRDefault="007F6A50" w:rsidP="00190A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F6A50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A50" w:rsidTr="007F6A50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6A50" w:rsidRDefault="007F6A50" w:rsidP="00190AB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A50" w:rsidRDefault="007F6A50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21.11.2018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A50" w:rsidRPr="007F6A50" w:rsidRDefault="007F6A50" w:rsidP="00190AB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7F6A50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A50" w:rsidRPr="007F6A50" w:rsidRDefault="007F6A50" w:rsidP="00190AB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7F6A50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A50" w:rsidRDefault="007F6A50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A50" w:rsidTr="00190AB4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A50" w:rsidRDefault="007F6A50" w:rsidP="00190AB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A50" w:rsidRDefault="007F6A50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28.11.2018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A50" w:rsidRPr="007F6A50" w:rsidRDefault="007F6A50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6A50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A50" w:rsidRPr="007F6A50" w:rsidRDefault="007F6A50" w:rsidP="00190A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F6A50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A50" w:rsidRDefault="007F6A50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7F6A50">
        <w:rPr>
          <w:rFonts w:ascii="Cambria" w:hAnsi="Cambria" w:cs="Arial"/>
          <w:sz w:val="18"/>
          <w:szCs w:val="18"/>
        </w:rPr>
        <w:t>25</w:t>
      </w:r>
      <w:r w:rsidRPr="00273475">
        <w:rPr>
          <w:rFonts w:ascii="Cambria" w:hAnsi="Cambria" w:cs="Arial"/>
          <w:sz w:val="18"/>
          <w:szCs w:val="18"/>
        </w:rPr>
        <w:t>.</w:t>
      </w:r>
      <w:r w:rsidR="00190AB4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7F6A50">
        <w:rPr>
          <w:rFonts w:ascii="Cambria" w:hAnsi="Cambria" w:cs="Arial"/>
          <w:sz w:val="18"/>
          <w:szCs w:val="18"/>
        </w:rPr>
        <w:t>25</w:t>
      </w:r>
      <w:r>
        <w:rPr>
          <w:rFonts w:ascii="Cambria" w:hAnsi="Cambria" w:cs="Arial"/>
          <w:sz w:val="18"/>
          <w:szCs w:val="18"/>
        </w:rPr>
        <w:t>.</w:t>
      </w:r>
      <w:r w:rsidR="00190AB4">
        <w:rPr>
          <w:rFonts w:ascii="Cambria" w:hAnsi="Cambria" w:cs="Arial"/>
          <w:sz w:val="18"/>
          <w:szCs w:val="18"/>
        </w:rPr>
        <w:t>10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Erika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01" w:rsidRDefault="00203A01">
      <w:r>
        <w:separator/>
      </w:r>
    </w:p>
  </w:endnote>
  <w:endnote w:type="continuationSeparator" w:id="0">
    <w:p w:rsidR="00203A01" w:rsidRDefault="0020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A6" w:rsidRPr="00516930" w:rsidRDefault="009376A6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24. 10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8794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8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8794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8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5A33" wp14:editId="344B3444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6A6" w:rsidRPr="0080567D" w:rsidRDefault="009376A6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87943" w:rsidRPr="00D8794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8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9376A6" w:rsidRPr="0080567D" w:rsidRDefault="009376A6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87943" w:rsidRPr="00D8794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8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01" w:rsidRDefault="00203A01">
      <w:r>
        <w:separator/>
      </w:r>
    </w:p>
  </w:footnote>
  <w:footnote w:type="continuationSeparator" w:id="0">
    <w:p w:rsidR="00203A01" w:rsidRDefault="0020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A6" w:rsidRDefault="009376A6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005A78"/>
    <w:multiLevelType w:val="hybridMultilevel"/>
    <w:tmpl w:val="6032F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0A92"/>
    <w:multiLevelType w:val="hybridMultilevel"/>
    <w:tmpl w:val="4A922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239D"/>
    <w:rsid w:val="000635D2"/>
    <w:rsid w:val="00063E9F"/>
    <w:rsid w:val="000641E8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17D"/>
    <w:rsid w:val="001F7342"/>
    <w:rsid w:val="001F7D56"/>
    <w:rsid w:val="00200FF1"/>
    <w:rsid w:val="00202291"/>
    <w:rsid w:val="00203A0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29E8"/>
    <w:rsid w:val="004135A4"/>
    <w:rsid w:val="00415BDF"/>
    <w:rsid w:val="0041609B"/>
    <w:rsid w:val="00416442"/>
    <w:rsid w:val="0041763E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5347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C6D4B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3C63"/>
    <w:rsid w:val="00DD443D"/>
    <w:rsid w:val="00DD4618"/>
    <w:rsid w:val="00DD5AA2"/>
    <w:rsid w:val="00DD64A2"/>
    <w:rsid w:val="00DD683E"/>
    <w:rsid w:val="00DD6F79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A09A1"/>
    <w:rsid w:val="00EA1897"/>
    <w:rsid w:val="00EA1A4C"/>
    <w:rsid w:val="00EA1D3B"/>
    <w:rsid w:val="00EA491C"/>
    <w:rsid w:val="00EA6341"/>
    <w:rsid w:val="00EA6E3B"/>
    <w:rsid w:val="00EB0270"/>
    <w:rsid w:val="00EB0C28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30AE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46CF-44C3-40F9-A3FC-BC2EEFD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5</cp:revision>
  <cp:lastPrinted>2018-10-26T06:20:00Z</cp:lastPrinted>
  <dcterms:created xsi:type="dcterms:W3CDTF">2018-10-25T14:44:00Z</dcterms:created>
  <dcterms:modified xsi:type="dcterms:W3CDTF">2018-10-26T06:20:00Z</dcterms:modified>
</cp:coreProperties>
</file>