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F23A3">
        <w:rPr>
          <w:rFonts w:ascii="Cambria" w:hAnsi="Cambria" w:cs="Arial"/>
          <w:sz w:val="18"/>
          <w:szCs w:val="18"/>
        </w:rPr>
        <w:t>1</w:t>
      </w:r>
      <w:r w:rsidR="00314F8C">
        <w:rPr>
          <w:rFonts w:ascii="Cambria" w:hAnsi="Cambria" w:cs="Arial"/>
          <w:sz w:val="18"/>
          <w:szCs w:val="18"/>
        </w:rPr>
        <w:t>5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314F8C">
        <w:rPr>
          <w:rFonts w:ascii="Cambria" w:hAnsi="Cambria" w:cs="Arial"/>
          <w:sz w:val="18"/>
          <w:szCs w:val="18"/>
        </w:rPr>
        <w:t>11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314F8C">
        <w:rPr>
          <w:rFonts w:ascii="Cambria" w:hAnsi="Cambria" w:cs="Arial"/>
          <w:sz w:val="18"/>
          <w:szCs w:val="18"/>
        </w:rPr>
        <w:t>10</w:t>
      </w:r>
      <w:r w:rsidR="00CD0B5B" w:rsidRPr="00276652">
        <w:rPr>
          <w:rFonts w:ascii="Cambria" w:hAnsi="Cambria" w:cs="Arial"/>
          <w:sz w:val="18"/>
          <w:szCs w:val="18"/>
        </w:rPr>
        <w:t>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1.</w:t>
      </w:r>
      <w:r w:rsidRPr="00314F8C">
        <w:rPr>
          <w:rFonts w:asciiTheme="majorHAnsi" w:hAnsiTheme="majorHAnsi"/>
          <w:sz w:val="18"/>
          <w:szCs w:val="18"/>
        </w:rPr>
        <w:tab/>
        <w:t>Návrh smernice rektora "Vybavovanie sťažností na Slovenskej technickej univerz</w:t>
      </w:r>
      <w:r>
        <w:rPr>
          <w:rFonts w:asciiTheme="majorHAnsi" w:hAnsiTheme="majorHAnsi"/>
          <w:sz w:val="18"/>
          <w:szCs w:val="18"/>
        </w:rPr>
        <w:t xml:space="preserve">ite v Bratislave" </w:t>
      </w:r>
    </w:p>
    <w:p w:rsidR="00C37311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2.</w:t>
      </w:r>
      <w:r w:rsidRPr="00314F8C">
        <w:rPr>
          <w:rFonts w:asciiTheme="majorHAnsi" w:hAnsiTheme="majorHAnsi"/>
          <w:sz w:val="18"/>
          <w:szCs w:val="18"/>
        </w:rPr>
        <w:tab/>
        <w:t xml:space="preserve">Analýza </w:t>
      </w:r>
      <w:proofErr w:type="spellStart"/>
      <w:r w:rsidRPr="00314F8C">
        <w:rPr>
          <w:rFonts w:asciiTheme="majorHAnsi" w:hAnsiTheme="majorHAnsi"/>
          <w:sz w:val="18"/>
          <w:szCs w:val="18"/>
        </w:rPr>
        <w:t>scientometrických</w:t>
      </w:r>
      <w:proofErr w:type="spellEnd"/>
      <w:r w:rsidRPr="00314F8C">
        <w:rPr>
          <w:rFonts w:asciiTheme="majorHAnsi" w:hAnsiTheme="majorHAnsi"/>
          <w:sz w:val="18"/>
          <w:szCs w:val="18"/>
        </w:rPr>
        <w:t xml:space="preserve"> výstupov fakúlt STU a ich porovnanie s vybranými fakultami na pr</w:t>
      </w:r>
      <w:r w:rsidR="00C37311">
        <w:rPr>
          <w:rFonts w:asciiTheme="majorHAnsi" w:hAnsiTheme="majorHAnsi"/>
          <w:sz w:val="18"/>
          <w:szCs w:val="18"/>
        </w:rPr>
        <w:t xml:space="preserve">evažne technických univerzitách </w:t>
      </w:r>
    </w:p>
    <w:p w:rsidR="00314F8C" w:rsidRPr="00314F8C" w:rsidRDefault="00C37311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314F8C" w:rsidRPr="00314F8C">
        <w:rPr>
          <w:rFonts w:asciiTheme="majorHAnsi" w:hAnsiTheme="majorHAnsi"/>
          <w:sz w:val="18"/>
          <w:szCs w:val="18"/>
        </w:rPr>
        <w:t xml:space="preserve">v SR a ČR za roky 2012-2017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3.</w:t>
      </w:r>
      <w:r w:rsidRPr="00314F8C">
        <w:rPr>
          <w:rFonts w:asciiTheme="majorHAnsi" w:hAnsiTheme="majorHAnsi"/>
          <w:sz w:val="18"/>
          <w:szCs w:val="18"/>
        </w:rPr>
        <w:tab/>
        <w:t xml:space="preserve">Vedec roka STU 2017 – Vyhlásenie súťaže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4.</w:t>
      </w:r>
      <w:r w:rsidRPr="00314F8C">
        <w:rPr>
          <w:rFonts w:asciiTheme="majorHAnsi" w:hAnsiTheme="majorHAnsi"/>
          <w:sz w:val="18"/>
          <w:szCs w:val="18"/>
        </w:rPr>
        <w:tab/>
        <w:t xml:space="preserve">Dodatok č. 1 k  smernici rektora Zásady hospodárenia STU v Bratislave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5.</w:t>
      </w:r>
      <w:r w:rsidRPr="00314F8C">
        <w:rPr>
          <w:rFonts w:asciiTheme="majorHAnsi" w:hAnsiTheme="majorHAnsi"/>
          <w:sz w:val="18"/>
          <w:szCs w:val="18"/>
        </w:rPr>
        <w:tab/>
        <w:t xml:space="preserve">Zmena účelu použitia finančných prostriedkov z FO na SvF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6.</w:t>
      </w:r>
      <w:r w:rsidRPr="00314F8C">
        <w:rPr>
          <w:rFonts w:asciiTheme="majorHAnsi" w:hAnsiTheme="majorHAnsi"/>
          <w:sz w:val="18"/>
          <w:szCs w:val="18"/>
        </w:rPr>
        <w:tab/>
        <w:t xml:space="preserve">Návrh dodatku číslo 2 k smernici rektora číslo 9/2013 – SR Nájom nehnuteľného majetku vo vlastníctve STU v Bratislave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7.</w:t>
      </w:r>
      <w:r w:rsidRPr="00314F8C">
        <w:rPr>
          <w:rFonts w:asciiTheme="majorHAnsi" w:hAnsiTheme="majorHAnsi"/>
          <w:sz w:val="18"/>
          <w:szCs w:val="18"/>
        </w:rPr>
        <w:tab/>
        <w:t>Návrh na vydanie Rozhodnutia rektora o nepotrebnosti hnuteľných vecí STU – pol</w:t>
      </w:r>
      <w:r>
        <w:rPr>
          <w:rFonts w:asciiTheme="majorHAnsi" w:hAnsiTheme="majorHAnsi"/>
          <w:sz w:val="18"/>
          <w:szCs w:val="18"/>
        </w:rPr>
        <w:t xml:space="preserve">ygrafické zariadenia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8.</w:t>
      </w:r>
      <w:r w:rsidRPr="00314F8C">
        <w:rPr>
          <w:rFonts w:asciiTheme="majorHAnsi" w:hAnsiTheme="majorHAnsi"/>
          <w:sz w:val="18"/>
          <w:szCs w:val="18"/>
        </w:rPr>
        <w:tab/>
        <w:t xml:space="preserve">Návrh na odsúhlasenie NZ a dodatkov k NZ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9.</w:t>
      </w:r>
      <w:r w:rsidRPr="00314F8C">
        <w:rPr>
          <w:rFonts w:asciiTheme="majorHAnsi" w:hAnsiTheme="majorHAnsi"/>
          <w:sz w:val="18"/>
          <w:szCs w:val="18"/>
        </w:rPr>
        <w:tab/>
        <w:t>Informačné stretnu</w:t>
      </w:r>
      <w:r w:rsidR="005D466D">
        <w:rPr>
          <w:rFonts w:asciiTheme="majorHAnsi" w:hAnsiTheme="majorHAnsi"/>
          <w:sz w:val="18"/>
          <w:szCs w:val="18"/>
        </w:rPr>
        <w:t xml:space="preserve">tie s </w:t>
      </w:r>
      <w:proofErr w:type="spellStart"/>
      <w:r w:rsidR="005D466D">
        <w:rPr>
          <w:rFonts w:asciiTheme="majorHAnsi" w:hAnsiTheme="majorHAnsi"/>
          <w:sz w:val="18"/>
          <w:szCs w:val="18"/>
        </w:rPr>
        <w:t>Erasmus</w:t>
      </w:r>
      <w:proofErr w:type="spellEnd"/>
      <w:r w:rsidR="005D466D">
        <w:rPr>
          <w:rFonts w:asciiTheme="majorHAnsi" w:hAnsiTheme="majorHAnsi"/>
          <w:sz w:val="18"/>
          <w:szCs w:val="18"/>
        </w:rPr>
        <w:t xml:space="preserve"> zahraničnými štude</w:t>
      </w:r>
      <w:r w:rsidRPr="00314F8C">
        <w:rPr>
          <w:rFonts w:asciiTheme="majorHAnsi" w:hAnsiTheme="majorHAnsi"/>
          <w:sz w:val="18"/>
          <w:szCs w:val="18"/>
        </w:rPr>
        <w:t xml:space="preserve">ntmi na STU  </w:t>
      </w:r>
    </w:p>
    <w:p w:rsidR="00314F8C" w:rsidRP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10.</w:t>
      </w:r>
      <w:r w:rsidRPr="00314F8C">
        <w:rPr>
          <w:rFonts w:asciiTheme="majorHAnsi" w:hAnsiTheme="majorHAnsi"/>
          <w:sz w:val="18"/>
          <w:szCs w:val="18"/>
        </w:rPr>
        <w:tab/>
        <w:t xml:space="preserve">Vyhodnotenie účasti STU v </w:t>
      </w:r>
      <w:proofErr w:type="spellStart"/>
      <w:r w:rsidRPr="00314F8C">
        <w:rPr>
          <w:rFonts w:asciiTheme="majorHAnsi" w:hAnsiTheme="majorHAnsi"/>
          <w:sz w:val="18"/>
          <w:szCs w:val="18"/>
        </w:rPr>
        <w:t>Erasmus</w:t>
      </w:r>
      <w:proofErr w:type="spellEnd"/>
      <w:r w:rsidRPr="00314F8C">
        <w:rPr>
          <w:rFonts w:asciiTheme="majorHAnsi" w:hAnsiTheme="majorHAnsi"/>
          <w:sz w:val="18"/>
          <w:szCs w:val="18"/>
        </w:rPr>
        <w:t xml:space="preserve"> projekte Výzvy 2015 </w:t>
      </w:r>
    </w:p>
    <w:p w:rsidR="00314F8C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314F8C">
        <w:rPr>
          <w:rFonts w:asciiTheme="majorHAnsi" w:hAnsiTheme="majorHAnsi"/>
          <w:sz w:val="18"/>
          <w:szCs w:val="18"/>
        </w:rPr>
        <w:t>11.</w:t>
      </w:r>
      <w:r w:rsidRPr="00314F8C">
        <w:rPr>
          <w:rFonts w:asciiTheme="majorHAnsi" w:hAnsiTheme="majorHAnsi"/>
          <w:sz w:val="18"/>
          <w:szCs w:val="18"/>
        </w:rPr>
        <w:tab/>
        <w:t xml:space="preserve">Návrh na ZPC členov vedenia STU a  zamestnancov STU </w:t>
      </w:r>
    </w:p>
    <w:p w:rsidR="004D49B9" w:rsidRDefault="00314F8C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12.</w:t>
      </w:r>
      <w:r>
        <w:rPr>
          <w:rFonts w:asciiTheme="majorHAnsi" w:hAnsiTheme="majorHAnsi"/>
          <w:sz w:val="18"/>
          <w:szCs w:val="18"/>
        </w:rPr>
        <w:tab/>
      </w:r>
      <w:r w:rsidR="004D49B9">
        <w:rPr>
          <w:rFonts w:asciiTheme="majorHAnsi" w:hAnsiTheme="majorHAnsi"/>
          <w:sz w:val="18"/>
          <w:szCs w:val="18"/>
        </w:rPr>
        <w:t>Rôzne</w:t>
      </w:r>
    </w:p>
    <w:p w:rsidR="004A1505" w:rsidRPr="004A1505" w:rsidRDefault="004A1505" w:rsidP="00C37311">
      <w:pPr>
        <w:tabs>
          <w:tab w:val="left" w:pos="426"/>
        </w:tabs>
        <w:ind w:left="839" w:hanging="839"/>
        <w:rPr>
          <w:rFonts w:asciiTheme="majorHAnsi" w:hAnsiTheme="majorHAnsi"/>
          <w:sz w:val="18"/>
          <w:szCs w:val="18"/>
        </w:rPr>
      </w:pPr>
      <w:r w:rsidRPr="004A1505">
        <w:rPr>
          <w:rFonts w:asciiTheme="majorHAnsi" w:hAnsiTheme="majorHAnsi"/>
          <w:sz w:val="18"/>
          <w:szCs w:val="18"/>
        </w:rPr>
        <w:tab/>
        <w:t>A.</w:t>
      </w:r>
      <w:r w:rsidRPr="004A1505">
        <w:rPr>
          <w:rFonts w:asciiTheme="majorHAnsi" w:hAnsiTheme="majorHAnsi"/>
          <w:sz w:val="18"/>
          <w:szCs w:val="18"/>
        </w:rPr>
        <w:tab/>
      </w:r>
      <w:r w:rsidRPr="004A1505">
        <w:rPr>
          <w:rFonts w:asciiTheme="majorHAnsi" w:hAnsiTheme="majorHAnsi" w:cs="Arial"/>
          <w:sz w:val="18"/>
          <w:szCs w:val="18"/>
        </w:rPr>
        <w:t>Informácia o procese VO na Mobilné telekomunikačné služby na STU</w:t>
      </w:r>
    </w:p>
    <w:p w:rsidR="00DD37DD" w:rsidRDefault="00DD37DD" w:rsidP="00C37311">
      <w:pPr>
        <w:tabs>
          <w:tab w:val="left" w:pos="426"/>
        </w:tabs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AD7D4E" w:rsidRPr="00C37311" w:rsidRDefault="00C8485F" w:rsidP="00AD7D4E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C37311" w:rsidRPr="00C37311">
        <w:rPr>
          <w:rFonts w:asciiTheme="majorHAnsi" w:hAnsiTheme="majorHAnsi"/>
          <w:b/>
          <w:sz w:val="18"/>
          <w:szCs w:val="18"/>
          <w:u w:val="single"/>
        </w:rPr>
        <w:t>Návrh smernice rektora "Vybavovanie sťažností na Slovenskej technickej univerzite v Bratislave"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0D173F" w:rsidRDefault="00C37311" w:rsidP="00B65B8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</w:t>
      </w:r>
      <w:r w:rsidR="00892622">
        <w:rPr>
          <w:rFonts w:asciiTheme="majorHAnsi" w:hAnsiTheme="majorHAnsi" w:cs="Calibri"/>
          <w:sz w:val="18"/>
          <w:szCs w:val="18"/>
        </w:rPr>
        <w:t xml:space="preserve"> uviedol rektor</w:t>
      </w:r>
      <w:r w:rsidR="00B65B8B">
        <w:rPr>
          <w:rFonts w:asciiTheme="majorHAnsi" w:hAnsiTheme="majorHAnsi" w:cs="Calibri"/>
          <w:sz w:val="18"/>
          <w:szCs w:val="18"/>
        </w:rPr>
        <w:t>.</w:t>
      </w:r>
      <w:r w:rsidR="00892622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>Prizvaný: Ing. Malina.</w:t>
      </w:r>
    </w:p>
    <w:p w:rsidR="00C37311" w:rsidRPr="000067B6" w:rsidRDefault="00C37311" w:rsidP="00B65B8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067B6">
        <w:rPr>
          <w:rFonts w:asciiTheme="majorHAnsi" w:hAnsiTheme="majorHAnsi" w:cstheme="minorHAnsi"/>
          <w:sz w:val="18"/>
          <w:szCs w:val="18"/>
        </w:rPr>
        <w:t xml:space="preserve">Dokument bol predložený v zmysle zákona č. 94/2017 Z. z., ktorým sa mení a dopĺňa zákon č. 9/2010 Z. z. o sťažnostiach </w:t>
      </w:r>
    </w:p>
    <w:p w:rsidR="00C37311" w:rsidRDefault="00C37311" w:rsidP="00B65B8B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 w:rsidRPr="000067B6">
        <w:rPr>
          <w:rFonts w:asciiTheme="majorHAnsi" w:hAnsiTheme="majorHAnsi" w:cstheme="minorHAnsi"/>
          <w:sz w:val="18"/>
          <w:szCs w:val="18"/>
        </w:rPr>
        <w:t>v znení neskorších predpisov</w:t>
      </w:r>
      <w:r w:rsidR="000067B6">
        <w:rPr>
          <w:rFonts w:asciiTheme="majorHAnsi" w:hAnsiTheme="majorHAnsi" w:cstheme="minorHAnsi"/>
          <w:sz w:val="18"/>
          <w:szCs w:val="18"/>
        </w:rPr>
        <w:t>.</w:t>
      </w:r>
      <w:r w:rsidRPr="000067B6">
        <w:rPr>
          <w:rFonts w:asciiTheme="majorHAnsi" w:hAnsiTheme="majorHAnsi" w:cstheme="minorHAnsi"/>
          <w:sz w:val="18"/>
          <w:szCs w:val="18"/>
        </w:rPr>
        <w:t xml:space="preserve">  </w:t>
      </w:r>
    </w:p>
    <w:p w:rsidR="00B65B8B" w:rsidRPr="0092626A" w:rsidRDefault="00B65B8B" w:rsidP="00B65B8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067B6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B65B8B" w:rsidRDefault="00B65B8B" w:rsidP="00B65B8B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0067B6">
        <w:rPr>
          <w:rFonts w:asciiTheme="majorHAnsi" w:hAnsiTheme="majorHAnsi"/>
          <w:sz w:val="18"/>
          <w:szCs w:val="18"/>
        </w:rPr>
        <w:t xml:space="preserve">schvaľuje </w:t>
      </w:r>
      <w:r w:rsidR="000067B6" w:rsidRPr="00314F8C">
        <w:rPr>
          <w:rFonts w:asciiTheme="majorHAnsi" w:hAnsiTheme="majorHAnsi"/>
          <w:sz w:val="18"/>
          <w:szCs w:val="18"/>
        </w:rPr>
        <w:t>Návrh smernice rektora "Vybavovanie sťažností na Slovenskej technickej univerz</w:t>
      </w:r>
      <w:r w:rsidR="000067B6">
        <w:rPr>
          <w:rFonts w:asciiTheme="majorHAnsi" w:hAnsiTheme="majorHAnsi"/>
          <w:sz w:val="18"/>
          <w:szCs w:val="18"/>
        </w:rPr>
        <w:t>ite v Bratislave“</w:t>
      </w:r>
      <w:r w:rsidR="00321AEA">
        <w:rPr>
          <w:rFonts w:asciiTheme="majorHAnsi" w:hAnsiTheme="majorHAnsi"/>
          <w:sz w:val="18"/>
          <w:szCs w:val="18"/>
        </w:rPr>
        <w:t xml:space="preserve">. </w:t>
      </w:r>
    </w:p>
    <w:p w:rsidR="00B65B8B" w:rsidRDefault="00B65B8B" w:rsidP="00B65B8B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0067B6" w:rsidRPr="00314F8C" w:rsidRDefault="00685939" w:rsidP="000067B6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0067B6" w:rsidRPr="000067B6">
        <w:rPr>
          <w:rFonts w:asciiTheme="majorHAnsi" w:hAnsiTheme="majorHAnsi"/>
          <w:b/>
          <w:sz w:val="18"/>
          <w:szCs w:val="18"/>
          <w:u w:val="single"/>
        </w:rPr>
        <w:t xml:space="preserve">Analýza </w:t>
      </w:r>
      <w:proofErr w:type="spellStart"/>
      <w:r w:rsidR="000067B6" w:rsidRPr="000067B6">
        <w:rPr>
          <w:rFonts w:asciiTheme="majorHAnsi" w:hAnsiTheme="majorHAnsi"/>
          <w:b/>
          <w:sz w:val="18"/>
          <w:szCs w:val="18"/>
          <w:u w:val="single"/>
        </w:rPr>
        <w:t>scientometrických</w:t>
      </w:r>
      <w:proofErr w:type="spellEnd"/>
      <w:r w:rsidR="000067B6" w:rsidRPr="000067B6">
        <w:rPr>
          <w:rFonts w:asciiTheme="majorHAnsi" w:hAnsiTheme="majorHAnsi"/>
          <w:b/>
          <w:sz w:val="18"/>
          <w:szCs w:val="18"/>
          <w:u w:val="single"/>
        </w:rPr>
        <w:t xml:space="preserve"> výstupov fakúlt STU a ich porovnanie s vybranými fakultami na prevažne technických univerzitách v SR a ČR za roky 2012-2017</w:t>
      </w:r>
      <w:r w:rsidR="000067B6" w:rsidRPr="00314F8C">
        <w:rPr>
          <w:rFonts w:asciiTheme="majorHAnsi" w:hAnsiTheme="majorHAnsi"/>
          <w:sz w:val="18"/>
          <w:szCs w:val="18"/>
        </w:rPr>
        <w:t xml:space="preserve"> </w:t>
      </w:r>
    </w:p>
    <w:p w:rsidR="00487DA3" w:rsidRDefault="00487DA3" w:rsidP="00685939">
      <w:pPr>
        <w:ind w:left="1410" w:hanging="1410"/>
        <w:rPr>
          <w:rFonts w:asciiTheme="majorHAnsi" w:hAnsiTheme="majorHAnsi"/>
          <w:sz w:val="18"/>
          <w:szCs w:val="18"/>
        </w:rPr>
      </w:pPr>
    </w:p>
    <w:p w:rsidR="000067B6" w:rsidRPr="000067B6" w:rsidRDefault="000067B6" w:rsidP="000067B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  <w:r w:rsidRPr="000067B6">
        <w:rPr>
          <w:rFonts w:asciiTheme="majorHAnsi" w:hAnsiTheme="majorHAnsi"/>
          <w:sz w:val="18"/>
          <w:szCs w:val="18"/>
        </w:rPr>
        <w:t>Prehľadovú štúdiu o trendoch vo vedeckej výkonnosti súčastí STU, vypracovan</w:t>
      </w:r>
      <w:r>
        <w:rPr>
          <w:rFonts w:asciiTheme="majorHAnsi" w:hAnsiTheme="majorHAnsi"/>
          <w:sz w:val="18"/>
          <w:szCs w:val="18"/>
        </w:rPr>
        <w:t>ú</w:t>
      </w:r>
      <w:r w:rsidRPr="000067B6">
        <w:rPr>
          <w:rFonts w:asciiTheme="majorHAnsi" w:hAnsiTheme="majorHAnsi"/>
          <w:sz w:val="18"/>
          <w:szCs w:val="18"/>
        </w:rPr>
        <w:t xml:space="preserve"> s využitím </w:t>
      </w:r>
    </w:p>
    <w:p w:rsidR="000067B6" w:rsidRDefault="000067B6" w:rsidP="000067B6">
      <w:pPr>
        <w:ind w:left="1410" w:hanging="1410"/>
        <w:rPr>
          <w:rFonts w:asciiTheme="majorHAnsi" w:hAnsiTheme="majorHAnsi" w:cs="Calibri"/>
          <w:sz w:val="18"/>
          <w:szCs w:val="18"/>
        </w:rPr>
      </w:pPr>
      <w:proofErr w:type="spellStart"/>
      <w:r w:rsidRPr="000067B6">
        <w:rPr>
          <w:rFonts w:asciiTheme="majorHAnsi" w:hAnsiTheme="majorHAnsi"/>
          <w:sz w:val="18"/>
          <w:szCs w:val="18"/>
        </w:rPr>
        <w:t>scientometrických</w:t>
      </w:r>
      <w:proofErr w:type="spellEnd"/>
      <w:r w:rsidRPr="000067B6">
        <w:rPr>
          <w:rFonts w:asciiTheme="majorHAnsi" w:hAnsiTheme="majorHAnsi"/>
          <w:sz w:val="18"/>
          <w:szCs w:val="18"/>
        </w:rPr>
        <w:t xml:space="preserve"> nástrojov</w:t>
      </w:r>
      <w:r w:rsidRPr="000067B6">
        <w:rPr>
          <w:rFonts w:asciiTheme="majorHAnsi" w:hAnsiTheme="majorHAnsi" w:cs="Calibri"/>
          <w:sz w:val="18"/>
          <w:szCs w:val="18"/>
        </w:rPr>
        <w:t xml:space="preserve"> prezentoval prof. Janovec</w:t>
      </w:r>
      <w:r>
        <w:rPr>
          <w:rFonts w:asciiTheme="majorHAnsi" w:hAnsiTheme="majorHAnsi" w:cs="Calibri"/>
          <w:sz w:val="18"/>
          <w:szCs w:val="18"/>
        </w:rPr>
        <w:t>.</w:t>
      </w:r>
    </w:p>
    <w:p w:rsidR="000067B6" w:rsidRPr="000067B6" w:rsidRDefault="000067B6" w:rsidP="000067B6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Členovia vedenia viedli konštruktívnu diskusiu k jednotlivým grafom a konkrétnym ukazovateľom. </w:t>
      </w:r>
    </w:p>
    <w:p w:rsidR="00685939" w:rsidRPr="005974D5" w:rsidRDefault="00685939" w:rsidP="00685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07C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0067B6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85939" w:rsidRDefault="00503BE7" w:rsidP="000067B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0067B6">
        <w:rPr>
          <w:rFonts w:asciiTheme="majorHAnsi" w:hAnsiTheme="majorHAnsi"/>
          <w:sz w:val="18"/>
          <w:szCs w:val="18"/>
        </w:rPr>
        <w:t xml:space="preserve">Vedenie STU </w:t>
      </w:r>
      <w:r w:rsidR="000D173F" w:rsidRPr="000067B6">
        <w:rPr>
          <w:rFonts w:asciiTheme="majorHAnsi" w:hAnsiTheme="majorHAnsi"/>
          <w:sz w:val="18"/>
          <w:szCs w:val="18"/>
        </w:rPr>
        <w:t>b</w:t>
      </w:r>
      <w:r w:rsidR="00561679" w:rsidRPr="000067B6">
        <w:rPr>
          <w:rFonts w:asciiTheme="majorHAnsi" w:hAnsiTheme="majorHAnsi"/>
          <w:sz w:val="18"/>
          <w:szCs w:val="18"/>
        </w:rPr>
        <w:t xml:space="preserve">erie na vedomie </w:t>
      </w:r>
      <w:r w:rsidR="000067B6" w:rsidRPr="000067B6">
        <w:rPr>
          <w:rFonts w:asciiTheme="majorHAnsi" w:hAnsiTheme="majorHAnsi"/>
          <w:sz w:val="18"/>
          <w:szCs w:val="18"/>
        </w:rPr>
        <w:t xml:space="preserve">analýzu </w:t>
      </w:r>
      <w:proofErr w:type="spellStart"/>
      <w:r w:rsidR="000067B6" w:rsidRPr="000067B6">
        <w:rPr>
          <w:rFonts w:asciiTheme="majorHAnsi" w:hAnsiTheme="majorHAnsi"/>
          <w:sz w:val="18"/>
          <w:szCs w:val="18"/>
        </w:rPr>
        <w:t>scientometrických</w:t>
      </w:r>
      <w:proofErr w:type="spellEnd"/>
      <w:r w:rsidR="000067B6" w:rsidRPr="000067B6">
        <w:rPr>
          <w:rFonts w:asciiTheme="majorHAnsi" w:hAnsiTheme="majorHAnsi"/>
          <w:sz w:val="18"/>
          <w:szCs w:val="18"/>
        </w:rPr>
        <w:t xml:space="preserve"> výstupov fakúlt STU a ich porovnanie s vybranými fakultami na prevažne technických univerzitách v SR a ČR za roky 2012-2017</w:t>
      </w:r>
      <w:r w:rsidR="00885103">
        <w:rPr>
          <w:rFonts w:asciiTheme="majorHAnsi" w:hAnsiTheme="majorHAnsi"/>
          <w:sz w:val="18"/>
          <w:szCs w:val="18"/>
        </w:rPr>
        <w:t xml:space="preserve"> s pripomienkami.</w:t>
      </w:r>
    </w:p>
    <w:p w:rsidR="00885103" w:rsidRPr="000067B6" w:rsidRDefault="00885103" w:rsidP="000067B6">
      <w:pPr>
        <w:tabs>
          <w:tab w:val="left" w:pos="1985"/>
        </w:tabs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dopracovať materiál podľa pripomienok a predložiť na zasadnutie Kolégia rektora STU.</w:t>
      </w:r>
    </w:p>
    <w:p w:rsidR="000067B6" w:rsidRDefault="000067B6" w:rsidP="0092626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9FC" w:rsidRPr="00BD09FC" w:rsidRDefault="00BD09FC" w:rsidP="0092626A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885103" w:rsidRPr="00885103">
        <w:rPr>
          <w:rFonts w:asciiTheme="majorHAnsi" w:hAnsiTheme="majorHAnsi"/>
          <w:b/>
          <w:sz w:val="18"/>
          <w:szCs w:val="18"/>
          <w:u w:val="single"/>
        </w:rPr>
        <w:t>Vedec roka STU 2017 – Vyhlásenie súťaže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32772" w:rsidRDefault="005544D8" w:rsidP="005544D8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rektor </w:t>
      </w:r>
      <w:r w:rsidR="00885103">
        <w:rPr>
          <w:rFonts w:asciiTheme="majorHAnsi" w:hAnsiTheme="majorHAnsi" w:cs="Calibri"/>
          <w:sz w:val="18"/>
          <w:szCs w:val="18"/>
        </w:rPr>
        <w:t>v zastúpení prorektora Peciara</w:t>
      </w:r>
      <w:r>
        <w:rPr>
          <w:rFonts w:asciiTheme="majorHAnsi" w:hAnsiTheme="majorHAnsi" w:cs="Calibri"/>
          <w:sz w:val="18"/>
          <w:szCs w:val="18"/>
        </w:rPr>
        <w:t>.</w:t>
      </w:r>
    </w:p>
    <w:p w:rsidR="007B7BD3" w:rsidRPr="005544D8" w:rsidRDefault="00885103" w:rsidP="00A253CB">
      <w:pPr>
        <w:pStyle w:val="Odsekzoznamu"/>
        <w:ind w:left="1412" w:right="284" w:hanging="1412"/>
        <w:contextualSpacing w:val="0"/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</w:pPr>
      <w:r>
        <w:rPr>
          <w:rFonts w:asciiTheme="majorHAnsi" w:eastAsia="MS Mincho" w:hAnsiTheme="majorHAnsi" w:cs="Calibri"/>
          <w:color w:val="000000"/>
          <w:sz w:val="18"/>
          <w:szCs w:val="18"/>
          <w:lang w:eastAsia="en-US"/>
        </w:rPr>
        <w:t>Upozornil, že nejde o súťaž a odporučil preformulovať názov výzvy.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274B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85103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253CB" w:rsidRPr="00532772" w:rsidRDefault="00EC2CF4" w:rsidP="00A253CB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Vedenie STU </w:t>
      </w:r>
      <w:r w:rsidR="00885103">
        <w:rPr>
          <w:rFonts w:asciiTheme="majorHAnsi" w:hAnsiTheme="majorHAnsi"/>
          <w:sz w:val="18"/>
          <w:szCs w:val="18"/>
        </w:rPr>
        <w:t>berie na vedomie harmonogram vyhlásenia Vedca roka STU 2017 s pripomienkou</w:t>
      </w:r>
      <w:r w:rsidR="00A253CB">
        <w:rPr>
          <w:rFonts w:asciiTheme="majorHAnsi" w:hAnsiTheme="majorHAnsi"/>
          <w:sz w:val="18"/>
          <w:szCs w:val="18"/>
        </w:rPr>
        <w:t xml:space="preserve">. </w:t>
      </w:r>
    </w:p>
    <w:p w:rsidR="007274B4" w:rsidRDefault="007274B4" w:rsidP="00A253CB">
      <w:pPr>
        <w:pStyle w:val="Default"/>
        <w:tabs>
          <w:tab w:val="left" w:pos="1985"/>
        </w:tabs>
        <w:rPr>
          <w:rFonts w:asciiTheme="majorHAnsi" w:hAnsiTheme="majorHAnsi" w:cs="Arial"/>
          <w:b/>
          <w:sz w:val="18"/>
          <w:szCs w:val="18"/>
          <w:u w:val="single"/>
        </w:rPr>
      </w:pPr>
    </w:p>
    <w:p w:rsidR="009425B2" w:rsidRPr="004A7822" w:rsidRDefault="004C316A" w:rsidP="009425B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9425B2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4A7822" w:rsidRPr="004A7822">
        <w:rPr>
          <w:rFonts w:asciiTheme="majorHAnsi" w:hAnsiTheme="majorHAnsi"/>
          <w:b/>
          <w:sz w:val="18"/>
          <w:szCs w:val="18"/>
          <w:u w:val="single"/>
        </w:rPr>
        <w:t>Dodatok č. 1 k  smernici rektora Zásady hospodárenia STU v Bratislave</w:t>
      </w:r>
    </w:p>
    <w:p w:rsidR="007A6436" w:rsidRPr="004A7822" w:rsidRDefault="007A6436" w:rsidP="007A6436">
      <w:pPr>
        <w:rPr>
          <w:rFonts w:asciiTheme="majorHAnsi" w:hAnsiTheme="majorHAnsi"/>
          <w:b/>
          <w:sz w:val="18"/>
          <w:szCs w:val="18"/>
          <w:u w:val="single"/>
        </w:rPr>
      </w:pPr>
    </w:p>
    <w:p w:rsidR="0042208E" w:rsidRDefault="00A253CB" w:rsidP="00A253CB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42208E">
        <w:rPr>
          <w:rFonts w:asciiTheme="majorHAnsi" w:hAnsiTheme="majorHAnsi" w:cs="Calibri"/>
          <w:sz w:val="18"/>
          <w:szCs w:val="18"/>
        </w:rPr>
        <w:t>kvestor.</w:t>
      </w:r>
      <w:r w:rsidR="004A7822">
        <w:rPr>
          <w:rFonts w:asciiTheme="majorHAnsi" w:hAnsiTheme="majorHAnsi" w:cs="Calibri"/>
          <w:sz w:val="18"/>
          <w:szCs w:val="18"/>
        </w:rPr>
        <w:t xml:space="preserve"> Prizvaná: Ing. Matúšková.</w:t>
      </w:r>
    </w:p>
    <w:p w:rsidR="004A7822" w:rsidRPr="00914DA2" w:rsidRDefault="004A7822" w:rsidP="000D7FA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a</w:t>
      </w:r>
      <w:r w:rsidRPr="004A7822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u</w:t>
      </w:r>
      <w:r w:rsidRPr="004A7822">
        <w:rPr>
          <w:rFonts w:asciiTheme="majorHAnsi" w:hAnsiTheme="majorHAnsi"/>
          <w:sz w:val="18"/>
          <w:szCs w:val="18"/>
        </w:rPr>
        <w:t xml:space="preserve"> jednotných zásad hospodárenia pre samostatne hospodáriace súčastí STU</w:t>
      </w:r>
      <w:r>
        <w:rPr>
          <w:rFonts w:asciiTheme="majorHAnsi" w:hAnsiTheme="majorHAnsi"/>
          <w:sz w:val="18"/>
          <w:szCs w:val="18"/>
        </w:rPr>
        <w:t>.</w:t>
      </w:r>
      <w:r w:rsidRPr="004A7822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="00914DA2" w:rsidRPr="00914DA2">
        <w:rPr>
          <w:rFonts w:asciiTheme="majorHAnsi" w:hAnsiTheme="majorHAnsi" w:cs="Arial"/>
          <w:sz w:val="18"/>
          <w:szCs w:val="18"/>
        </w:rPr>
        <w:t xml:space="preserve">V rámci diskusie rektor požiadal prítomných o zaslanie </w:t>
      </w:r>
      <w:r w:rsidR="00E0505B">
        <w:rPr>
          <w:rFonts w:asciiTheme="majorHAnsi" w:hAnsiTheme="majorHAnsi" w:cs="Arial"/>
          <w:sz w:val="18"/>
          <w:szCs w:val="18"/>
        </w:rPr>
        <w:t>prípadných p</w:t>
      </w:r>
      <w:r w:rsidR="00914DA2" w:rsidRPr="00914DA2">
        <w:rPr>
          <w:rFonts w:asciiTheme="majorHAnsi" w:hAnsiTheme="majorHAnsi" w:cs="Arial"/>
          <w:sz w:val="18"/>
          <w:szCs w:val="18"/>
        </w:rPr>
        <w:t>ripomienok písomne.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25E1F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A782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F58D0" w:rsidRPr="0042208E" w:rsidRDefault="00FF58D0" w:rsidP="00FF58D0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2208E">
        <w:rPr>
          <w:rFonts w:asciiTheme="majorHAnsi" w:hAnsiTheme="majorHAnsi"/>
          <w:sz w:val="18"/>
          <w:szCs w:val="18"/>
        </w:rPr>
        <w:t xml:space="preserve">Vedenie STU </w:t>
      </w:r>
      <w:r w:rsidR="00914DA2">
        <w:rPr>
          <w:rFonts w:asciiTheme="majorHAnsi" w:hAnsiTheme="majorHAnsi"/>
          <w:sz w:val="18"/>
          <w:szCs w:val="18"/>
        </w:rPr>
        <w:t xml:space="preserve">prerokovalo </w:t>
      </w:r>
      <w:r w:rsidR="00914DA2" w:rsidRPr="00314F8C">
        <w:rPr>
          <w:rFonts w:asciiTheme="majorHAnsi" w:hAnsiTheme="majorHAnsi"/>
          <w:sz w:val="18"/>
          <w:szCs w:val="18"/>
        </w:rPr>
        <w:t>Dodatok č. 1 k  smernici rektora Zásady hospodárenia STU v</w:t>
      </w:r>
      <w:r w:rsidR="00914DA2">
        <w:rPr>
          <w:rFonts w:asciiTheme="majorHAnsi" w:hAnsiTheme="majorHAnsi"/>
          <w:sz w:val="18"/>
          <w:szCs w:val="18"/>
        </w:rPr>
        <w:t> </w:t>
      </w:r>
      <w:r w:rsidR="00914DA2" w:rsidRPr="00314F8C">
        <w:rPr>
          <w:rFonts w:asciiTheme="majorHAnsi" w:hAnsiTheme="majorHAnsi"/>
          <w:sz w:val="18"/>
          <w:szCs w:val="18"/>
        </w:rPr>
        <w:t>Bratislave</w:t>
      </w:r>
      <w:r w:rsidR="00914DA2">
        <w:rPr>
          <w:rFonts w:asciiTheme="majorHAnsi" w:hAnsiTheme="majorHAnsi"/>
          <w:sz w:val="18"/>
          <w:szCs w:val="18"/>
        </w:rPr>
        <w:t xml:space="preserve"> a odporúča predmetný návrh predložiť na zasadnutie Kolégia rektora STU</w:t>
      </w:r>
      <w:r w:rsidRPr="0042208E">
        <w:rPr>
          <w:rFonts w:asciiTheme="majorHAnsi" w:hAnsiTheme="majorHAnsi" w:cstheme="majorHAnsi"/>
          <w:sz w:val="18"/>
          <w:szCs w:val="18"/>
        </w:rPr>
        <w:t>.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1F2D46" w:rsidRPr="001F2D46" w:rsidRDefault="00CD2520" w:rsidP="001F2D46">
      <w:pPr>
        <w:ind w:right="-284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1F2D46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1F2D4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E0505B" w:rsidRPr="00E0505B">
        <w:rPr>
          <w:rFonts w:asciiTheme="majorHAnsi" w:hAnsiTheme="majorHAnsi"/>
          <w:b/>
          <w:sz w:val="18"/>
          <w:szCs w:val="18"/>
          <w:u w:val="single"/>
        </w:rPr>
        <w:t>Zmena účelu použitia finančných prostriedkov z FO na SvF</w:t>
      </w:r>
    </w:p>
    <w:p w:rsidR="00FE3184" w:rsidRPr="000D7FA1" w:rsidRDefault="00FE3184" w:rsidP="00364AF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0505B" w:rsidRDefault="0042208E" w:rsidP="0042208E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42208E">
        <w:rPr>
          <w:rFonts w:asciiTheme="majorHAnsi" w:hAnsiTheme="majorHAnsi" w:cs="Calibri"/>
          <w:sz w:val="18"/>
          <w:szCs w:val="18"/>
        </w:rPr>
        <w:t>Materiál uviedol kvestor</w:t>
      </w:r>
      <w:r w:rsidR="00E0505B">
        <w:rPr>
          <w:rFonts w:asciiTheme="majorHAnsi" w:hAnsiTheme="majorHAnsi" w:cs="Calibri"/>
          <w:sz w:val="18"/>
          <w:szCs w:val="18"/>
        </w:rPr>
        <w:t>.</w:t>
      </w:r>
    </w:p>
    <w:p w:rsidR="00E0505B" w:rsidRDefault="00E0505B" w:rsidP="004220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Ide o ušetrené finančné prostriedky z fondu obnovy SVF STU.</w:t>
      </w:r>
    </w:p>
    <w:p w:rsidR="00CD2520" w:rsidRPr="006A02C4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E2A85" w:rsidRPr="006A02C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0505B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 w:rsidRPr="006A02C4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F58D0" w:rsidRPr="00E0505B" w:rsidRDefault="00CD2520" w:rsidP="006A02C4">
      <w:pPr>
        <w:ind w:right="-284"/>
        <w:rPr>
          <w:rFonts w:asciiTheme="majorHAnsi" w:hAnsiTheme="majorHAnsi"/>
          <w:sz w:val="18"/>
          <w:szCs w:val="18"/>
        </w:rPr>
      </w:pPr>
      <w:r w:rsidRPr="00E0505B">
        <w:rPr>
          <w:rFonts w:asciiTheme="majorHAnsi" w:hAnsiTheme="majorHAnsi"/>
          <w:sz w:val="18"/>
          <w:szCs w:val="18"/>
        </w:rPr>
        <w:t xml:space="preserve">Vedenie STU </w:t>
      </w:r>
      <w:r w:rsidR="00763B3A" w:rsidRPr="00E0505B">
        <w:rPr>
          <w:rFonts w:asciiTheme="majorHAnsi" w:hAnsiTheme="majorHAnsi"/>
          <w:sz w:val="18"/>
          <w:szCs w:val="18"/>
        </w:rPr>
        <w:t xml:space="preserve">schvaľuje </w:t>
      </w:r>
      <w:r w:rsidR="00E0505B" w:rsidRPr="00E0505B">
        <w:rPr>
          <w:rFonts w:asciiTheme="majorHAnsi" w:hAnsiTheme="majorHAnsi"/>
          <w:sz w:val="18"/>
          <w:szCs w:val="18"/>
        </w:rPr>
        <w:t>zmenu účelu použitia finančných prostriedkov z</w:t>
      </w:r>
      <w:r w:rsidR="00E0505B">
        <w:rPr>
          <w:rFonts w:asciiTheme="majorHAnsi" w:hAnsiTheme="majorHAnsi"/>
          <w:sz w:val="18"/>
          <w:szCs w:val="18"/>
        </w:rPr>
        <w:t> fondu obnovy</w:t>
      </w:r>
      <w:r w:rsidR="00E0505B" w:rsidRPr="00E0505B">
        <w:rPr>
          <w:rFonts w:asciiTheme="majorHAnsi" w:hAnsiTheme="majorHAnsi"/>
          <w:sz w:val="18"/>
          <w:szCs w:val="18"/>
        </w:rPr>
        <w:t xml:space="preserve"> na SvF</w:t>
      </w:r>
      <w:r w:rsidR="00763B3A" w:rsidRPr="00E0505B">
        <w:rPr>
          <w:rFonts w:asciiTheme="majorHAnsi" w:hAnsiTheme="majorHAnsi"/>
          <w:sz w:val="18"/>
          <w:szCs w:val="18"/>
        </w:rPr>
        <w:t>.</w:t>
      </w:r>
    </w:p>
    <w:p w:rsidR="00E0505B" w:rsidRDefault="00E0505B" w:rsidP="000C2FA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F629C" w:rsidRDefault="00CF629C" w:rsidP="000C2FA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F629C" w:rsidRDefault="00CF629C" w:rsidP="000C2FA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F629C" w:rsidRDefault="00CF629C" w:rsidP="000C2FA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C2FA2" w:rsidRDefault="000C2FA2" w:rsidP="000C2FA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E0505B" w:rsidRPr="00E0505B">
        <w:rPr>
          <w:rFonts w:asciiTheme="majorHAnsi" w:hAnsiTheme="majorHAnsi"/>
          <w:b/>
          <w:sz w:val="18"/>
          <w:szCs w:val="18"/>
          <w:u w:val="single"/>
        </w:rPr>
        <w:t>Návrh dodatku číslo 2 k smernici rektora číslo 9/2013 – SR Nájom nehnuteľného majetku vo vlastníctve STU v Bratislave</w:t>
      </w:r>
    </w:p>
    <w:p w:rsidR="000C2FA2" w:rsidRDefault="000C2FA2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31D79" w:rsidRDefault="00B31D79" w:rsidP="00B31D79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>r</w:t>
      </w:r>
      <w:r w:rsidR="00E0505B" w:rsidRPr="00E0505B">
        <w:rPr>
          <w:rFonts w:asciiTheme="majorHAnsi" w:hAnsiTheme="majorHAnsi"/>
          <w:sz w:val="18"/>
          <w:szCs w:val="18"/>
        </w:rPr>
        <w:t xml:space="preserve"> </w:t>
      </w:r>
      <w:r w:rsidR="00E0505B">
        <w:rPr>
          <w:rFonts w:asciiTheme="majorHAnsi" w:hAnsiTheme="majorHAnsi"/>
          <w:sz w:val="18"/>
          <w:szCs w:val="18"/>
        </w:rPr>
        <w:t>ako ú</w:t>
      </w:r>
      <w:r w:rsidR="00E0505B" w:rsidRPr="00E0505B">
        <w:rPr>
          <w:rFonts w:asciiTheme="majorHAnsi" w:hAnsiTheme="majorHAnsi"/>
          <w:sz w:val="18"/>
          <w:szCs w:val="18"/>
        </w:rPr>
        <w:t>prav</w:t>
      </w:r>
      <w:r w:rsidR="00E0505B">
        <w:rPr>
          <w:rFonts w:asciiTheme="majorHAnsi" w:hAnsiTheme="majorHAnsi"/>
          <w:sz w:val="18"/>
          <w:szCs w:val="18"/>
        </w:rPr>
        <w:t>u</w:t>
      </w:r>
      <w:r w:rsidR="00E0505B" w:rsidRPr="00E0505B">
        <w:rPr>
          <w:rFonts w:asciiTheme="majorHAnsi" w:hAnsiTheme="majorHAnsi"/>
          <w:sz w:val="18"/>
          <w:szCs w:val="18"/>
        </w:rPr>
        <w:t xml:space="preserve"> zásad a postupu prenechávania nehnuteľného majetku S</w:t>
      </w:r>
      <w:r w:rsidR="00E0505B">
        <w:rPr>
          <w:rFonts w:asciiTheme="majorHAnsi" w:hAnsiTheme="majorHAnsi"/>
          <w:sz w:val="18"/>
          <w:szCs w:val="18"/>
        </w:rPr>
        <w:t>TU</w:t>
      </w:r>
      <w:r w:rsidR="00E0505B" w:rsidRPr="00E0505B">
        <w:rPr>
          <w:rFonts w:asciiTheme="majorHAnsi" w:hAnsiTheme="majorHAnsi"/>
          <w:sz w:val="18"/>
          <w:szCs w:val="18"/>
        </w:rPr>
        <w:t xml:space="preserve"> do nájmu iným osobám, podľa potrieb, ktoré vznikli v aplikačnej praxi.</w:t>
      </w:r>
      <w:r w:rsidR="00E0505B">
        <w:rPr>
          <w:rFonts w:asciiTheme="majorHAnsi" w:hAnsiTheme="majorHAnsi"/>
          <w:sz w:val="18"/>
          <w:szCs w:val="18"/>
        </w:rPr>
        <w:t xml:space="preserve"> </w:t>
      </w:r>
      <w:r w:rsidR="00E0505B">
        <w:rPr>
          <w:rFonts w:asciiTheme="majorHAnsi" w:hAnsiTheme="majorHAnsi" w:cs="Calibri"/>
          <w:sz w:val="18"/>
          <w:szCs w:val="18"/>
        </w:rPr>
        <w:t>Prizvaný: JUDr. Michalička.</w:t>
      </w:r>
    </w:p>
    <w:p w:rsidR="00B31D79" w:rsidRPr="00CD7501" w:rsidRDefault="00B31D79" w:rsidP="00B31D79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0505B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22B9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FF389D" w:rsidRPr="00E0505B" w:rsidRDefault="00B31D79" w:rsidP="00FF389D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E0505B">
        <w:rPr>
          <w:rFonts w:asciiTheme="majorHAnsi" w:hAnsiTheme="majorHAnsi"/>
          <w:sz w:val="18"/>
          <w:szCs w:val="18"/>
        </w:rPr>
        <w:t xml:space="preserve">Vedenie STU prerokovalo </w:t>
      </w:r>
      <w:r w:rsidR="00E0505B" w:rsidRPr="00E0505B">
        <w:rPr>
          <w:rFonts w:asciiTheme="majorHAnsi" w:hAnsiTheme="majorHAnsi"/>
          <w:sz w:val="18"/>
          <w:szCs w:val="18"/>
        </w:rPr>
        <w:t>Návrh dodatku číslo 2 k smernici rektora číslo 9/2013 – SR Nájom nehnuteľného majetku vo vlastníctve STU v</w:t>
      </w:r>
      <w:r w:rsidR="00E0505B">
        <w:rPr>
          <w:rFonts w:asciiTheme="majorHAnsi" w:hAnsiTheme="majorHAnsi"/>
          <w:sz w:val="18"/>
          <w:szCs w:val="18"/>
        </w:rPr>
        <w:t> </w:t>
      </w:r>
      <w:r w:rsidR="00E0505B" w:rsidRPr="00E0505B">
        <w:rPr>
          <w:rFonts w:asciiTheme="majorHAnsi" w:hAnsiTheme="majorHAnsi"/>
          <w:sz w:val="18"/>
          <w:szCs w:val="18"/>
        </w:rPr>
        <w:t>Bratislave</w:t>
      </w:r>
      <w:r w:rsidR="00E0505B">
        <w:rPr>
          <w:rFonts w:asciiTheme="majorHAnsi" w:hAnsiTheme="majorHAnsi"/>
          <w:sz w:val="18"/>
          <w:szCs w:val="18"/>
        </w:rPr>
        <w:t xml:space="preserve"> a odporúča predmetný návrh interného predpisu predložiť na zasadnutie Kolégia rektora STU.</w:t>
      </w:r>
    </w:p>
    <w:p w:rsidR="00B31D79" w:rsidRDefault="00B31D79" w:rsidP="00B31D79">
      <w:pPr>
        <w:tabs>
          <w:tab w:val="left" w:pos="1985"/>
        </w:tabs>
        <w:rPr>
          <w:rFonts w:asciiTheme="majorHAnsi" w:hAnsiTheme="majorHAnsi" w:cs="Arial"/>
          <w:b/>
          <w:sz w:val="18"/>
          <w:szCs w:val="18"/>
          <w:u w:val="single"/>
        </w:rPr>
      </w:pPr>
    </w:p>
    <w:p w:rsidR="005C57E1" w:rsidRDefault="005C57E1" w:rsidP="005C57E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E0505B" w:rsidRPr="00E0505B">
        <w:rPr>
          <w:rFonts w:asciiTheme="majorHAnsi" w:hAnsiTheme="majorHAnsi"/>
          <w:b/>
          <w:sz w:val="18"/>
          <w:szCs w:val="18"/>
          <w:u w:val="single"/>
        </w:rPr>
        <w:t>Návrh na vydanie Rozhodnutia rektora o nepotrebnosti hnuteľných vecí STU – polygrafické zariadenia</w:t>
      </w:r>
    </w:p>
    <w:p w:rsidR="001B501C" w:rsidRDefault="001B501C" w:rsidP="001B501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0505B" w:rsidRDefault="000C2FA2" w:rsidP="000C2FA2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 w:rsidR="00994B5E">
        <w:rPr>
          <w:rFonts w:asciiTheme="majorHAnsi" w:hAnsiTheme="majorHAnsi"/>
          <w:color w:val="000000"/>
          <w:sz w:val="18"/>
          <w:szCs w:val="18"/>
        </w:rPr>
        <w:t>kvestor</w:t>
      </w:r>
      <w:r w:rsidR="00E0505B">
        <w:rPr>
          <w:rFonts w:asciiTheme="majorHAnsi" w:hAnsiTheme="majorHAnsi"/>
          <w:color w:val="000000"/>
          <w:sz w:val="18"/>
          <w:szCs w:val="18"/>
        </w:rPr>
        <w:t xml:space="preserve">. Prizvaný: Ing. </w:t>
      </w:r>
      <w:proofErr w:type="spellStart"/>
      <w:r w:rsidR="00E0505B">
        <w:rPr>
          <w:rFonts w:asciiTheme="majorHAnsi" w:hAnsiTheme="majorHAnsi"/>
          <w:color w:val="000000"/>
          <w:sz w:val="18"/>
          <w:szCs w:val="18"/>
        </w:rPr>
        <w:t>Zsigo</w:t>
      </w:r>
      <w:proofErr w:type="spellEnd"/>
      <w:r w:rsidR="00E0505B">
        <w:rPr>
          <w:rFonts w:asciiTheme="majorHAnsi" w:hAnsiTheme="majorHAnsi"/>
          <w:color w:val="000000"/>
          <w:sz w:val="18"/>
          <w:szCs w:val="18"/>
        </w:rPr>
        <w:t>.</w:t>
      </w:r>
    </w:p>
    <w:p w:rsidR="00992EA7" w:rsidRPr="00992EA7" w:rsidRDefault="00992EA7" w:rsidP="000C2FA2">
      <w:pPr>
        <w:ind w:left="1412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992EA7">
        <w:rPr>
          <w:rFonts w:asciiTheme="majorHAnsi" w:hAnsiTheme="majorHAnsi"/>
          <w:sz w:val="18"/>
          <w:szCs w:val="18"/>
        </w:rPr>
        <w:t xml:space="preserve">ostup v zmysle článku 3 bod 3 Smernice rektora číslo 3/2015-SR „Nakladanie s nepotrebným majetkom Slovenskej </w:t>
      </w:r>
    </w:p>
    <w:p w:rsidR="00992EA7" w:rsidRDefault="00992EA7" w:rsidP="000C2FA2">
      <w:pPr>
        <w:ind w:left="1412" w:hanging="1412"/>
        <w:rPr>
          <w:rFonts w:asciiTheme="majorHAnsi" w:hAnsiTheme="majorHAnsi"/>
          <w:sz w:val="18"/>
          <w:szCs w:val="18"/>
        </w:rPr>
      </w:pPr>
      <w:r w:rsidRPr="00992EA7">
        <w:rPr>
          <w:rFonts w:asciiTheme="majorHAnsi" w:hAnsiTheme="majorHAnsi"/>
          <w:sz w:val="18"/>
          <w:szCs w:val="18"/>
        </w:rPr>
        <w:t>technickej univerzity v Bratislave“ zo dňa 05.03.2015</w:t>
      </w:r>
      <w:r>
        <w:rPr>
          <w:rFonts w:asciiTheme="majorHAnsi" w:hAnsiTheme="majorHAnsi"/>
          <w:sz w:val="18"/>
          <w:szCs w:val="18"/>
        </w:rPr>
        <w:t>.</w:t>
      </w:r>
    </w:p>
    <w:p w:rsidR="00992EA7" w:rsidRDefault="00992EA7" w:rsidP="000C2FA2">
      <w:pPr>
        <w:ind w:left="1412" w:hanging="1412"/>
        <w:rPr>
          <w:rFonts w:asciiTheme="majorHAnsi" w:hAnsiTheme="majorHAnsi"/>
          <w:sz w:val="18"/>
          <w:szCs w:val="18"/>
          <w:shd w:val="clear" w:color="auto" w:fill="FFFFFF"/>
        </w:rPr>
      </w:pPr>
      <w:r w:rsidRPr="00992EA7">
        <w:rPr>
          <w:rFonts w:asciiTheme="majorHAnsi" w:hAnsiTheme="majorHAnsi"/>
          <w:sz w:val="18"/>
          <w:szCs w:val="18"/>
        </w:rPr>
        <w:t xml:space="preserve">V rámci diskusie kvestor informoval prítomných, že vydavateľstvo opäť získalo ocenenie Literárneho fondu - </w:t>
      </w:r>
      <w:r w:rsidRPr="00992EA7">
        <w:rPr>
          <w:rFonts w:asciiTheme="majorHAnsi" w:hAnsiTheme="majorHAnsi"/>
          <w:sz w:val="18"/>
          <w:szCs w:val="18"/>
          <w:shd w:val="clear" w:color="auto" w:fill="FFFFFF"/>
        </w:rPr>
        <w:t xml:space="preserve">Prémiu za vedeckú </w:t>
      </w:r>
    </w:p>
    <w:p w:rsidR="00992EA7" w:rsidRPr="00992EA7" w:rsidRDefault="00992EA7" w:rsidP="000C2FA2">
      <w:pPr>
        <w:ind w:left="1412" w:hanging="1412"/>
        <w:rPr>
          <w:rFonts w:asciiTheme="majorHAnsi" w:hAnsiTheme="majorHAnsi"/>
          <w:sz w:val="18"/>
          <w:szCs w:val="18"/>
        </w:rPr>
      </w:pPr>
      <w:r w:rsidRPr="00992EA7">
        <w:rPr>
          <w:rFonts w:asciiTheme="majorHAnsi" w:hAnsiTheme="majorHAnsi"/>
          <w:sz w:val="18"/>
          <w:szCs w:val="18"/>
          <w:shd w:val="clear" w:color="auto" w:fill="FFFFFF"/>
        </w:rPr>
        <w:t>a odbornú literatúru za rok 2016 v kategórii prírodné a technické vedy</w:t>
      </w:r>
      <w:r w:rsidRPr="00992EA7">
        <w:rPr>
          <w:rFonts w:asciiTheme="majorHAnsi" w:hAnsiTheme="majorHAnsi"/>
          <w:sz w:val="18"/>
          <w:szCs w:val="18"/>
        </w:rPr>
        <w:t>.</w:t>
      </w:r>
    </w:p>
    <w:p w:rsidR="000C2FA2" w:rsidRPr="00CD7501" w:rsidRDefault="000C2FA2" w:rsidP="000C2FA2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92EA7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C57E1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0C2FA2" w:rsidRPr="00992EA7" w:rsidRDefault="000C2FA2" w:rsidP="000C2FA2">
      <w:pPr>
        <w:ind w:right="-144"/>
        <w:rPr>
          <w:rFonts w:asciiTheme="majorHAnsi" w:hAnsiTheme="majorHAnsi"/>
          <w:sz w:val="18"/>
          <w:szCs w:val="18"/>
        </w:rPr>
      </w:pPr>
      <w:r w:rsidRPr="00992EA7">
        <w:rPr>
          <w:rFonts w:asciiTheme="majorHAnsi" w:hAnsiTheme="majorHAnsi"/>
          <w:sz w:val="18"/>
          <w:szCs w:val="18"/>
        </w:rPr>
        <w:t xml:space="preserve">Vedenie STU </w:t>
      </w:r>
      <w:r w:rsidR="00992EA7" w:rsidRPr="00992EA7">
        <w:rPr>
          <w:rFonts w:asciiTheme="majorHAnsi" w:hAnsiTheme="majorHAnsi"/>
          <w:sz w:val="18"/>
          <w:szCs w:val="18"/>
        </w:rPr>
        <w:t>prerokovalo a odsúhlasilo návrh riaditeľa Vydavateľstva SPEKTRUM STU na vydanie Rozhodnutia rektora o nepotrebnosti hnuteľných vecí STU v užívaní Vydavateľstva SPEKTRUM STU, ktorými sú polygrafické zariadenia</w:t>
      </w:r>
      <w:r w:rsidR="00994B5E" w:rsidRPr="00992EA7">
        <w:rPr>
          <w:rFonts w:asciiTheme="majorHAnsi" w:hAnsiTheme="majorHAnsi"/>
          <w:sz w:val="18"/>
          <w:szCs w:val="18"/>
        </w:rPr>
        <w:t xml:space="preserve"> a odporúča predložiť materiál na zasadnutie Kolégia rektora STU</w:t>
      </w:r>
      <w:r w:rsidRPr="00992EA7">
        <w:rPr>
          <w:rFonts w:asciiTheme="majorHAnsi" w:hAnsiTheme="majorHAnsi"/>
          <w:sz w:val="18"/>
          <w:szCs w:val="18"/>
        </w:rPr>
        <w:t>.</w:t>
      </w:r>
    </w:p>
    <w:p w:rsidR="000C2FA2" w:rsidRDefault="000C2FA2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92EA7" w:rsidRDefault="00992EA7" w:rsidP="00992EA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992EA7">
        <w:rPr>
          <w:rFonts w:asciiTheme="majorHAnsi" w:hAnsiTheme="majorHAnsi"/>
          <w:b/>
          <w:sz w:val="18"/>
          <w:szCs w:val="18"/>
          <w:u w:val="single"/>
        </w:rPr>
        <w:t>Návrh na odsúhlasenie NZ a dodatkov k NZ</w:t>
      </w:r>
    </w:p>
    <w:p w:rsidR="00992EA7" w:rsidRDefault="00992EA7" w:rsidP="00992EA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92EA7" w:rsidRDefault="00992EA7" w:rsidP="00992EA7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992EA7" w:rsidRPr="00CD7501" w:rsidRDefault="00992EA7" w:rsidP="00992EA7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992EA7" w:rsidRPr="00992EA7" w:rsidRDefault="00992EA7" w:rsidP="00992EA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92EA7">
        <w:rPr>
          <w:rFonts w:asciiTheme="majorHAnsi" w:hAnsiTheme="majorHAnsi"/>
          <w:sz w:val="18"/>
          <w:szCs w:val="18"/>
        </w:rPr>
        <w:t xml:space="preserve">Vedenie STU prerokovalo žiadosti  FA STU, </w:t>
      </w:r>
      <w:proofErr w:type="spellStart"/>
      <w:r w:rsidRPr="00992EA7">
        <w:rPr>
          <w:rFonts w:asciiTheme="majorHAnsi" w:hAnsiTheme="majorHAnsi"/>
          <w:sz w:val="18"/>
          <w:szCs w:val="18"/>
        </w:rPr>
        <w:t>FEI</w:t>
      </w:r>
      <w:proofErr w:type="spellEnd"/>
      <w:r w:rsidRPr="00992EA7">
        <w:rPr>
          <w:rFonts w:asciiTheme="majorHAnsi" w:hAnsiTheme="majorHAnsi"/>
          <w:sz w:val="18"/>
          <w:szCs w:val="18"/>
        </w:rPr>
        <w:t xml:space="preserve"> STU, </w:t>
      </w:r>
      <w:proofErr w:type="spellStart"/>
      <w:r w:rsidRPr="00992EA7">
        <w:rPr>
          <w:rFonts w:asciiTheme="majorHAnsi" w:hAnsiTheme="majorHAnsi"/>
          <w:sz w:val="18"/>
          <w:szCs w:val="18"/>
        </w:rPr>
        <w:t>ÚZ</w:t>
      </w:r>
      <w:proofErr w:type="spellEnd"/>
      <w:r w:rsidRPr="00992EA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92EA7">
        <w:rPr>
          <w:rFonts w:asciiTheme="majorHAnsi" w:hAnsiTheme="majorHAnsi"/>
          <w:sz w:val="18"/>
          <w:szCs w:val="18"/>
        </w:rPr>
        <w:t>ŠDaJ</w:t>
      </w:r>
      <w:proofErr w:type="spellEnd"/>
      <w:r w:rsidRPr="00992EA7">
        <w:rPr>
          <w:rFonts w:asciiTheme="majorHAnsi" w:hAnsiTheme="majorHAnsi"/>
          <w:sz w:val="18"/>
          <w:szCs w:val="18"/>
        </w:rPr>
        <w:t xml:space="preserve"> STU a </w:t>
      </w:r>
      <w:proofErr w:type="spellStart"/>
      <w:r w:rsidRPr="00992EA7">
        <w:rPr>
          <w:rFonts w:asciiTheme="majorHAnsi" w:hAnsiTheme="majorHAnsi"/>
          <w:sz w:val="18"/>
          <w:szCs w:val="18"/>
        </w:rPr>
        <w:t>UTI</w:t>
      </w:r>
      <w:proofErr w:type="spellEnd"/>
      <w:r w:rsidRPr="00992EA7">
        <w:rPr>
          <w:rFonts w:asciiTheme="majorHAnsi" w:hAnsiTheme="majorHAnsi"/>
          <w:sz w:val="18"/>
          <w:szCs w:val="18"/>
        </w:rPr>
        <w:t xml:space="preserve"> STU o nájom nehnuteľného majetku STU uvedeného v bodoch 1 až 19  tohto materiálu a odporúča rektorovi žiadosti uvedené v bodoch 1 až 19 tohto  materiálu v zmysle článku 3 bod 3 smernice rektora číslo 9/0213-SR predložiť na vyjadrenie predchádzajúceho písomného súhlasu do Akademického senátu STU. </w:t>
      </w:r>
    </w:p>
    <w:p w:rsidR="00992EA7" w:rsidRDefault="00992EA7" w:rsidP="00AE2A8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36"/>
        <w:gridCol w:w="1842"/>
        <w:gridCol w:w="7928"/>
      </w:tblGrid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Vydavateľstvo EUROSTAV, spol. s r. o.,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Nová 3, 831 03 Bratislava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Bratislava I, oddiel č.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. č. 8895/B.  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dočasne nepotrebný majetok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, nebytové priestory (NP) nachádzajúce sa v budove FA STU, Námestie Slobody 19, Bratislava a to: miestnosť č. 37 – predajňa skrípt a odbornej literatúry o výmere 43,50m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a miestnosť č. 027 – sklad o výmere 5,37m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48,87m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predaj odbornej literatúry a skrípt</w:t>
            </w:r>
          </w:p>
        </w:tc>
      </w:tr>
      <w:tr w:rsidR="00992EA7" w:rsidRPr="00992EA7" w:rsidTr="00992EA7">
        <w:trPr>
          <w:trHeight w:val="259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28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01.01.2018 do 31.12.2022</w:t>
            </w:r>
          </w:p>
        </w:tc>
      </w:tr>
      <w:tr w:rsidR="00992EA7" w:rsidRPr="00992EA7" w:rsidTr="00992EA7">
        <w:trPr>
          <w:trHeight w:val="816"/>
        </w:trPr>
        <w:tc>
          <w:tcPr>
            <w:tcW w:w="436" w:type="dxa"/>
            <w:tcBorders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predajňa  22,0 €/m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/rok – 957,00 € a sklad  20,0 €/m2/rok – 107,40 € ,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t. j. spolu ročne 1 064,40 €,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266,10 €,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992EA7" w:rsidRPr="00992EA7" w:rsidTr="00992EA7">
        <w:trPr>
          <w:trHeight w:val="50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nad rámec nájomného hradí nájomca sumu za dodávku energií a služieb spojených s nájmom a to paušálnou sumou vypočítanou útvarom energetiky R-STU úmernou k ploche prenajatého  NP voči celkovej výmere FA STU čo predstavuje 0,382% celkových nákladov.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dekanka FA  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7927"/>
      </w:tblGrid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Naďa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Albertova,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2, 811 07 Bratislava, 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na OÚ Bratislava, odbor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živn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. podnikania reg. č. 101-4326. 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9704/0031/15; č. 81/2015 R-STU sa predlžuje doba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nájmu; dočasne nepotrebný majetok, nebytový priestor nachádzajúci sa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 ŠD N. B ,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Wilsonova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6, Bratislava – skladový priestor, miestnosť č. 02NB-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1 025 o výmere 13,50m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 31.12.2020.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: 13,50 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dielňa na výrobu drobných aranžérskych predmetov.</w:t>
            </w:r>
          </w:p>
        </w:tc>
      </w:tr>
      <w:tr w:rsidR="00992EA7" w:rsidRPr="00992EA7" w:rsidTr="00992EA7">
        <w:trPr>
          <w:trHeight w:val="178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01.01.2018 do 31.12.2020</w:t>
            </w:r>
          </w:p>
        </w:tc>
      </w:tr>
      <w:tr w:rsidR="00992EA7" w:rsidRPr="00992EA7" w:rsidTr="00992EA7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27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sklad 20,00€/m2/rok,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t. j. výška nájomného ročne je  270,00 €.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Nájomné hradí </w:t>
            </w:r>
            <w:r w:rsidRPr="00992EA7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daného štvrťroka vo výške 95,29 €,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92EA7" w:rsidRPr="00992EA7" w:rsidTr="00992EA7">
        <w:trPr>
          <w:trHeight w:val="50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27" w:type="dxa"/>
          </w:tcPr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prenajímateľ fakturovať </w:t>
            </w:r>
          </w:p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štvrťročne; za dodanie energií vyfakturuje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prenajímateľ 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 15 dní po uplynutí daného 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štvrťroka.  Náklady za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dodanie služieb budú fakturované paušálnou sumou do 15 dní po uplynutí</w:t>
            </w:r>
          </w:p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zúčtovacích faktúr od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dodávateľov energií </w:t>
            </w:r>
          </w:p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vyhotoví nájomcovi vyúčtovaciu faktúru za príslušný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992EA7" w:rsidRPr="00992EA7" w:rsidRDefault="00992EA7" w:rsidP="00E36A6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preplatku zo zúčtovacej faktúry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je 15 kalendárnych dní odo dňa doručenia vyúčtovania nájomcovi.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riaditeľ  ÚZ ŠD a J  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36"/>
        <w:gridCol w:w="1843"/>
        <w:gridCol w:w="7927"/>
      </w:tblGrid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MEDECO, spol. s r. o.,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Bezeková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2034/21, 841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02Bratislava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podnikateľom zapísaný na OS Bratislava I, oddiel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63066/B.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5/2017 R-STU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rozširuje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od 01.11.2017 predmet nájmu; dočasne nepotrebný majetok, nebytové priestory (NP) nachádzajúce sa v administratívnej budove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3, Bratislava, v objekte „D“, piate poschodie, kancelárske priestory č. 504 o výmere 14,76m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, č. 505 o výmere 14,76m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a č. 506 o výmere 13,24m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o kancelársky priestor  č. 507 o výmere  14,76m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je  o výmere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57,52m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využívanie predmetu nájmu na bežnú podnikateľskú  a laboratórnu činnosť nájomcu</w:t>
            </w:r>
          </w:p>
        </w:tc>
      </w:tr>
      <w:tr w:rsidR="00992EA7" w:rsidRPr="00992EA7" w:rsidTr="00992EA7">
        <w:trPr>
          <w:trHeight w:val="178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od 01.11.2017 do 31.03.2020</w:t>
            </w:r>
          </w:p>
        </w:tc>
      </w:tr>
      <w:tr w:rsidR="00992EA7" w:rsidRPr="00992EA7" w:rsidTr="00992EA7">
        <w:trPr>
          <w:trHeight w:val="770"/>
        </w:trPr>
        <w:tc>
          <w:tcPr>
            <w:tcW w:w="436" w:type="dxa"/>
            <w:tcBorders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27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Nebytové priestory spolu  - 60,00€/m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/rok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t. j. spolu ročne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3 451,20 €.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 862,80 €,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992EA7" w:rsidRPr="00992EA7" w:rsidTr="00992EA7">
        <w:trPr>
          <w:trHeight w:val="50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27" w:type="dxa"/>
          </w:tcPr>
          <w:p w:rsidR="00992EA7" w:rsidRPr="00992EA7" w:rsidRDefault="00992EA7" w:rsidP="00992EA7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ook w:val="04A0" w:firstRow="1" w:lastRow="0" w:firstColumn="1" w:lastColumn="0" w:noHBand="0" w:noVBand="1"/>
      </w:tblPr>
      <w:tblGrid>
        <w:gridCol w:w="436"/>
        <w:gridCol w:w="1842"/>
        <w:gridCol w:w="7928"/>
      </w:tblGrid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Mediagraf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Ťahanovská 2902/36A, 040 03 Košice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podnikateľom zapísaný v OR OS Košice, oddiel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. č. 40199/N.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83/2016 R-STU spolu s dodatkom č. 1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doba nájmu; dočasne nepotrebný majetok, nebytové priestory (NP) nachádzajúce sa v administratívnej budove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3 v Bratislave,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LV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č. 1425, k. ú.: Karlova Ves,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. č. 3016 – konkrétne (poslucháreň C-D) priestor kancelárie č. miestnosti 001, “ na prízemí v budove „C“ o výmere 57,64m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 31.10.2018,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57,64 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vykonávanie služieb súvisiacich s reklamnou a marketingovou činnosťou.</w:t>
            </w:r>
          </w:p>
        </w:tc>
      </w:tr>
      <w:tr w:rsidR="00992EA7" w:rsidRPr="00992EA7" w:rsidTr="00992EA7">
        <w:trPr>
          <w:trHeight w:val="259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28" w:type="dxa"/>
            <w:tcBorders>
              <w:bottom w:val="single" w:sz="4" w:space="0" w:color="auto"/>
            </w:tcBorders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 2017 do 31. 10.2018</w:t>
            </w:r>
          </w:p>
        </w:tc>
      </w:tr>
      <w:tr w:rsidR="00992EA7" w:rsidRPr="00992EA7" w:rsidTr="00992EA7">
        <w:trPr>
          <w:trHeight w:val="816"/>
        </w:trPr>
        <w:tc>
          <w:tcPr>
            <w:tcW w:w="436" w:type="dxa"/>
            <w:tcBorders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28" w:type="dxa"/>
            <w:tcBorders>
              <w:left w:val="single" w:sz="4" w:space="0" w:color="auto"/>
              <w:right w:val="single" w:sz="4" w:space="0" w:color="auto"/>
            </w:tcBorders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miestnosť č. 001 -   60,00 €/ 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/rok, t. j. 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3 458,40 €/rok,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nájomné bude upravované podľa ročnej miery inflácie za predchádzajúci kalendárny rok  meranej indexom spotrebiteľských cien podľa údajov Štatistického úradu SR.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992EA7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daného štvrťroka vo výške  864,60 €,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92EA7" w:rsidRPr="00992EA7" w:rsidTr="00992EA7">
        <w:trPr>
          <w:trHeight w:val="50"/>
        </w:trPr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dodávku energií a poskytnutie služieb spojených s nájmom budú fakturované nájomcovi zálohovo a to vždy 15. dňa prvého mesiaca zmluvného štvrťroka,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92EA7" w:rsidRPr="00992EA7" w:rsidTr="00992EA7">
        <w:tc>
          <w:tcPr>
            <w:tcW w:w="43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28" w:type="dxa"/>
          </w:tcPr>
          <w:p w:rsidR="00992EA7" w:rsidRPr="00992EA7" w:rsidRDefault="00992EA7" w:rsidP="00992EA7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Amitis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Vajnorská 83,831 03 Bratislava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podnikateľom zapísaný v OR OS Bratislava I, oddiel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. č. 52959/B.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82/2016 R-STU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doba nájmu; dočasne nepotrebný majetok, nebytové priestory (NP) nachádzajúce sa v administratívnej budove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3 v Bratislave,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LV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č. 1425, k. ú.: Karlova Ves,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parc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. č. 3016 – priestor kancelárie č. miestnosti 324, “ na 3.poschodí v budove „D“ o výmere 14,76m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 31.10.2021,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14,76 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vykonávanie služieb súvisiacich s kúpou tovaru za účelom jeho predaja, počítačové služby, sprostredkovateľská činnosť ....</w:t>
            </w:r>
          </w:p>
        </w:tc>
      </w:tr>
      <w:tr w:rsidR="00992EA7" w:rsidRPr="00992EA7" w:rsidTr="00992EA7">
        <w:trPr>
          <w:trHeight w:val="259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 2017 do 31. 10.2021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miestnosť č. 001 -   60,00 €/ 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/rok, t. j. 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885,60 €/rok,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nájomné bude upravované podľa ročnej miery inflácie za predchádzajúci kalendárny rok  meranej indexom spotrebiteľských cien podľa údajov Štatistického úradu SR.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992EA7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daného štvrťroka vo výške  221,40 €,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92EA7" w:rsidRPr="00992EA7" w:rsidTr="00992EA7">
        <w:trPr>
          <w:trHeight w:val="50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dodávku energií a poskytnutie služieb spojených s nájmom budú fakturované nájomcovi zálohovo a to vždy 15. dňa prvého mesiaca zmluvného štvrťroka,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p w:rsidR="00E36A66" w:rsidRPr="00992EA7" w:rsidRDefault="00E36A66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Slovak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Business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Agency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Miletičova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23, 821 09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nájomca je registrovaný na OÚ Bratislava, reg. č. OVVS/467/1997-Ta.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1709396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doba nájmu; dočasne nepotrebný majetok   -  nebytový priestor(NP)  – miestnosť č. 216 nachádzajúce sa na 2. poschodí a miestnosť č. 318 na 3. poschodí  budovy UTI na Pionierskej 15, Bratislava a hnuteľné veci nachádzajúce sa v predmetnom NP spolu s pomernou časťou spoločných priestorov (chodba, WC, kuchynka a pod.)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 31.05.2019,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77,90m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kancelárie/ vykonávania podnikateľskej  činnosti  na základe predloženého podnikateľského plánu</w:t>
            </w:r>
          </w:p>
        </w:tc>
      </w:tr>
      <w:tr w:rsidR="00992EA7" w:rsidRPr="00992EA7" w:rsidTr="00992EA7">
        <w:trPr>
          <w:trHeight w:val="259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31.05.2019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miestnosti spolu 77,90m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-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192,21 €/mesačne najneskôr do 15. dňa príslušného kalendárneho mesiaca za daný mesiac. Nájomné za hnuteľné veci zaplatí nájomca vždy do 15. dňa príslušného mesiaca vo výške 81,23 €/mes. spolu s úhradou sa služby vo výške 196,56€/mes. a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t. j.   468,00€/mesiac.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Ročne 5 616,00 €,       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 - - čl.5, bod 2 a v súlade s platným cenníkom UTI STU</w:t>
            </w:r>
          </w:p>
        </w:tc>
      </w:tr>
      <w:tr w:rsidR="00992EA7" w:rsidRPr="00992EA7" w:rsidTr="00992EA7">
        <w:trPr>
          <w:trHeight w:val="50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196,56 € mesačne  a sú súčasťou mesačného nájomného 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92EA7" w:rsidRPr="00992EA7" w:rsidRDefault="00992EA7" w:rsidP="00992EA7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AKUBA, s. r. o.,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Fedinova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24, 851 04  Bratislava,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 v OR OS Ba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93761/B 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18/2015 R-STU a dodatku č. 1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mení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predmet nájmu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a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 predlžuje sa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doba nájmu; dočasne nepotrebný majetok, nebytové priestory (NP) nachádzajúce sa v administratívnej budove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FEI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STU,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3, Bratislava, v objekte „D“, na druhom poschodí, č. dverí 204 – laboratórny priestor  o výmere 19,85m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nájomca odovzdáva a zároveň preberá kancelársky priestor v objekte „D“ č.  na 7.poschodí č. 709, 710, a 711 spolu o výmere 42,25m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(pôvodne 19,85m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),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42,25m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laboratórna činnosť, počítačové služby .</w:t>
            </w:r>
          </w:p>
        </w:tc>
      </w:tr>
      <w:tr w:rsidR="00992EA7" w:rsidRPr="00992EA7" w:rsidTr="00992EA7">
        <w:trPr>
          <w:trHeight w:val="259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31.03.2022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kancelársky priestor č. 709 až 711 – 60,00 €/m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/rok,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t. j. 2 535,00 €/rok.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hradí nájomca štvrťročne vopred vždy k 15. dňu prvého mesiaca daného štvrťroka vo výške 633,75 €,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je v súlade so smernicou. </w:t>
            </w:r>
          </w:p>
        </w:tc>
      </w:tr>
      <w:tr w:rsidR="00992EA7" w:rsidRPr="00992EA7" w:rsidTr="00992EA7">
        <w:trPr>
          <w:trHeight w:val="50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937"/>
      </w:tblGrid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AerobTec,s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 r. o.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3, 841 01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74705/B.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dodatkom č. 3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k NZ  č. 77/2015 R-STU a dodatkami 1 a 2 sa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predlžuje d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oba nájmu a 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rozširuje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predmet užívania od 01.01.2018; dočasne nepotrebný majetok  -  nebytový priestor (NP)  laboratórny priestor na 5. poschodí FEI STU, blok „D“, miestnosti č.  515 a 516 o celkovej výmere 43,54m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o miestnosť č. 514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o výmere 13,24m2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do 31.12.2017,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56,78m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projektovanie elektrických zariadení, montáž a oprava kancelárskej a reprodukčnej techniky a pod., v rámci svojej činnosti.</w:t>
            </w:r>
          </w:p>
        </w:tc>
      </w:tr>
      <w:tr w:rsidR="00992EA7" w:rsidRPr="00992EA7" w:rsidTr="00992EA7">
        <w:trPr>
          <w:trHeight w:val="259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 31.12.2017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 kancelária 60,00 €/m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/rok – 1 680,00€ a laboratórium 43,00 €/m2/rok -1 237,54 €, t. j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. nájomné spolu ročne 2 917,50 € 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daného štvrťroka vo výške 729,39 €, 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92EA7" w:rsidRPr="00992EA7" w:rsidTr="00992EA7">
        <w:trPr>
          <w:trHeight w:val="50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preddavky na náklady za  dodanie energií a služieb sú stanovené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 </w:t>
            </w:r>
          </w:p>
        </w:tc>
      </w:tr>
      <w:tr w:rsidR="00992EA7" w:rsidRPr="00992EA7" w:rsidTr="00992EA7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7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 FEI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938"/>
      </w:tblGrid>
      <w:tr w:rsidR="00992EA7" w:rsidRPr="00992EA7" w:rsidTr="00E36A66">
        <w:tc>
          <w:tcPr>
            <w:tcW w:w="42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H-SET, s. r. o.,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Holekova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6, 811 04 Bratislava.</w:t>
            </w:r>
          </w:p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podnikateľom, zapísaný na OS Bratislava I, oddiel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</w:t>
            </w:r>
          </w:p>
          <w:p w:rsidR="00992EA7" w:rsidRPr="00992EA7" w:rsidRDefault="00992EA7" w:rsidP="00992EA7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17566/B.</w:t>
            </w:r>
          </w:p>
        </w:tc>
      </w:tr>
      <w:tr w:rsidR="00992EA7" w:rsidRPr="00992EA7" w:rsidTr="00E36A66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sa predlžuje  nájmu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Zmluvy o nájme nebytových priestorov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č. 67/2015 – STU a dodatku č. 1; dočasne nepotrebný majetok, nebytový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priestor (NP) nachádzajúci sa  na FCHPT STU, Radlinského 9, Bratislava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01.01.2018 do 31.12.2019, 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 spolu vo výmere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91,00m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 </w:t>
            </w:r>
          </w:p>
        </w:tc>
      </w:tr>
      <w:tr w:rsidR="00992EA7" w:rsidRPr="00992EA7" w:rsidTr="00E36A66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administratívna činnosť  firmy a zámočnícka dielňa</w:t>
            </w:r>
          </w:p>
        </w:tc>
      </w:tr>
      <w:tr w:rsidR="00992EA7" w:rsidRPr="00992EA7" w:rsidTr="00E36A66">
        <w:trPr>
          <w:trHeight w:val="259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01.01.2018 do 31.12.2019</w:t>
            </w:r>
          </w:p>
        </w:tc>
      </w:tr>
      <w:tr w:rsidR="00992EA7" w:rsidRPr="00992EA7" w:rsidTr="00E36A66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kancelárie 50,00€/m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/rok –3 400,00€ ročne a sklad 20,00€/m2/rok –460,00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€ ročne, t. j.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nájomné spolu 3 860,00 €,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štvrťročná úhrada nájomného je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965,00 €,</w:t>
            </w:r>
          </w:p>
          <w:p w:rsidR="00992EA7" w:rsidRPr="00992EA7" w:rsidRDefault="00992EA7" w:rsidP="00E36A66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92EA7" w:rsidRPr="00992EA7" w:rsidTr="00E36A66">
        <w:trPr>
          <w:trHeight w:val="50"/>
        </w:trPr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prenajímateľ fakturovať </w:t>
            </w:r>
          </w:p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štvrťročne; za dodanie energií vyfakturuje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prenajímateľ 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 15 dní po uplynutí daného 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štvrťroka.  Náklady za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dodanie služieb budú fakturované paušálnou sumou do 15 dní po uplynutí</w:t>
            </w:r>
          </w:p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príslušného štvrťroka. Prenajímateľ po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zúčtovacích faktúr od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dodávateľov energií </w:t>
            </w:r>
          </w:p>
          <w:p w:rsidR="00E36A66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vyhotoví nájomcovi vyúčtovaciu faktúru za príslušný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</w:t>
            </w:r>
          </w:p>
          <w:p w:rsidR="00992EA7" w:rsidRPr="00992EA7" w:rsidRDefault="00992EA7" w:rsidP="00E36A66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preplatku zo zúčtovacej faktúry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je 14 kalendárnych dní odo dňa doručenia vyúčtovania nájomcovi.</w:t>
            </w:r>
          </w:p>
        </w:tc>
      </w:tr>
      <w:tr w:rsidR="00992EA7" w:rsidRPr="00992EA7" w:rsidTr="00E36A66">
        <w:tc>
          <w:tcPr>
            <w:tcW w:w="42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Športový klub CASSIUS, o. z.,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14, 811 09 Bratislava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nájomca je registrovaný na MV SR, č. VVS/1-900/90-34634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dodatkom č.3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sa predlžuje doba nájmu NZ č.9708/0003/14; 70/2014 R</w:t>
            </w:r>
          </w:p>
          <w:p w:rsidR="00E36A66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STU, ako dočasne nepotrebný majetok na ŠD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Bratislava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Posilňovňa o výmere </w:t>
            </w:r>
          </w:p>
          <w:p w:rsidR="00E36A66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74,54m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spolu s príslušenstvom (pomerná časť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chodby, WC) o výmere 12,86m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od 01.11.2017 do 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31.12.2020 a mení sa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štatutárny zástupca klubu.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 celkom  vo výmere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87,40 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posilňovňa za účelom športovej činnosti výlučne pre študentov  STU ubytovaných v ŠD 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31.12.2020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zmluvné strany sa dohodli na nájomnom vo výške 1,00€/m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/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ročne, t. j.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87,40 €,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992EA7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mesiaca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daného štvrťroka vo výške  21,85 €,</w:t>
            </w:r>
          </w:p>
          <w:p w:rsidR="00992EA7" w:rsidRPr="00992EA7" w:rsidRDefault="00992EA7" w:rsidP="00E36A66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 čl. 5 bod 3, písm. d)a bod 4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smernice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E36A66" w:rsidRDefault="00992EA7" w:rsidP="00992EA7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dodávka energií a služieb sa hradí štvrťročne na základe preddavkových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zálohových faktúr </w:t>
            </w:r>
          </w:p>
          <w:p w:rsidR="00992EA7" w:rsidRPr="00992EA7" w:rsidRDefault="00992EA7" w:rsidP="00E36A66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a energie sa vyúčtovávajú po skončení kalendárneho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roka na základe skutočnej spotreby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Ing. Jan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Vitez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Komenského 011, 214 70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Bački-Petrovac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Srbsko</w:t>
            </w:r>
          </w:p>
          <w:p w:rsidR="00992EA7" w:rsidRPr="00992EA7" w:rsidRDefault="00992EA7" w:rsidP="00992E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súkromná osoba.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9702/0020/16; č. 75/2016 R-STU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doba nájmu; dočasne nepotrebný majetok, nebytové priestory (NP)nachádzajúce sa v ŠD MG, Račianska 103, Bratislava, miestnosť č. 01 HB -  1 0035 nachádzajúci sa v suteréne bloku „B“ o výmere 24,00m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 31.10.2018,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24,00m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skladový priestor.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01.11.2016 do 30.10.2017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skladový priestor 20,00€/m2/rok – 480,00 €, t. j.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nájomné spolu ročne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480,00 €,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hradí nájomca štvrťročne vopred vždy k 15. dňu prvého mesiaca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daného štvrťroka vo výške 120,00 €, </w:t>
            </w:r>
          </w:p>
          <w:p w:rsidR="00992EA7" w:rsidRPr="00992EA7" w:rsidRDefault="00992EA7" w:rsidP="00E36A66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prenajímateľ fakturovať štvrťročne;  za dodanie energií vyfakturuje</w:t>
            </w:r>
          </w:p>
          <w:p w:rsidR="00992EA7" w:rsidRPr="00992EA7" w:rsidRDefault="00992EA7" w:rsidP="00E36A66">
            <w:pPr>
              <w:pStyle w:val="Bezriadkovania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prenajímateľ 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  <w:lang w:val="sk-SK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do 15 dní po uplynutí daného štvrťroka.  Náklady za dodanie služieb budú fakturované paušálnou sumou do 15 dní po uplynutí príslušného štvrťroka. Prenajímateľ po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  <w:lang w:val="sk-SK"/>
              </w:rPr>
              <w:t>obdržaní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zúčtovacích</w:t>
            </w:r>
            <w:r w:rsidR="00E36A66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faktúr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od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dodávateľov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energií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 vyhotoví nájomcovi vyúčtovaciu faktúru za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príslušný kalendárny rok. Splatnosť nedoplatku alebo preplatku zo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zúčtovacej faktúry je 15 kalendárnych dní odo dňa doručenia vyúčtovania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nájomcovi.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Občianske združenie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Ynet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Staré grunty 53, 841 04 Bratislava</w:t>
            </w:r>
          </w:p>
          <w:p w:rsidR="00992EA7" w:rsidRPr="00992EA7" w:rsidRDefault="00992EA7" w:rsidP="00992E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nájomca je občianske združenie registrované na MV SR pod č. VVS/1</w:t>
            </w:r>
          </w:p>
          <w:p w:rsidR="00992EA7" w:rsidRPr="00992EA7" w:rsidRDefault="00992EA7" w:rsidP="00992EA7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900/90-17701-2.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9708/0003/15; č. 29/2015 R-STU a jej dodatku č. 1; dočasne nepotrebný majetok, nebytový priestor (NP) nachádzajúci sa  v ŠD,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14, Bratislava  pozostávajúci z miestnosti č. 115 – študovňa  o výmere 54,34m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na prvom poschodí ŠD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 doba nájmu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od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01.11.2017 do 30.06.2018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54,34m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využitie NP ako študovňa pre študentov STU.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01.05.2016 do 30.06.2018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zmluvné strany sa dohodli na nájomnom vo výške 1,00€/m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/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ročne, t. j.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54,34 €,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992EA7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mesiaca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daného štvrťroka vo výške  13,59 €,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992EA7" w:rsidRPr="00992EA7" w:rsidRDefault="00992EA7" w:rsidP="00E36A66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, čl. 5 bod 3, písm. d)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- znížené</w:t>
            </w:r>
            <w:r w:rsidR="00E36A6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nájomné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prenajímateľ fakturovať </w:t>
            </w:r>
          </w:p>
          <w:p w:rsid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štvrťročne; za dodanie energií vyfakturuje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prenajímateľ 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 15 dní po uplynutí daného 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štvrťroka.  Náklady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za dodanie služieb budú fakturované paušálnou sumou do 15 dní po</w:t>
            </w:r>
          </w:p>
          <w:p w:rsid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faktúr od dodávateľov </w:t>
            </w:r>
          </w:p>
          <w:p w:rsid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energií vyhotoví nájomcovi vyúčtovaciu faktúru za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príslušný kalendárny rok. Splatnosť </w:t>
            </w:r>
          </w:p>
          <w:p w:rsid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nedoplatku alebo preplatku zo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zúčtovacej faktúry je 15 kalendárnych dní odo dňa doručenia </w:t>
            </w:r>
          </w:p>
          <w:p w:rsidR="00992EA7" w:rsidRPr="00992EA7" w:rsidRDefault="00992EA7" w:rsidP="00992EA7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vyúčtovania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nájomcovi.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color w:val="FF0000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Benjamin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Button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117475/B.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zmluve o nájme NP a HV č. UTI 1705394; dočasne nepotrebný majetok   -  nebytový priestor(NP)  – miestnosť č. 301 nachádzajúce sa na 3. poschodí  budovy UTI na Pionierskej 15, Bratislava a hnuteľné veci nachádzajúce sa v predmetnom NP spolu s pomernou časťou spoločných priestorov (chodba, WC, kuchynka a pod.).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rozširuje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predmet nájmu o miestnosť č. 307 a zároveň sa predlžuje doba nájmu od 01.11.2017 do 28.02.2019,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celková výmera podlahovej plochy 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47,00 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28.02.2019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od 01.11.2017 do 28.02.2018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372,00€/mesačne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a od 01.03.2018 do 28.02.2019 vo výške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419,00 €/mesačne,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za hnuteľné veci 67,97 €/mesačne,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- čl.5,  bod 2 a v súlade s platným cenníkom UTI STU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176, 25 € mesačne  a sú súčasťou mesačného nájomného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EMOTION ID, s. r. 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., Sliačska 1/D, 831 02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100312/B.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zmluve o nájme NP a HV č. UTI 1701391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mení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; dočasne nepotrebný majetok   -  nebytový priestor (NP)  – miestnosti č. 327 a 328 nachádzajúce sa na 3. poschodí  budovy UTI na Pionierskej 15, Bratislava a hnuteľné veci nachádzajúce sa v predmetnom NP spolu s pomernou časťou spoločných priestorov (chodba, WC, kuchynka a pod.) o celkovej výmere 30,20m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celková výmera podlahovej plochy je 30,20m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vykonávanie podnikateľskej činnosti nájomcu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31.10.2019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od 01.11.2017 do 31.10.2018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126,92€/mesačne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a od 01.11.2018 do 31.10.2019 vo výške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299,48 €/mesačne,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Nájomné za hnuteľné veci zaplatí nájomca vždy do 15. dňa príslušného mesiaca vo výške 29,11 €/mes. spolu s úhradou za služby vo výške 113,25 €/mes., nájomné je v súlade so smernicou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- čl.5,  bod 2 a v súlade s platným cenníkom UTI STU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118,12 € mesačne  a sú súčasťou mesačného nájomného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KREMPASKY, s. r. 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109123/B.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UTI1605389 do 31.03.2019 a rozširuje sa; dočasne nepotrebný majetok  -  nebytový priestor (NP) o miestnosti č. 310 a 311  o výmere 45,8m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(z pôvodných 14,90m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na súčasných 45,80m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nachádzajúci sa  na 3. poschodí v priestoroch UTI STU v budove STU, Pionierska 15, Bratislava –  a hnuteľné veci nachádzajúce sa v predmetnom NP spolu s pomernou časťou spoločných priestorov (chodba, WC, kuchynka, výťah ...).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Celková výmera podlahovej plochy  je 45,48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vykonávania podnikateľskej  činnosti nájomcu na základe podnikateľského plánu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31.03.2018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miestnosti spolu –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163,03€/mesačne od 01.11.2017 do 31.03.2018 a od 01.04.2018 do 31.03.2019 vo výške 208,83€/mesačnenajneskôr do15. dňa príslušného kalendárneho mesiaca za daný mesiac. Nájomné za hnuteľné veci zaplatí nájomca vždy do 15. dňa príslušného mesiaca vo výške 73,60 €/mes. spolu s úhradou sa služby vo výške 171,75 €/mes., 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Ročne  1 594,32€,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smernicou- - čl.5,  bod 2 a v súlade s platným cenníkom UTI STU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171,75 € mesačne  a sú súčasťou mesačného nájomného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938"/>
      </w:tblGrid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IT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Academy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82857/B 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4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UTI1312380 spolu s dodatkami č. 1 až 3 s dobou platnosti od 01.12.2013 do 30.11.2017 dočasne nepotrebný majetok   -  nebytový priestor (NP)  – miestnosti č. 310, 311 a 344 nachádzajúce sa na 3. poschodí  budovy UTI na Pionierskej 15, Bratislava a hnuteľné veci nachádzajúce sa v predmetnom NP spolu s pomernou časťou spoločných priestorov (chodba, WC, kuchynka a pod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.) od 01.12.2017 do 30.11.2019,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122,70m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vykonávanie podnikateľskej činnosti nájomcu</w:t>
            </w:r>
          </w:p>
        </w:tc>
      </w:tr>
      <w:tr w:rsidR="00992EA7" w:rsidRPr="00992EA7" w:rsidTr="00E36A66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 30.11.2019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miestnosti spolu o výmere 122,70m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- 642,68 €/mesačne najneskôr do15. dňa príslušného kalendárneho mesiaca za daný mesiac. Nájomné za hnuteľné veci zaplatí nájomca vždy do 15. dňa príslušného mesiaca vo výške 260,06 €/mes. spolu s úhradou za služby vo výške 460,35 €/mes.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t. j. spolu  1 363,09€/mesiac.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Ročne:  16 357,08 €  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- čl.5,  bod 2 a v súlade s platným cenníkom UTI STU</w:t>
            </w:r>
          </w:p>
        </w:tc>
      </w:tr>
      <w:tr w:rsidR="00992EA7" w:rsidRPr="00992EA7" w:rsidTr="00E36A66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460,35 € mesačne  a sú súčasťou mesačného nájomného </w:t>
            </w:r>
          </w:p>
        </w:tc>
      </w:tr>
      <w:tr w:rsidR="00992EA7" w:rsidRPr="00992EA7" w:rsidTr="00E36A66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72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3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908"/>
      </w:tblGrid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17.</w:t>
            </w: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STU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Scientific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, s. r. o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., Pionierska 15, 831 02 Bratislava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nájomca je zapísaný  v OR OS Ba I, oddiel: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>, vložka č. 50874/B.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Zmluva o nájme nebytových priestorov a hnuteľných vecí č. UTI 1310321 v znení dodatku č. 1 a 2 s dobou platnosti od 01.10.2013 do 31.10.2017; dočasne nepotrebný majetok   -  nebytový priestor (NP)  – miestnosť č. 321 nachádzajúca sa na 3. poschodí  budovy UTI na Pionierskej 15, Bratislava a hnuteľné veci nachádzajúce sa v predmetnom NP spolu s pomernou časťou spoločných priestorov (chodba, WC, kuchynka a pod.).  Jedná sa opakovaný nájom.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15,10m</w:t>
            </w:r>
            <w:r w:rsidRPr="00992EA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vykonávania administratívnej činnosti nájomcu</w:t>
            </w:r>
          </w:p>
        </w:tc>
      </w:tr>
      <w:tr w:rsidR="00992EA7" w:rsidRPr="00992EA7" w:rsidTr="005D466D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do 31.10.2020.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miestnosť o výmere 15,10m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-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86,94 €/mesačne najneskôr do15.dňa príslušného kalendárneho mesiaca za daný mesiac. Nájomné za hnuteľné veci zaplatí nájomca vždy do 15. dňa príslušného mesiaca vo výške 20,02 €/mes. spolu s úhradou za služby vo výške 56,62 €/mes.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t. j. spolu  163,58€/mesiac.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Ročne:  1 962,96 € 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Nájomca uhradí prenajímateľovi s prvou splátkou aj finančnú zábezpeku ako stálu zálohu vo výške 163,58 €.</w:t>
            </w:r>
          </w:p>
          <w:p w:rsidR="00992EA7" w:rsidRPr="00992EA7" w:rsidRDefault="00992EA7" w:rsidP="00E36A6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992EA7" w:rsidRPr="00992EA7" w:rsidTr="005D466D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elektrina, teplo, TÚV a SÚV, OLO – 56,62 € mesačne  a sú súčasťou mesačného nájomného 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color w:val="FF0000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908"/>
      </w:tblGrid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 xml:space="preserve">Slovak </w:t>
            </w:r>
            <w:proofErr w:type="spellStart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Telekom</w:t>
            </w:r>
            <w:proofErr w:type="spellEnd"/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, a. s.,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 Bajkalská 28,  817 62 Bratislava,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nájomca je zapísaný na OS Bratislava, oddiel Sa, vložka č. 2081/B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ind w:left="3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k NZ č. 9708/0003/15; č. 29/2015 R-STU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sa predlžuje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doba nájmu; dočasne nepotrebný majetok, nebytové priestory: miestnosť č. 705 na 7. poschodí nachádzajúce  v starej budove </w:t>
            </w: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FCHPT  do 31.12.2018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92EA7" w:rsidRPr="00992EA7" w:rsidRDefault="00992EA7" w:rsidP="00992EA7">
            <w:pPr>
              <w:ind w:left="33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  vo  výmere:  23,00 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na plnenie predmetu činnosti nájomcu v zmysle  výpisu z OR OS Ba I, oddiel Sa, č. 2081/B</w:t>
            </w:r>
          </w:p>
        </w:tc>
      </w:tr>
      <w:tr w:rsidR="00992EA7" w:rsidRPr="00992EA7" w:rsidTr="005D466D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od 01.11.2017  do 31.12.2018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08" w:type="dxa"/>
          </w:tcPr>
          <w:p w:rsidR="00992EA7" w:rsidRPr="00992EA7" w:rsidRDefault="00992EA7" w:rsidP="00E36A66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miestnosť č. 705:  100,00 €/m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/rok - za predmet nájmu: ročne </w:t>
            </w:r>
            <w:r w:rsidRPr="00992EA7">
              <w:rPr>
                <w:rFonts w:asciiTheme="majorHAnsi" w:hAnsiTheme="majorHAnsi"/>
                <w:sz w:val="18"/>
                <w:szCs w:val="18"/>
                <w:u w:val="single"/>
              </w:rPr>
              <w:t>2 300,00 €;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 nájomné je v súlade so smernicou  </w:t>
            </w:r>
          </w:p>
        </w:tc>
      </w:tr>
      <w:tr w:rsidR="00992EA7" w:rsidRPr="00992EA7" w:rsidTr="005D466D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uhrádza nájomca uhrádza nájomca zálohovo do 15. dňa 1. mesiaca príslušného štvrťroka so splatnosťou do 14 kalendárnych dní; zúčtovaciu faktúru vyhotoví prenajímateľ najneskôr do 20 dní po uplynutí príslušného štvrťroka so splatnosťou 45 dní odo dňa jej doručenia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dekan FCHPT STU  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4"/>
        <w:gridCol w:w="7908"/>
      </w:tblGrid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19.</w:t>
            </w: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Študentské združenie IRŠ TLIS pri STU,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o. z., ŠD Mladosť, Staré grunty 53, Bratislava, </w:t>
            </w:r>
          </w:p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VVS/1900/90-45900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touto </w:t>
            </w:r>
            <w:r w:rsidRPr="00992EA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Zmluvou o budúcej zmluve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sa zmluvné strany zaväzujú uzatvoriť po získaní dokumentov potrebných na preukázanie zmeny účelu využitia predmetu budúceho nájmu budúcim nájomcom </w:t>
            </w:r>
            <w:r w:rsidRPr="00992EA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-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>nájomnú zmluvu, ktorej predmetom budú miestnosti č. B4 o výmere 39,66m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a B4 o výmere 41,08m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 – skladové priestory spolu o výmere 80,74m</w:t>
            </w:r>
            <w:r w:rsidRPr="00992EA7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nachádzajúca sa v ŠD Mladosť, Staré grunty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53, Bratislava na zníženom  podlaží bloku A8, </w:t>
            </w:r>
          </w:p>
          <w:p w:rsidR="00992EA7" w:rsidRPr="00992EA7" w:rsidRDefault="00992EA7" w:rsidP="00992EA7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predmet nájmu celkom o výmere </w:t>
            </w:r>
            <w:r w:rsidRPr="00992EA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80,74m2 </w:t>
            </w:r>
            <w:r w:rsidRPr="00992EA7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992EA7" w:rsidRPr="00992EA7" w:rsidTr="005D466D">
        <w:trPr>
          <w:trHeight w:val="491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vykonávanie činností spojených s prevádzkovaním študentského rádia, ktoré zahŕňa najmä živé moderovanie vysielania, prípravu relácií, nahrávanie,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workshopy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pre členov rádia .....</w:t>
            </w:r>
          </w:p>
        </w:tc>
      </w:tr>
      <w:tr w:rsidR="00992EA7" w:rsidRPr="00992EA7" w:rsidTr="005D466D">
        <w:trPr>
          <w:trHeight w:val="259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na 4 roky od uzatvorenia NZ 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trike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nebytové priestory spolu – 1,00 €/m2/ročne , </w:t>
            </w:r>
            <w:r w:rsidRPr="00992EA7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t. j. 80,74 € ročne. </w:t>
            </w:r>
          </w:p>
          <w:p w:rsidR="00992EA7" w:rsidRPr="00992EA7" w:rsidRDefault="00992EA7" w:rsidP="00992E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Nájomné hradí nájomca štvrťročne vopred, a to najneskôr do 15. dňa prvého mesiaca príslušného štvrťroka vo výške 20,19 €, </w:t>
            </w:r>
          </w:p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znížené nájomné je v súlade s Čl. 5 bod 3 písm. d) smernice </w:t>
            </w:r>
          </w:p>
        </w:tc>
      </w:tr>
      <w:tr w:rsidR="00992EA7" w:rsidRPr="00992EA7" w:rsidTr="005D466D">
        <w:trPr>
          <w:trHeight w:val="50"/>
        </w:trPr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 fakturovať štvrťročne; za dodanie energií vyfakturuje prenajímateľ zálohovo do 15 dní po uplynutí daného štvrťroka. Náklady za dodanie služieb budú fakturované paušálnou  sumou do 15 dní po uplynutí príslušného štvrťroka. Prenajímateľ po </w:t>
            </w:r>
            <w:proofErr w:type="spellStart"/>
            <w:r w:rsidRPr="00992EA7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992EA7">
              <w:rPr>
                <w:rFonts w:asciiTheme="majorHAnsi" w:hAnsiTheme="majorHAnsi"/>
                <w:sz w:val="18"/>
                <w:szCs w:val="18"/>
              </w:rPr>
              <w:t xml:space="preserve"> zúčtovacích faktúr od dodávateľov energií vyhotoví nájomcovi vyúčtovaciu faktúru za príslušný </w:t>
            </w:r>
          </w:p>
          <w:p w:rsidR="00992EA7" w:rsidRPr="00992EA7" w:rsidRDefault="00992EA7" w:rsidP="00992EA7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 xml:space="preserve">kalendárny rok. Splatnosť nedoplatku alebo preplatku zo zúčtovacej faktúry je 15  kalendárnych dní odo dňa doručenia vyúčtovania nájomcovi. </w:t>
            </w:r>
          </w:p>
        </w:tc>
      </w:tr>
      <w:tr w:rsidR="00992EA7" w:rsidRPr="00992EA7" w:rsidTr="005D466D">
        <w:tc>
          <w:tcPr>
            <w:tcW w:w="596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4" w:type="dxa"/>
          </w:tcPr>
          <w:p w:rsidR="00992EA7" w:rsidRPr="00992EA7" w:rsidRDefault="00992EA7" w:rsidP="00992EA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908" w:type="dxa"/>
          </w:tcPr>
          <w:p w:rsidR="00992EA7" w:rsidRPr="00992EA7" w:rsidRDefault="00992EA7" w:rsidP="00992EA7">
            <w:pPr>
              <w:rPr>
                <w:rFonts w:asciiTheme="majorHAnsi" w:hAnsiTheme="majorHAnsi"/>
                <w:sz w:val="18"/>
                <w:szCs w:val="18"/>
              </w:rPr>
            </w:pPr>
            <w:r w:rsidRPr="00992EA7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992EA7" w:rsidRPr="00992EA7" w:rsidRDefault="00992EA7" w:rsidP="00992EA7">
      <w:pPr>
        <w:jc w:val="both"/>
        <w:rPr>
          <w:rFonts w:asciiTheme="majorHAnsi" w:hAnsiTheme="majorHAnsi"/>
          <w:sz w:val="18"/>
          <w:szCs w:val="18"/>
        </w:rPr>
      </w:pPr>
    </w:p>
    <w:p w:rsidR="005D466D" w:rsidRDefault="005D466D" w:rsidP="005D466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5D466D">
        <w:rPr>
          <w:rFonts w:asciiTheme="majorHAnsi" w:hAnsiTheme="majorHAnsi"/>
          <w:b/>
          <w:sz w:val="18"/>
          <w:szCs w:val="18"/>
          <w:u w:val="single"/>
        </w:rPr>
        <w:t>Informačné stretnutie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s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 zahraničnými študent</w:t>
      </w:r>
      <w:r w:rsidRPr="005D466D">
        <w:rPr>
          <w:rFonts w:asciiTheme="majorHAnsi" w:hAnsiTheme="majorHAnsi"/>
          <w:b/>
          <w:sz w:val="18"/>
          <w:szCs w:val="18"/>
          <w:u w:val="single"/>
        </w:rPr>
        <w:t>mi na STU</w:t>
      </w:r>
      <w:r w:rsidRPr="00314F8C">
        <w:rPr>
          <w:rFonts w:asciiTheme="majorHAnsi" w:hAnsiTheme="majorHAnsi"/>
          <w:sz w:val="18"/>
          <w:szCs w:val="18"/>
        </w:rPr>
        <w:t xml:space="preserve">  </w:t>
      </w:r>
    </w:p>
    <w:p w:rsidR="005D466D" w:rsidRDefault="005D466D" w:rsidP="005D466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D466D" w:rsidRDefault="005D466D" w:rsidP="005D466D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Stanko</w:t>
      </w:r>
      <w:r w:rsidRPr="007A6436">
        <w:rPr>
          <w:rFonts w:asciiTheme="majorHAnsi" w:hAnsiTheme="majorHAnsi" w:cs="Calibri"/>
          <w:sz w:val="18"/>
          <w:szCs w:val="18"/>
        </w:rPr>
        <w:t xml:space="preserve">. </w:t>
      </w:r>
    </w:p>
    <w:p w:rsidR="005D466D" w:rsidRDefault="005D466D" w:rsidP="005D466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 pôde STU bolo r</w:t>
      </w:r>
      <w:r w:rsidRPr="005D466D">
        <w:rPr>
          <w:rFonts w:asciiTheme="majorHAnsi" w:hAnsiTheme="majorHAnsi" w:cstheme="majorHAnsi"/>
          <w:sz w:val="18"/>
          <w:szCs w:val="18"/>
        </w:rPr>
        <w:t>ealiz</w:t>
      </w:r>
      <w:r>
        <w:rPr>
          <w:rFonts w:asciiTheme="majorHAnsi" w:hAnsiTheme="majorHAnsi" w:cstheme="majorHAnsi"/>
          <w:sz w:val="18"/>
          <w:szCs w:val="18"/>
        </w:rPr>
        <w:t>ované</w:t>
      </w:r>
      <w:r w:rsidRPr="005D466D">
        <w:rPr>
          <w:rFonts w:asciiTheme="majorHAnsi" w:hAnsiTheme="majorHAnsi" w:cstheme="majorHAnsi"/>
          <w:sz w:val="18"/>
          <w:szCs w:val="18"/>
        </w:rPr>
        <w:t xml:space="preserve"> s</w:t>
      </w:r>
      <w:r w:rsidRPr="005D466D">
        <w:rPr>
          <w:rFonts w:asciiTheme="majorHAnsi" w:hAnsiTheme="majorHAnsi"/>
          <w:sz w:val="18"/>
          <w:szCs w:val="18"/>
        </w:rPr>
        <w:t>tretnuti</w:t>
      </w:r>
      <w:r>
        <w:rPr>
          <w:rFonts w:asciiTheme="majorHAnsi" w:hAnsiTheme="majorHAnsi"/>
          <w:sz w:val="18"/>
          <w:szCs w:val="18"/>
        </w:rPr>
        <w:t>e</w:t>
      </w:r>
      <w:r w:rsidRPr="005D466D">
        <w:rPr>
          <w:rFonts w:asciiTheme="majorHAnsi" w:hAnsiTheme="majorHAnsi"/>
          <w:sz w:val="18"/>
          <w:szCs w:val="18"/>
        </w:rPr>
        <w:t xml:space="preserve"> so zahraničnými študentmi prichádzajúcimi na STU v rámci </w:t>
      </w:r>
      <w:proofErr w:type="spellStart"/>
      <w:r w:rsidRPr="005D466D">
        <w:rPr>
          <w:rFonts w:asciiTheme="majorHAnsi" w:hAnsiTheme="majorHAnsi"/>
          <w:sz w:val="18"/>
          <w:szCs w:val="18"/>
        </w:rPr>
        <w:t>Erasmus</w:t>
      </w:r>
      <w:proofErr w:type="spellEnd"/>
      <w:r w:rsidRPr="005D466D">
        <w:rPr>
          <w:rFonts w:asciiTheme="majorHAnsi" w:hAnsiTheme="majorHAnsi"/>
          <w:sz w:val="18"/>
          <w:szCs w:val="18"/>
        </w:rPr>
        <w:t xml:space="preserve"> mobilít  v akademickom roku 2017/2018 s cieľom poskytnutia informácií  o systéme štúdia a podmienkach štúdia na STU v</w:t>
      </w:r>
      <w:r>
        <w:rPr>
          <w:rFonts w:asciiTheme="majorHAnsi" w:hAnsiTheme="majorHAnsi"/>
          <w:sz w:val="18"/>
          <w:szCs w:val="18"/>
        </w:rPr>
        <w:t> </w:t>
      </w:r>
      <w:r w:rsidRPr="005D466D">
        <w:rPr>
          <w:rFonts w:asciiTheme="majorHAnsi" w:hAnsiTheme="majorHAnsi"/>
          <w:sz w:val="18"/>
          <w:szCs w:val="18"/>
        </w:rPr>
        <w:t>Bratislave</w:t>
      </w:r>
      <w:r>
        <w:rPr>
          <w:rFonts w:asciiTheme="majorHAnsi" w:hAnsiTheme="majorHAnsi"/>
          <w:sz w:val="18"/>
          <w:szCs w:val="18"/>
        </w:rPr>
        <w:t>.</w:t>
      </w:r>
    </w:p>
    <w:p w:rsidR="005D466D" w:rsidRPr="005D466D" w:rsidRDefault="005D466D" w:rsidP="005D466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</w:t>
      </w:r>
      <w:r w:rsidR="00CF629C">
        <w:rPr>
          <w:rFonts w:asciiTheme="majorHAnsi" w:hAnsiTheme="majorHAnsi"/>
          <w:sz w:val="18"/>
          <w:szCs w:val="18"/>
        </w:rPr>
        <w:t xml:space="preserve">krátkej </w:t>
      </w:r>
      <w:r>
        <w:rPr>
          <w:rFonts w:asciiTheme="majorHAnsi" w:hAnsiTheme="majorHAnsi"/>
          <w:sz w:val="18"/>
          <w:szCs w:val="18"/>
        </w:rPr>
        <w:t xml:space="preserve">diskusie rektor požiadal prorektora Stanka a profesora </w:t>
      </w:r>
      <w:proofErr w:type="spellStart"/>
      <w:r>
        <w:rPr>
          <w:rFonts w:asciiTheme="majorHAnsi" w:hAnsiTheme="majorHAnsi"/>
          <w:sz w:val="18"/>
          <w:szCs w:val="18"/>
        </w:rPr>
        <w:t>Janovca</w:t>
      </w:r>
      <w:proofErr w:type="spellEnd"/>
      <w:r>
        <w:rPr>
          <w:rFonts w:asciiTheme="majorHAnsi" w:hAnsiTheme="majorHAnsi"/>
          <w:sz w:val="18"/>
          <w:szCs w:val="18"/>
        </w:rPr>
        <w:t xml:space="preserve"> zamyslieť sa</w:t>
      </w:r>
      <w:r w:rsidR="00CF629C">
        <w:rPr>
          <w:rFonts w:asciiTheme="majorHAnsi" w:hAnsiTheme="majorHAnsi"/>
          <w:sz w:val="18"/>
          <w:szCs w:val="18"/>
        </w:rPr>
        <w:t xml:space="preserve"> nad možnosťami efektívnejšieho využitia re</w:t>
      </w:r>
      <w:r>
        <w:rPr>
          <w:rFonts w:asciiTheme="majorHAnsi" w:hAnsiTheme="majorHAnsi"/>
          <w:sz w:val="18"/>
          <w:szCs w:val="18"/>
        </w:rPr>
        <w:t xml:space="preserve">bríčka </w:t>
      </w:r>
      <w:proofErr w:type="spellStart"/>
      <w:r>
        <w:rPr>
          <w:rFonts w:asciiTheme="majorHAnsi" w:hAnsiTheme="majorHAnsi"/>
          <w:sz w:val="18"/>
          <w:szCs w:val="18"/>
        </w:rPr>
        <w:t>THE</w:t>
      </w:r>
      <w:proofErr w:type="spellEnd"/>
      <w:r>
        <w:rPr>
          <w:rFonts w:asciiTheme="majorHAnsi" w:hAnsiTheme="majorHAnsi"/>
          <w:sz w:val="18"/>
          <w:szCs w:val="18"/>
        </w:rPr>
        <w:t xml:space="preserve"> (</w:t>
      </w:r>
      <w:proofErr w:type="spellStart"/>
      <w:r>
        <w:rPr>
          <w:rFonts w:asciiTheme="majorHAnsi" w:hAnsiTheme="majorHAnsi"/>
          <w:sz w:val="18"/>
          <w:szCs w:val="18"/>
        </w:rPr>
        <w:t>Times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Higher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Education</w:t>
      </w:r>
      <w:proofErr w:type="spellEnd"/>
      <w:r>
        <w:rPr>
          <w:rFonts w:asciiTheme="majorHAnsi" w:hAnsiTheme="majorHAnsi"/>
          <w:sz w:val="18"/>
          <w:szCs w:val="18"/>
        </w:rPr>
        <w:t>)</w:t>
      </w:r>
      <w:r w:rsidR="00CF629C">
        <w:rPr>
          <w:rFonts w:asciiTheme="majorHAnsi" w:hAnsiTheme="majorHAnsi"/>
          <w:sz w:val="18"/>
          <w:szCs w:val="18"/>
        </w:rPr>
        <w:t xml:space="preserve"> ako </w:t>
      </w:r>
      <w:proofErr w:type="spellStart"/>
      <w:r w:rsidR="00CF629C">
        <w:rPr>
          <w:rFonts w:asciiTheme="majorHAnsi" w:hAnsiTheme="majorHAnsi"/>
          <w:sz w:val="18"/>
          <w:szCs w:val="18"/>
        </w:rPr>
        <w:t>promo</w:t>
      </w:r>
      <w:proofErr w:type="spellEnd"/>
      <w:r w:rsidR="00CF629C">
        <w:rPr>
          <w:rFonts w:asciiTheme="majorHAnsi" w:hAnsiTheme="majorHAnsi"/>
          <w:sz w:val="18"/>
          <w:szCs w:val="18"/>
        </w:rPr>
        <w:t xml:space="preserve"> pre </w:t>
      </w:r>
      <w:proofErr w:type="spellStart"/>
      <w:r w:rsidR="00CF629C">
        <w:rPr>
          <w:rFonts w:asciiTheme="majorHAnsi" w:hAnsiTheme="majorHAnsi"/>
          <w:sz w:val="18"/>
          <w:szCs w:val="18"/>
        </w:rPr>
        <w:t>Erasmus</w:t>
      </w:r>
      <w:proofErr w:type="spellEnd"/>
      <w:r w:rsidR="00CF629C"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5D466D" w:rsidRPr="00CD7501" w:rsidRDefault="005D466D" w:rsidP="005D466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F629C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992EA7" w:rsidRDefault="005D466D" w:rsidP="002354CE">
      <w:pPr>
        <w:rPr>
          <w:rFonts w:asciiTheme="majorHAnsi" w:hAnsiTheme="majorHAnsi"/>
          <w:sz w:val="18"/>
          <w:szCs w:val="18"/>
        </w:rPr>
      </w:pPr>
      <w:r w:rsidRPr="00992EA7">
        <w:rPr>
          <w:rFonts w:asciiTheme="majorHAnsi" w:hAnsiTheme="majorHAnsi"/>
          <w:sz w:val="18"/>
          <w:szCs w:val="18"/>
        </w:rPr>
        <w:t xml:space="preserve">Vedenie STU </w:t>
      </w:r>
      <w:r w:rsidR="00CF629C">
        <w:rPr>
          <w:rFonts w:asciiTheme="majorHAnsi" w:hAnsiTheme="majorHAnsi"/>
          <w:sz w:val="18"/>
          <w:szCs w:val="18"/>
        </w:rPr>
        <w:t>berie na vedomie informáciu o stretnutí s </w:t>
      </w:r>
      <w:proofErr w:type="spellStart"/>
      <w:r w:rsidR="00CF629C">
        <w:rPr>
          <w:rFonts w:asciiTheme="majorHAnsi" w:hAnsiTheme="majorHAnsi"/>
          <w:sz w:val="18"/>
          <w:szCs w:val="18"/>
        </w:rPr>
        <w:t>Erasmus</w:t>
      </w:r>
      <w:proofErr w:type="spellEnd"/>
      <w:r w:rsidR="00CF629C">
        <w:rPr>
          <w:rFonts w:asciiTheme="majorHAnsi" w:hAnsiTheme="majorHAnsi"/>
          <w:sz w:val="18"/>
          <w:szCs w:val="18"/>
        </w:rPr>
        <w:t xml:space="preserve"> zahraničnými študentmi na STU.</w:t>
      </w:r>
    </w:p>
    <w:p w:rsidR="00992EA7" w:rsidRDefault="00992EA7" w:rsidP="002354CE">
      <w:pPr>
        <w:rPr>
          <w:rFonts w:asciiTheme="majorHAnsi" w:hAnsiTheme="majorHAnsi"/>
          <w:sz w:val="18"/>
          <w:szCs w:val="18"/>
        </w:rPr>
      </w:pPr>
    </w:p>
    <w:p w:rsidR="00CF629C" w:rsidRDefault="00CF629C" w:rsidP="00CF629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CF629C">
        <w:rPr>
          <w:rFonts w:asciiTheme="majorHAnsi" w:hAnsiTheme="majorHAnsi"/>
          <w:b/>
          <w:sz w:val="18"/>
          <w:szCs w:val="18"/>
          <w:u w:val="single"/>
        </w:rPr>
        <w:t xml:space="preserve">Vyhodnotenie 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realizácie </w:t>
      </w:r>
      <w:proofErr w:type="spellStart"/>
      <w:r w:rsidRPr="00CF629C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>
        <w:rPr>
          <w:rFonts w:asciiTheme="majorHAnsi" w:hAnsiTheme="majorHAnsi"/>
          <w:b/>
          <w:sz w:val="18"/>
          <w:szCs w:val="18"/>
          <w:u w:val="single"/>
        </w:rPr>
        <w:t xml:space="preserve">+ </w:t>
      </w:r>
      <w:r w:rsidRPr="00CF629C">
        <w:rPr>
          <w:rFonts w:asciiTheme="majorHAnsi" w:hAnsiTheme="majorHAnsi"/>
          <w:b/>
          <w:sz w:val="18"/>
          <w:szCs w:val="18"/>
          <w:u w:val="single"/>
        </w:rPr>
        <w:t>projekt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u Mobilita študentov a zamestnancov STU </w:t>
      </w:r>
      <w:r w:rsidRPr="00CF629C">
        <w:rPr>
          <w:rFonts w:asciiTheme="majorHAnsi" w:hAnsiTheme="majorHAnsi"/>
          <w:b/>
          <w:sz w:val="18"/>
          <w:szCs w:val="18"/>
          <w:u w:val="single"/>
        </w:rPr>
        <w:t xml:space="preserve"> Výzvy 2015</w:t>
      </w:r>
    </w:p>
    <w:p w:rsidR="00CF629C" w:rsidRDefault="00CF629C" w:rsidP="00CF629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F629C" w:rsidRDefault="00CF629C" w:rsidP="00CF629C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 w:rsidR="00E70A97">
        <w:rPr>
          <w:rFonts w:asciiTheme="majorHAnsi" w:hAnsiTheme="majorHAnsi" w:cs="Calibri"/>
          <w:sz w:val="18"/>
          <w:szCs w:val="18"/>
        </w:rPr>
        <w:t>Čičák</w:t>
      </w:r>
      <w:proofErr w:type="spellEnd"/>
      <w:r w:rsidRPr="007A6436">
        <w:rPr>
          <w:rFonts w:asciiTheme="majorHAnsi" w:hAnsiTheme="majorHAnsi" w:cs="Calibri"/>
          <w:sz w:val="18"/>
          <w:szCs w:val="18"/>
        </w:rPr>
        <w:t xml:space="preserve">. </w:t>
      </w:r>
    </w:p>
    <w:p w:rsidR="00CF629C" w:rsidRPr="00CF629C" w:rsidRDefault="00CF629C" w:rsidP="00CF629C">
      <w:pPr>
        <w:ind w:left="1412" w:hanging="1412"/>
        <w:rPr>
          <w:rFonts w:asciiTheme="majorHAnsi" w:hAnsiTheme="majorHAnsi"/>
          <w:sz w:val="18"/>
          <w:szCs w:val="18"/>
        </w:rPr>
      </w:pPr>
      <w:r w:rsidRPr="00CF629C">
        <w:rPr>
          <w:rFonts w:asciiTheme="majorHAnsi" w:hAnsiTheme="majorHAnsi"/>
          <w:sz w:val="18"/>
          <w:szCs w:val="18"/>
        </w:rPr>
        <w:t xml:space="preserve">Program ERASMUS+ je program Európskej únie, ktorý podporuje aktivity v oblasti vzdelávania, odbornej prípravy, mládeže a </w:t>
      </w:r>
    </w:p>
    <w:p w:rsidR="00CF629C" w:rsidRPr="00CF629C" w:rsidRDefault="00CF629C" w:rsidP="00CF629C">
      <w:pPr>
        <w:ind w:left="1412" w:hanging="1412"/>
        <w:rPr>
          <w:rFonts w:asciiTheme="majorHAnsi" w:hAnsiTheme="majorHAnsi"/>
          <w:sz w:val="18"/>
          <w:szCs w:val="18"/>
        </w:rPr>
      </w:pPr>
      <w:r w:rsidRPr="00CF629C">
        <w:rPr>
          <w:rFonts w:asciiTheme="majorHAnsi" w:hAnsiTheme="majorHAnsi"/>
          <w:sz w:val="18"/>
          <w:szCs w:val="18"/>
        </w:rPr>
        <w:t xml:space="preserve">športu počas programového obdobia v rokoch 2014-2020. STU sa zapája každoročne do tohto programu. Pravidelné </w:t>
      </w:r>
    </w:p>
    <w:p w:rsidR="00CF629C" w:rsidRPr="00CF629C" w:rsidRDefault="00CF629C" w:rsidP="00CF629C">
      <w:pPr>
        <w:ind w:left="1412" w:hanging="1412"/>
        <w:rPr>
          <w:rFonts w:asciiTheme="majorHAnsi" w:hAnsiTheme="majorHAnsi"/>
          <w:color w:val="000000" w:themeColor="text1"/>
          <w:sz w:val="18"/>
          <w:szCs w:val="18"/>
        </w:rPr>
      </w:pPr>
      <w:r w:rsidRPr="00CF629C">
        <w:rPr>
          <w:rFonts w:asciiTheme="majorHAnsi" w:hAnsiTheme="majorHAnsi"/>
          <w:color w:val="000000" w:themeColor="text1"/>
          <w:sz w:val="18"/>
          <w:szCs w:val="18"/>
        </w:rPr>
        <w:t xml:space="preserve">vyhodnocovanie realizácie </w:t>
      </w:r>
      <w:proofErr w:type="spellStart"/>
      <w:r w:rsidRPr="00CF629C">
        <w:rPr>
          <w:rFonts w:asciiTheme="majorHAnsi" w:hAnsiTheme="majorHAnsi"/>
          <w:color w:val="000000" w:themeColor="text1"/>
          <w:sz w:val="18"/>
          <w:szCs w:val="18"/>
        </w:rPr>
        <w:t>Erasmus</w:t>
      </w:r>
      <w:proofErr w:type="spellEnd"/>
      <w:r w:rsidRPr="00CF629C">
        <w:rPr>
          <w:rFonts w:asciiTheme="majorHAnsi" w:hAnsiTheme="majorHAnsi"/>
          <w:color w:val="000000" w:themeColor="text1"/>
          <w:sz w:val="18"/>
          <w:szCs w:val="18"/>
        </w:rPr>
        <w:t xml:space="preserve">+ projektov na STU je jedným z predpokladov ďalšieho zintenzívňovania a skvalitňovania </w:t>
      </w:r>
    </w:p>
    <w:p w:rsidR="00CF629C" w:rsidRPr="00CF629C" w:rsidRDefault="00CF629C" w:rsidP="00CF629C">
      <w:pPr>
        <w:ind w:left="1412" w:hanging="1412"/>
        <w:rPr>
          <w:rFonts w:asciiTheme="majorHAnsi" w:hAnsiTheme="majorHAnsi"/>
          <w:color w:val="000000" w:themeColor="text1"/>
          <w:sz w:val="18"/>
          <w:szCs w:val="18"/>
        </w:rPr>
      </w:pPr>
      <w:r w:rsidRPr="00CF629C">
        <w:rPr>
          <w:rFonts w:asciiTheme="majorHAnsi" w:hAnsiTheme="majorHAnsi"/>
          <w:color w:val="000000" w:themeColor="text1"/>
          <w:sz w:val="18"/>
          <w:szCs w:val="18"/>
        </w:rPr>
        <w:t>práce v tejto oblasti pôsobenia univerzity</w:t>
      </w:r>
      <w:r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CF629C" w:rsidRPr="00CD7501" w:rsidRDefault="00CF629C" w:rsidP="00CF629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CF629C" w:rsidRPr="00CF629C" w:rsidRDefault="00CF629C" w:rsidP="00CF629C">
      <w:pPr>
        <w:ind w:left="1410" w:hanging="1410"/>
        <w:rPr>
          <w:rFonts w:asciiTheme="majorHAnsi" w:hAnsiTheme="majorHAnsi"/>
          <w:sz w:val="18"/>
          <w:szCs w:val="18"/>
        </w:rPr>
      </w:pPr>
      <w:r w:rsidRPr="00CF629C">
        <w:rPr>
          <w:rFonts w:asciiTheme="majorHAnsi" w:hAnsiTheme="majorHAnsi"/>
          <w:sz w:val="18"/>
          <w:szCs w:val="18"/>
        </w:rPr>
        <w:t xml:space="preserve">Vedenie STU berie na vedomie informáciu o vyhodnotení realizácie </w:t>
      </w:r>
      <w:proofErr w:type="spellStart"/>
      <w:r w:rsidRPr="00CF629C">
        <w:rPr>
          <w:rFonts w:asciiTheme="majorHAnsi" w:hAnsiTheme="majorHAnsi"/>
          <w:sz w:val="18"/>
          <w:szCs w:val="18"/>
        </w:rPr>
        <w:t>Erasmus</w:t>
      </w:r>
      <w:proofErr w:type="spellEnd"/>
      <w:r w:rsidRPr="00CF629C">
        <w:rPr>
          <w:rFonts w:asciiTheme="majorHAnsi" w:hAnsiTheme="majorHAnsi"/>
          <w:sz w:val="18"/>
          <w:szCs w:val="18"/>
        </w:rPr>
        <w:t xml:space="preserve">+ projektu Mobilita študentov a zamestnancov STU  </w:t>
      </w:r>
    </w:p>
    <w:p w:rsidR="00CF629C" w:rsidRPr="00CF629C" w:rsidRDefault="00CF629C" w:rsidP="00CF629C">
      <w:pPr>
        <w:ind w:left="1410" w:hanging="1410"/>
        <w:rPr>
          <w:rFonts w:asciiTheme="majorHAnsi" w:hAnsiTheme="majorHAnsi"/>
          <w:sz w:val="18"/>
          <w:szCs w:val="18"/>
        </w:rPr>
      </w:pPr>
      <w:r w:rsidRPr="00CF629C">
        <w:rPr>
          <w:rFonts w:asciiTheme="majorHAnsi" w:hAnsiTheme="majorHAnsi"/>
          <w:sz w:val="18"/>
          <w:szCs w:val="18"/>
        </w:rPr>
        <w:t>Výzvy 2015.</w:t>
      </w:r>
    </w:p>
    <w:p w:rsidR="00CF629C" w:rsidRDefault="00CF629C" w:rsidP="00CF629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F629C" w:rsidRDefault="00CF629C" w:rsidP="00CF629C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Pr="006A02C4">
        <w:rPr>
          <w:rFonts w:asciiTheme="majorHAnsi" w:hAnsiTheme="majorHAnsi"/>
          <w:b/>
          <w:sz w:val="18"/>
          <w:szCs w:val="18"/>
          <w:u w:val="single"/>
        </w:rPr>
        <w:t xml:space="preserve">Návrh na </w:t>
      </w:r>
      <w:r>
        <w:rPr>
          <w:rFonts w:asciiTheme="majorHAnsi" w:hAnsiTheme="majorHAnsi"/>
          <w:b/>
          <w:sz w:val="18"/>
          <w:szCs w:val="18"/>
          <w:u w:val="single"/>
        </w:rPr>
        <w:t>zahraničné pracovné cesty</w:t>
      </w:r>
    </w:p>
    <w:p w:rsidR="00CF629C" w:rsidRDefault="00CF629C" w:rsidP="00CF629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F629C" w:rsidRPr="00BF1360" w:rsidRDefault="00CF629C" w:rsidP="00CF629C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CF629C" w:rsidRPr="00CD7501" w:rsidRDefault="00CF629C" w:rsidP="00CF629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CF629C" w:rsidRDefault="00CF629C" w:rsidP="00CF629C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9).</w:t>
      </w:r>
    </w:p>
    <w:p w:rsidR="00CF629C" w:rsidRDefault="00CF629C" w:rsidP="00CF629C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F629C" w:rsidRPr="00CF629C" w:rsidRDefault="00CF629C" w:rsidP="00CF629C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1</w:t>
      </w:r>
      <w:r>
        <w:rPr>
          <w:rFonts w:asciiTheme="majorHAnsi" w:hAnsiTheme="majorHAnsi"/>
          <w:bCs/>
          <w:sz w:val="18"/>
          <w:szCs w:val="18"/>
        </w:rPr>
        <w:t>.</w:t>
      </w:r>
      <w:r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ind w:left="-108" w:firstLine="108"/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Ing. Andrea Bujdáková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CF629C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2</w:t>
      </w:r>
      <w:r>
        <w:rPr>
          <w:rFonts w:asciiTheme="majorHAnsi" w:hAnsiTheme="majorHAnsi"/>
          <w:bCs/>
          <w:sz w:val="18"/>
          <w:szCs w:val="18"/>
        </w:rPr>
        <w:t>.</w:t>
      </w:r>
      <w:r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Róbert Tichý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CF629C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3</w:t>
      </w:r>
      <w:r>
        <w:rPr>
          <w:rFonts w:asciiTheme="majorHAnsi" w:hAnsiTheme="majorHAnsi"/>
          <w:bCs/>
          <w:sz w:val="18"/>
          <w:szCs w:val="18"/>
        </w:rPr>
        <w:t>.</w:t>
      </w:r>
      <w:r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Ing. Štefan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Tar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lastRenderedPageBreak/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88737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4</w:t>
      </w:r>
      <w:r w:rsidR="00887372">
        <w:rPr>
          <w:rFonts w:asciiTheme="majorHAnsi" w:hAnsiTheme="majorHAnsi"/>
          <w:bCs/>
          <w:sz w:val="18"/>
          <w:szCs w:val="18"/>
        </w:rPr>
        <w:t>.</w:t>
      </w:r>
      <w:r w:rsidR="00887372"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Ing. Tomáš Molnár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88737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5</w:t>
      </w:r>
      <w:r w:rsidR="00887372">
        <w:rPr>
          <w:rFonts w:asciiTheme="majorHAnsi" w:hAnsiTheme="majorHAnsi"/>
          <w:bCs/>
          <w:sz w:val="18"/>
          <w:szCs w:val="18"/>
        </w:rPr>
        <w:t>.</w:t>
      </w:r>
      <w:r w:rsidR="00887372"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Ing. Marianna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Frajková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88737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6</w:t>
      </w:r>
      <w:r w:rsidR="00887372">
        <w:rPr>
          <w:rFonts w:asciiTheme="majorHAnsi" w:hAnsiTheme="majorHAnsi"/>
          <w:bCs/>
          <w:sz w:val="18"/>
          <w:szCs w:val="18"/>
        </w:rPr>
        <w:t>.</w:t>
      </w:r>
      <w:r w:rsidR="00887372"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RNDr. Jana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Vaškorová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88737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7</w:t>
      </w:r>
      <w:r w:rsidR="00887372">
        <w:rPr>
          <w:rFonts w:asciiTheme="majorHAnsi" w:hAnsiTheme="majorHAnsi"/>
          <w:bCs/>
          <w:sz w:val="18"/>
          <w:szCs w:val="18"/>
        </w:rPr>
        <w:t>.</w:t>
      </w:r>
      <w:r w:rsidR="00887372"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 xml:space="preserve">Česká republika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Bořetice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Účasť na seminári S4U o Univerzitnom informačnom systéme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09.10.2017-11.10.2017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Česká republika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Bořetice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60 €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Ing. Eva Tarová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1009 – CVT </w:t>
            </w:r>
          </w:p>
        </w:tc>
      </w:tr>
    </w:tbl>
    <w:p w:rsidR="00CF629C" w:rsidRPr="00CF629C" w:rsidRDefault="00CF629C" w:rsidP="00CF629C">
      <w:pPr>
        <w:rPr>
          <w:rFonts w:asciiTheme="majorHAnsi" w:eastAsia="Calibri" w:hAnsiTheme="majorHAnsi"/>
          <w:color w:val="244061"/>
          <w:sz w:val="18"/>
          <w:szCs w:val="18"/>
        </w:rPr>
      </w:pPr>
    </w:p>
    <w:p w:rsidR="00CF629C" w:rsidRPr="00CF629C" w:rsidRDefault="00CF629C" w:rsidP="0088737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8</w:t>
      </w:r>
      <w:r w:rsidR="00887372">
        <w:rPr>
          <w:rFonts w:asciiTheme="majorHAnsi" w:hAnsiTheme="majorHAnsi"/>
          <w:bCs/>
          <w:sz w:val="18"/>
          <w:szCs w:val="18"/>
        </w:rPr>
        <w:t>.</w:t>
      </w:r>
      <w:r w:rsidR="00887372">
        <w:rPr>
          <w:rFonts w:asciiTheme="majorHAnsi" w:hAnsiTheme="majorHAnsi"/>
          <w:bCs/>
          <w:sz w:val="18"/>
          <w:szCs w:val="18"/>
        </w:rPr>
        <w:tab/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Kazahstan</w:t>
      </w:r>
      <w:proofErr w:type="spellEnd"/>
      <w:r w:rsidRPr="00CF629C">
        <w:rPr>
          <w:rFonts w:asciiTheme="majorHAnsi" w:hAnsiTheme="majorHAnsi"/>
          <w:bCs/>
          <w:sz w:val="18"/>
          <w:szCs w:val="18"/>
        </w:rPr>
        <w:t xml:space="preserve"> –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Alma</w:t>
      </w:r>
      <w:proofErr w:type="spellEnd"/>
      <w:r w:rsidRPr="00CF629C">
        <w:rPr>
          <w:rFonts w:asciiTheme="majorHAnsi" w:hAnsiTheme="majorHAnsi"/>
          <w:bCs/>
          <w:sz w:val="18"/>
          <w:szCs w:val="18"/>
        </w:rPr>
        <w:t xml:space="preserve"> </w:t>
      </w:r>
      <w:proofErr w:type="spellStart"/>
      <w:r w:rsidRPr="00CF629C">
        <w:rPr>
          <w:rFonts w:asciiTheme="majorHAnsi" w:hAnsiTheme="majorHAnsi"/>
          <w:bCs/>
          <w:sz w:val="18"/>
          <w:szCs w:val="18"/>
        </w:rPr>
        <w:t>Ata</w:t>
      </w:r>
      <w:proofErr w:type="spellEnd"/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Mobilita zamestnanca STU  – 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CF629C">
              <w:rPr>
                <w:rFonts w:asciiTheme="majorHAnsi" w:hAnsiTheme="majorHAnsi"/>
                <w:sz w:val="18"/>
                <w:szCs w:val="18"/>
              </w:rPr>
              <w:t>+ školenie na partnerskej univerzite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28.10.2017-04.11.2017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Kazahstan</w:t>
            </w:r>
            <w:proofErr w:type="spellEnd"/>
            <w:r w:rsidRPr="00CF629C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Alma</w:t>
            </w:r>
            <w:proofErr w:type="spellEnd"/>
            <w:r w:rsidRPr="00CF629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Ata</w:t>
            </w:r>
            <w:proofErr w:type="spellEnd"/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2100 €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doc. Ing. Štefan Stanko, PhD.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5508 –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CF629C">
              <w:rPr>
                <w:rFonts w:asciiTheme="majorHAnsi" w:hAnsiTheme="majorHAnsi"/>
                <w:sz w:val="18"/>
                <w:szCs w:val="18"/>
              </w:rPr>
              <w:t xml:space="preserve">+ </w:t>
            </w:r>
            <w:proofErr w:type="spellStart"/>
            <w:r w:rsidRPr="00CF629C">
              <w:rPr>
                <w:rFonts w:asciiTheme="majorHAnsi" w:hAnsiTheme="majorHAnsi"/>
                <w:sz w:val="18"/>
                <w:szCs w:val="18"/>
              </w:rPr>
              <w:t>ICM</w:t>
            </w:r>
            <w:proofErr w:type="spellEnd"/>
            <w:r w:rsidRPr="00CF62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CF629C" w:rsidRPr="00CF629C" w:rsidRDefault="00CF629C" w:rsidP="00CF629C">
      <w:pPr>
        <w:ind w:left="-142"/>
        <w:rPr>
          <w:rFonts w:asciiTheme="majorHAnsi" w:hAnsiTheme="majorHAnsi"/>
          <w:bCs/>
          <w:sz w:val="18"/>
          <w:szCs w:val="18"/>
        </w:rPr>
      </w:pPr>
    </w:p>
    <w:p w:rsidR="00CF629C" w:rsidRPr="00CF629C" w:rsidRDefault="00CF629C" w:rsidP="00887372">
      <w:pPr>
        <w:ind w:left="-142" w:firstLine="142"/>
        <w:rPr>
          <w:rFonts w:asciiTheme="majorHAnsi" w:hAnsiTheme="majorHAnsi"/>
          <w:bCs/>
          <w:sz w:val="18"/>
          <w:szCs w:val="18"/>
        </w:rPr>
      </w:pPr>
      <w:r w:rsidRPr="00CF629C">
        <w:rPr>
          <w:rFonts w:asciiTheme="majorHAnsi" w:hAnsiTheme="majorHAnsi"/>
          <w:bCs/>
          <w:sz w:val="18"/>
          <w:szCs w:val="18"/>
        </w:rPr>
        <w:t>9</w:t>
      </w:r>
      <w:r w:rsidR="00887372">
        <w:rPr>
          <w:rFonts w:asciiTheme="majorHAnsi" w:hAnsiTheme="majorHAnsi"/>
          <w:bCs/>
          <w:sz w:val="18"/>
          <w:szCs w:val="18"/>
        </w:rPr>
        <w:t>.</w:t>
      </w:r>
      <w:r w:rsidR="00887372">
        <w:rPr>
          <w:rFonts w:asciiTheme="majorHAnsi" w:hAnsiTheme="majorHAnsi"/>
          <w:bCs/>
          <w:sz w:val="18"/>
          <w:szCs w:val="18"/>
        </w:rPr>
        <w:tab/>
      </w:r>
      <w:r w:rsidRPr="00CF629C">
        <w:rPr>
          <w:rFonts w:asciiTheme="majorHAnsi" w:hAnsiTheme="majorHAnsi"/>
          <w:bCs/>
          <w:sz w:val="18"/>
          <w:szCs w:val="18"/>
        </w:rPr>
        <w:t>Omán – Maskat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512"/>
      </w:tblGrid>
      <w:tr w:rsidR="00CF629C" w:rsidRPr="00CF629C" w:rsidTr="00CF629C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512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Vládna misia 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14.10.2017-18.10.2017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Omán – Maskat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1300 €</w:t>
            </w:r>
          </w:p>
        </w:tc>
      </w:tr>
      <w:tr w:rsidR="00CF629C" w:rsidRPr="00CF629C" w:rsidTr="00CF629C">
        <w:trPr>
          <w:trHeight w:val="60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doc. Ing. Štefan Stanko, PhD.</w:t>
            </w:r>
          </w:p>
        </w:tc>
      </w:tr>
      <w:tr w:rsidR="00CF629C" w:rsidRPr="00CF629C" w:rsidTr="00CF629C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9C" w:rsidRPr="00CF629C" w:rsidRDefault="00CF629C" w:rsidP="00E70A97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CF629C">
              <w:rPr>
                <w:rFonts w:asciiTheme="majorHAnsi" w:hAnsiTheme="majorHAnsi"/>
                <w:sz w:val="18"/>
                <w:szCs w:val="18"/>
              </w:rPr>
              <w:t>1006 – Dotácia</w:t>
            </w:r>
          </w:p>
        </w:tc>
      </w:tr>
    </w:tbl>
    <w:p w:rsidR="00992EA7" w:rsidRPr="00CF629C" w:rsidRDefault="00992EA7" w:rsidP="002354CE">
      <w:pPr>
        <w:rPr>
          <w:rFonts w:asciiTheme="majorHAnsi" w:hAnsiTheme="majorHAnsi"/>
          <w:sz w:val="18"/>
          <w:szCs w:val="18"/>
        </w:rPr>
      </w:pPr>
    </w:p>
    <w:p w:rsidR="004A1505" w:rsidRDefault="004A1505" w:rsidP="004A150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</w:p>
    <w:p w:rsidR="004A1505" w:rsidRPr="004A1505" w:rsidRDefault="004A1505" w:rsidP="004A1505">
      <w:pPr>
        <w:tabs>
          <w:tab w:val="left" w:pos="1985"/>
        </w:tabs>
        <w:ind w:left="1410" w:hanging="1410"/>
        <w:rPr>
          <w:rFonts w:ascii="Calibri" w:hAnsi="Calibri"/>
          <w:b/>
          <w:sz w:val="44"/>
          <w:szCs w:val="44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12/A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Pr="001B501C">
        <w:rPr>
          <w:rFonts w:asciiTheme="majorHAnsi" w:hAnsiTheme="majorHAnsi"/>
          <w:b/>
          <w:sz w:val="18"/>
          <w:szCs w:val="18"/>
          <w:u w:val="single"/>
        </w:rPr>
        <w:t>/</w:t>
      </w:r>
      <w:r w:rsidRPr="004A1505">
        <w:rPr>
          <w:rFonts w:asciiTheme="majorHAnsi" w:hAnsiTheme="majorHAnsi" w:cs="Arial"/>
          <w:b/>
          <w:sz w:val="18"/>
          <w:szCs w:val="18"/>
          <w:u w:val="single"/>
        </w:rPr>
        <w:t>Informácia o procese VO na Mobilné telekomunikačné služby na STU</w:t>
      </w:r>
    </w:p>
    <w:p w:rsidR="004A1505" w:rsidRDefault="004A1505" w:rsidP="004A150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A1505" w:rsidRDefault="004A1505" w:rsidP="004A1505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>kvestor</w:t>
      </w:r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4A1505" w:rsidRPr="00E70A97" w:rsidRDefault="004A1505" w:rsidP="004A1505">
      <w:pPr>
        <w:ind w:left="1412" w:hanging="1412"/>
        <w:rPr>
          <w:rFonts w:asciiTheme="majorHAnsi" w:hAnsiTheme="majorHAnsi" w:cs="Arial"/>
          <w:sz w:val="18"/>
          <w:szCs w:val="18"/>
        </w:rPr>
      </w:pPr>
      <w:r w:rsidRPr="00E70A97">
        <w:rPr>
          <w:rFonts w:asciiTheme="majorHAnsi" w:hAnsiTheme="majorHAnsi" w:cs="Arial"/>
          <w:sz w:val="18"/>
          <w:szCs w:val="18"/>
        </w:rPr>
        <w:t xml:space="preserve">Informoval, že verejného obstarávania sa zúčastnili 3 uchádzači, medzi nimi aj súčasný poskytovateľ mobilných telekomunikačných </w:t>
      </w:r>
    </w:p>
    <w:p w:rsidR="00B404BA" w:rsidRPr="00E70A97" w:rsidRDefault="004A1505" w:rsidP="004A1505">
      <w:pPr>
        <w:ind w:left="1412" w:hanging="1412"/>
        <w:rPr>
          <w:rFonts w:asciiTheme="majorHAnsi" w:hAnsiTheme="majorHAnsi" w:cs="Arial"/>
          <w:sz w:val="18"/>
          <w:szCs w:val="18"/>
        </w:rPr>
      </w:pPr>
      <w:r w:rsidRPr="00E70A97">
        <w:rPr>
          <w:rFonts w:asciiTheme="majorHAnsi" w:hAnsiTheme="majorHAnsi" w:cs="Arial"/>
          <w:sz w:val="18"/>
          <w:szCs w:val="18"/>
        </w:rPr>
        <w:t xml:space="preserve">služieb Orange. Všetci traja uchádzači (Orange Slovensko, Slovak </w:t>
      </w:r>
      <w:proofErr w:type="spellStart"/>
      <w:r w:rsidRPr="00E70A97">
        <w:rPr>
          <w:rFonts w:asciiTheme="majorHAnsi" w:hAnsiTheme="majorHAnsi" w:cs="Arial"/>
          <w:sz w:val="18"/>
          <w:szCs w:val="18"/>
        </w:rPr>
        <w:t>Telekom</w:t>
      </w:r>
      <w:proofErr w:type="spellEnd"/>
      <w:r w:rsidRPr="00E70A97">
        <w:rPr>
          <w:rFonts w:asciiTheme="majorHAnsi" w:hAnsiTheme="majorHAnsi" w:cs="Arial"/>
          <w:sz w:val="18"/>
          <w:szCs w:val="18"/>
        </w:rPr>
        <w:t xml:space="preserve"> a O2 Slovakia) ponúkli v aukcii najnižšie možné ceny</w:t>
      </w:r>
      <w:r w:rsidR="00B404BA" w:rsidRPr="00E70A97">
        <w:rPr>
          <w:rFonts w:asciiTheme="majorHAnsi" w:hAnsiTheme="majorHAnsi" w:cs="Arial"/>
          <w:sz w:val="18"/>
          <w:szCs w:val="18"/>
        </w:rPr>
        <w:t>,</w:t>
      </w:r>
      <w:r w:rsidRPr="00E70A97">
        <w:rPr>
          <w:rFonts w:asciiTheme="majorHAnsi" w:hAnsiTheme="majorHAnsi" w:cs="Arial"/>
          <w:sz w:val="18"/>
          <w:szCs w:val="18"/>
        </w:rPr>
        <w:t xml:space="preserve"> aké </w:t>
      </w:r>
    </w:p>
    <w:p w:rsidR="00E70A97" w:rsidRPr="00E70A97" w:rsidRDefault="004A1505" w:rsidP="00E70A97">
      <w:pPr>
        <w:ind w:left="1412" w:hanging="1412"/>
        <w:rPr>
          <w:rFonts w:ascii="Cambria" w:hAnsi="Cambria"/>
          <w:sz w:val="18"/>
          <w:szCs w:val="18"/>
        </w:rPr>
      </w:pPr>
      <w:r w:rsidRPr="00E70A97">
        <w:rPr>
          <w:rFonts w:asciiTheme="majorHAnsi" w:hAnsiTheme="majorHAnsi" w:cs="Arial"/>
          <w:sz w:val="18"/>
          <w:szCs w:val="18"/>
        </w:rPr>
        <w:t>boli ochotní ponúknuť</w:t>
      </w:r>
      <w:r w:rsidR="00E70A97" w:rsidRPr="00E70A97">
        <w:rPr>
          <w:rFonts w:asciiTheme="majorHAnsi" w:hAnsiTheme="majorHAnsi" w:cs="Arial"/>
          <w:sz w:val="18"/>
          <w:szCs w:val="18"/>
        </w:rPr>
        <w:t>. Súťaž vyhrala spoločnosť O2 Slovakia. Dvaja</w:t>
      </w:r>
      <w:r w:rsidR="00E70A97" w:rsidRPr="00E70A97">
        <w:rPr>
          <w:rFonts w:ascii="Cambria" w:hAnsi="Cambria"/>
          <w:sz w:val="18"/>
          <w:szCs w:val="18"/>
        </w:rPr>
        <w:t xml:space="preserve"> neúspešní uchádzači potvrdili, že nižšie ceny vzhľadom na </w:t>
      </w:r>
    </w:p>
    <w:p w:rsidR="004A1505" w:rsidRPr="00E70A97" w:rsidRDefault="00E70A97" w:rsidP="004A1505">
      <w:pPr>
        <w:ind w:left="1412" w:hanging="1412"/>
        <w:rPr>
          <w:rFonts w:asciiTheme="majorHAnsi" w:hAnsiTheme="majorHAnsi" w:cs="Arial"/>
          <w:sz w:val="18"/>
          <w:szCs w:val="18"/>
        </w:rPr>
      </w:pPr>
      <w:r w:rsidRPr="00E70A97">
        <w:rPr>
          <w:rFonts w:ascii="Cambria" w:hAnsi="Cambria"/>
          <w:sz w:val="18"/>
          <w:szCs w:val="18"/>
        </w:rPr>
        <w:t>náklady spojené s údržbou a budovaním sietí už dať nemohli. Doterajší mobilný operátor Orange v aukcii neuspel.</w:t>
      </w:r>
    </w:p>
    <w:p w:rsidR="00B404BA" w:rsidRPr="00E70A97" w:rsidRDefault="004A1505" w:rsidP="004A1505">
      <w:pPr>
        <w:ind w:left="1412" w:hanging="1412"/>
        <w:rPr>
          <w:rFonts w:asciiTheme="majorHAnsi" w:hAnsiTheme="majorHAnsi" w:cs="Arial"/>
          <w:sz w:val="18"/>
          <w:szCs w:val="18"/>
        </w:rPr>
      </w:pPr>
      <w:r w:rsidRPr="00E70A97">
        <w:rPr>
          <w:rFonts w:asciiTheme="majorHAnsi" w:hAnsiTheme="majorHAnsi" w:cs="Arial"/>
          <w:sz w:val="18"/>
          <w:szCs w:val="18"/>
        </w:rPr>
        <w:t xml:space="preserve">V nadväznosti na uvedené rektor informoval, že </w:t>
      </w:r>
      <w:r w:rsidR="00B404BA" w:rsidRPr="00E70A97">
        <w:rPr>
          <w:rFonts w:asciiTheme="majorHAnsi" w:hAnsiTheme="majorHAnsi" w:cs="Arial"/>
          <w:sz w:val="18"/>
          <w:szCs w:val="18"/>
        </w:rPr>
        <w:t xml:space="preserve">na základe uvedeného </w:t>
      </w:r>
      <w:r w:rsidRPr="00E70A97">
        <w:rPr>
          <w:rFonts w:asciiTheme="majorHAnsi" w:hAnsiTheme="majorHAnsi" w:cs="Arial"/>
          <w:sz w:val="18"/>
          <w:szCs w:val="18"/>
        </w:rPr>
        <w:t xml:space="preserve">zmluva by mala byť podpísaná, ale podľa vyjadrenia </w:t>
      </w:r>
    </w:p>
    <w:p w:rsidR="00B404BA" w:rsidRPr="00E70A97" w:rsidRDefault="004A1505" w:rsidP="004A1505">
      <w:pPr>
        <w:ind w:left="1412" w:hanging="1412"/>
        <w:rPr>
          <w:rFonts w:asciiTheme="majorHAnsi" w:hAnsiTheme="majorHAnsi" w:cs="Arial"/>
          <w:sz w:val="18"/>
          <w:szCs w:val="18"/>
        </w:rPr>
      </w:pPr>
      <w:r w:rsidRPr="00E70A97">
        <w:rPr>
          <w:rFonts w:asciiTheme="majorHAnsi" w:hAnsiTheme="majorHAnsi" w:cs="Arial"/>
          <w:sz w:val="18"/>
          <w:szCs w:val="18"/>
        </w:rPr>
        <w:t xml:space="preserve">prorektora </w:t>
      </w:r>
      <w:proofErr w:type="spellStart"/>
      <w:r w:rsidRPr="00E70A97">
        <w:rPr>
          <w:rFonts w:asciiTheme="majorHAnsi" w:hAnsiTheme="majorHAnsi" w:cs="Arial"/>
          <w:sz w:val="18"/>
          <w:szCs w:val="18"/>
        </w:rPr>
        <w:t>Čičáka</w:t>
      </w:r>
      <w:proofErr w:type="spellEnd"/>
      <w:r w:rsidRPr="00E70A97">
        <w:rPr>
          <w:rFonts w:asciiTheme="majorHAnsi" w:hAnsiTheme="majorHAnsi" w:cs="Arial"/>
          <w:sz w:val="18"/>
          <w:szCs w:val="18"/>
        </w:rPr>
        <w:t xml:space="preserve"> </w:t>
      </w:r>
      <w:r w:rsidR="00B404BA" w:rsidRPr="00E70A97">
        <w:rPr>
          <w:rFonts w:asciiTheme="majorHAnsi" w:hAnsiTheme="majorHAnsi" w:cs="Arial"/>
          <w:sz w:val="18"/>
          <w:szCs w:val="18"/>
        </w:rPr>
        <w:t xml:space="preserve">– predsedu výberovej komisie, </w:t>
      </w:r>
      <w:r w:rsidRPr="00E70A97">
        <w:rPr>
          <w:rFonts w:asciiTheme="majorHAnsi" w:hAnsiTheme="majorHAnsi" w:cs="Arial"/>
          <w:sz w:val="18"/>
          <w:szCs w:val="18"/>
        </w:rPr>
        <w:t xml:space="preserve">cenník O2 </w:t>
      </w:r>
      <w:r w:rsidR="00B404BA" w:rsidRPr="00E70A97">
        <w:rPr>
          <w:rFonts w:asciiTheme="majorHAnsi" w:hAnsiTheme="majorHAnsi" w:cs="Arial"/>
          <w:sz w:val="18"/>
          <w:szCs w:val="18"/>
        </w:rPr>
        <w:t xml:space="preserve">stále </w:t>
      </w:r>
      <w:r w:rsidRPr="00E70A97">
        <w:rPr>
          <w:rFonts w:asciiTheme="majorHAnsi" w:hAnsiTheme="majorHAnsi" w:cs="Arial"/>
          <w:sz w:val="18"/>
          <w:szCs w:val="18"/>
        </w:rPr>
        <w:t>nie je jasný.</w:t>
      </w:r>
      <w:r w:rsidR="00B404BA" w:rsidRPr="00E70A97">
        <w:rPr>
          <w:rFonts w:asciiTheme="majorHAnsi" w:hAnsiTheme="majorHAnsi" w:cs="Arial"/>
          <w:sz w:val="18"/>
          <w:szCs w:val="18"/>
        </w:rPr>
        <w:t xml:space="preserve"> V závere rektor poznamenal, že je potrebné sa </w:t>
      </w:r>
    </w:p>
    <w:p w:rsidR="004A1505" w:rsidRPr="004A1505" w:rsidRDefault="00B404BA" w:rsidP="004A1505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podrobnejšie zaoberať technickými detailmi ponuky a zvážiť ich relevantnosť.</w:t>
      </w:r>
    </w:p>
    <w:p w:rsidR="004A1505" w:rsidRDefault="004A1505" w:rsidP="004A1505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404BA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404BA"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>
        <w:rPr>
          <w:rFonts w:asciiTheme="majorHAnsi" w:hAnsiTheme="majorHAnsi" w:cs="Arial"/>
          <w:b/>
          <w:color w:val="C00000"/>
          <w:sz w:val="18"/>
          <w:szCs w:val="18"/>
        </w:rPr>
        <w:t>A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B404BA" w:rsidRPr="00B404BA" w:rsidRDefault="00B404BA" w:rsidP="004A1505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404BA">
        <w:rPr>
          <w:rFonts w:asciiTheme="majorHAnsi" w:hAnsiTheme="majorHAnsi" w:cs="Arial"/>
          <w:sz w:val="18"/>
          <w:szCs w:val="18"/>
          <w:shd w:val="clear" w:color="auto" w:fill="FFFFFF"/>
        </w:rPr>
        <w:t>Vedenie STU berie na vedomie informáciu o procese VO na Mobilné telekomunikačné služby na STU.</w:t>
      </w:r>
    </w:p>
    <w:p w:rsidR="00992EA7" w:rsidRDefault="00992EA7" w:rsidP="002354CE">
      <w:pPr>
        <w:rPr>
          <w:rFonts w:asciiTheme="majorHAnsi" w:hAnsiTheme="majorHAnsi"/>
          <w:sz w:val="18"/>
          <w:szCs w:val="18"/>
        </w:rPr>
      </w:pPr>
    </w:p>
    <w:p w:rsidR="00E70A97" w:rsidRDefault="00E70A97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C1386" w:rsidRDefault="003C1386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3C1386" w:rsidRDefault="003C1386" w:rsidP="003C1386">
      <w:pPr>
        <w:ind w:right="140"/>
        <w:rPr>
          <w:rFonts w:ascii="Cambria" w:hAnsi="Cambria" w:cs="Arial"/>
          <w:sz w:val="18"/>
          <w:szCs w:val="18"/>
        </w:rPr>
      </w:pPr>
    </w:p>
    <w:p w:rsidR="003C1386" w:rsidRPr="0063573E" w:rsidRDefault="003C1386" w:rsidP="003C1386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  <w:r w:rsidR="00F02853">
        <w:rPr>
          <w:rFonts w:asciiTheme="majorHAnsi" w:hAnsiTheme="majorHAnsi" w:cs="Arial"/>
          <w:sz w:val="18"/>
          <w:szCs w:val="18"/>
        </w:rPr>
        <w:t xml:space="preserve"> </w:t>
      </w:r>
    </w:p>
    <w:p w:rsidR="00B404BA" w:rsidRDefault="00B404BA" w:rsidP="00B404BA">
      <w:pPr>
        <w:pStyle w:val="Odsekzoznamu"/>
        <w:numPr>
          <w:ilvl w:val="0"/>
          <w:numId w:val="29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pozvaní predsedu Predstavenstva Železiarní Podbrezová na konferenciu</w:t>
      </w:r>
      <w:r w:rsidR="006D5991">
        <w:rPr>
          <w:rFonts w:asciiTheme="majorHAnsi" w:hAnsiTheme="majorHAnsi" w:cs="Arial"/>
          <w:sz w:val="18"/>
          <w:szCs w:val="18"/>
        </w:rPr>
        <w:t xml:space="preserve"> na tému „</w:t>
      </w:r>
      <w:proofErr w:type="spellStart"/>
      <w:r w:rsidR="006D5991">
        <w:rPr>
          <w:rFonts w:asciiTheme="majorHAnsi" w:hAnsiTheme="majorHAnsi" w:cs="Arial"/>
          <w:sz w:val="18"/>
          <w:szCs w:val="18"/>
        </w:rPr>
        <w:t>Quo</w:t>
      </w:r>
      <w:proofErr w:type="spellEnd"/>
      <w:r w:rsidR="006D5991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D5991">
        <w:rPr>
          <w:rFonts w:asciiTheme="majorHAnsi" w:hAnsiTheme="majorHAnsi" w:cs="Arial"/>
          <w:sz w:val="18"/>
          <w:szCs w:val="18"/>
        </w:rPr>
        <w:t>vadis</w:t>
      </w:r>
      <w:proofErr w:type="spellEnd"/>
      <w:r w:rsidR="006D5991">
        <w:rPr>
          <w:rFonts w:asciiTheme="majorHAnsi" w:hAnsiTheme="majorHAnsi" w:cs="Arial"/>
          <w:sz w:val="18"/>
          <w:szCs w:val="18"/>
        </w:rPr>
        <w:t>, školstvo?“</w:t>
      </w:r>
      <w:r>
        <w:rPr>
          <w:rFonts w:asciiTheme="majorHAnsi" w:hAnsiTheme="majorHAnsi" w:cs="Arial"/>
          <w:sz w:val="18"/>
          <w:szCs w:val="18"/>
        </w:rPr>
        <w:t xml:space="preserve">, ktorá sa </w:t>
      </w:r>
      <w:r w:rsidR="006D5991">
        <w:rPr>
          <w:rFonts w:asciiTheme="majorHAnsi" w:hAnsiTheme="majorHAnsi" w:cs="Arial"/>
          <w:sz w:val="18"/>
          <w:szCs w:val="18"/>
        </w:rPr>
        <w:t xml:space="preserve">pri príležitosti 80. výročia organizovanej výučby v podbrezovských železiarňach </w:t>
      </w:r>
      <w:r>
        <w:rPr>
          <w:rFonts w:asciiTheme="majorHAnsi" w:hAnsiTheme="majorHAnsi" w:cs="Arial"/>
          <w:sz w:val="18"/>
          <w:szCs w:val="18"/>
        </w:rPr>
        <w:t>uskutoční dňa 26.10.2017</w:t>
      </w:r>
    </w:p>
    <w:p w:rsidR="00B404BA" w:rsidRDefault="00B404BA" w:rsidP="00994B5E">
      <w:pPr>
        <w:pStyle w:val="Odsekzoznamu"/>
        <w:numPr>
          <w:ilvl w:val="0"/>
          <w:numId w:val="29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 rámci pripravovaných osláv a sprievodných podujatí k 80. výročiu založenia STU informoval o stave príprav jednotlivých podujatí</w:t>
      </w:r>
    </w:p>
    <w:p w:rsidR="00B404BA" w:rsidRDefault="00B404BA" w:rsidP="00B404BA">
      <w:pPr>
        <w:pStyle w:val="Odsekzoznamu"/>
        <w:numPr>
          <w:ilvl w:val="1"/>
          <w:numId w:val="29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zároveň upozornil, že vstupenky na koncert do Slovenskej filharmónie ešte neboli distribuované a je potrebné ich urýchlene rozoslať</w:t>
      </w:r>
    </w:p>
    <w:p w:rsidR="003543A4" w:rsidRDefault="003543A4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B404BA" w:rsidRDefault="00B404B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694"/>
      </w:tblGrid>
      <w:tr w:rsidR="00B404BA" w:rsidRPr="00252B7D" w:rsidTr="004B3AB7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404BA" w:rsidRDefault="00B404BA" w:rsidP="00B404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Október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4BA" w:rsidRDefault="00B404BA" w:rsidP="00B404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18.10.2017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4BA" w:rsidRPr="005C0071" w:rsidRDefault="00B404BA" w:rsidP="00B404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04BA" w:rsidRDefault="00B404BA" w:rsidP="00B404BA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4BA" w:rsidRPr="009972C5" w:rsidRDefault="00B404BA" w:rsidP="00B404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04BA" w:rsidRPr="00252B7D" w:rsidTr="00B404BA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04BA" w:rsidRDefault="00B404BA" w:rsidP="00B404B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4BA" w:rsidRDefault="00B404BA" w:rsidP="00B404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25.10.2017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4BA" w:rsidRPr="005C0071" w:rsidRDefault="00B404BA" w:rsidP="00B404BA">
            <w:pPr>
              <w:jc w:val="center"/>
              <w:rPr>
                <w:rFonts w:asciiTheme="majorHAnsi" w:hAnsiTheme="majorHAnsi"/>
                <w:color w:val="4F81BD" w:themeColor="accent1"/>
                <w:sz w:val="18"/>
                <w:szCs w:val="18"/>
              </w:rPr>
            </w:pPr>
            <w:r w:rsidRPr="005C0071">
              <w:rPr>
                <w:rFonts w:asciiTheme="majorHAnsi" w:hAnsiTheme="majorHAnsi"/>
                <w:color w:val="4F81BD" w:themeColor="accent1"/>
                <w:sz w:val="18"/>
                <w:szCs w:val="18"/>
              </w:rPr>
              <w:t>VR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04BA" w:rsidRPr="005C0071" w:rsidRDefault="00B404BA" w:rsidP="00B404BA">
            <w:pPr>
              <w:jc w:val="center"/>
              <w:rPr>
                <w:rFonts w:ascii="Cambria" w:hAnsi="Cambria"/>
                <w:color w:val="4F81BD" w:themeColor="accent1"/>
                <w:sz w:val="18"/>
                <w:szCs w:val="18"/>
              </w:rPr>
            </w:pPr>
            <w:r w:rsidRPr="005C0071">
              <w:rPr>
                <w:rFonts w:ascii="Cambria" w:hAnsi="Cambria"/>
                <w:color w:val="4F81BD" w:themeColor="accent1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4BA" w:rsidRDefault="00B404BA" w:rsidP="00B404B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E7873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</w:t>
      </w:r>
    </w:p>
    <w:p w:rsidR="002F1C90" w:rsidRDefault="002F1C90" w:rsidP="00C91009">
      <w:pPr>
        <w:ind w:right="284"/>
        <w:rPr>
          <w:rFonts w:ascii="Cambria" w:hAnsi="Cambria" w:cs="Arial"/>
          <w:noProof/>
          <w:sz w:val="18"/>
          <w:szCs w:val="18"/>
        </w:rPr>
      </w:pP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404BA">
        <w:rPr>
          <w:rFonts w:ascii="Cambria" w:hAnsi="Cambria" w:cs="Arial"/>
          <w:sz w:val="18"/>
          <w:szCs w:val="18"/>
        </w:rPr>
        <w:t>12</w:t>
      </w:r>
      <w:r w:rsidRPr="00273475">
        <w:rPr>
          <w:rFonts w:ascii="Cambria" w:hAnsi="Cambria" w:cs="Arial"/>
          <w:sz w:val="18"/>
          <w:szCs w:val="18"/>
        </w:rPr>
        <w:t>.</w:t>
      </w:r>
      <w:r w:rsidR="00B404BA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B404BA">
        <w:rPr>
          <w:rFonts w:ascii="Cambria" w:hAnsi="Cambria" w:cs="Arial"/>
          <w:sz w:val="18"/>
          <w:szCs w:val="18"/>
        </w:rPr>
        <w:t>1</w:t>
      </w:r>
      <w:r w:rsidR="00E70A97">
        <w:rPr>
          <w:rFonts w:ascii="Cambria" w:hAnsi="Cambria" w:cs="Arial"/>
          <w:sz w:val="18"/>
          <w:szCs w:val="18"/>
        </w:rPr>
        <w:t>3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B404BA">
        <w:rPr>
          <w:rFonts w:ascii="Cambria" w:hAnsi="Cambria" w:cs="Arial"/>
          <w:sz w:val="18"/>
          <w:szCs w:val="18"/>
        </w:rPr>
        <w:t>10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Pr="00014698" w:rsidRDefault="000F7B91" w:rsidP="00014698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2F1C90">
        <w:rPr>
          <w:rFonts w:ascii="Cambria" w:hAnsi="Cambria" w:cs="Arial"/>
          <w:sz w:val="18"/>
          <w:szCs w:val="18"/>
        </w:rPr>
        <w:t>doc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2F1C90">
        <w:rPr>
          <w:rFonts w:ascii="Cambria" w:hAnsi="Cambria" w:cs="Arial"/>
          <w:sz w:val="18"/>
          <w:szCs w:val="18"/>
        </w:rPr>
        <w:t>Štefan Stanko</w:t>
      </w:r>
      <w:r w:rsidRPr="00014698">
        <w:rPr>
          <w:rFonts w:ascii="Cambria" w:hAnsi="Cambria" w:cs="Arial"/>
          <w:sz w:val="18"/>
          <w:szCs w:val="18"/>
        </w:rPr>
        <w:t>, PhD.</w:t>
      </w:r>
      <w:r w:rsidR="001D12A9" w:rsidRPr="00014698">
        <w:rPr>
          <w:rFonts w:ascii="Cambria" w:hAnsi="Cambria" w:cs="Arial"/>
          <w:sz w:val="18"/>
          <w:szCs w:val="18"/>
        </w:rPr>
        <w:tab/>
      </w:r>
      <w:r w:rsidR="007B00A3" w:rsidRPr="00014698">
        <w:rPr>
          <w:rFonts w:ascii="Cambria" w:hAnsi="Cambria" w:cs="Arial"/>
          <w:sz w:val="18"/>
          <w:szCs w:val="18"/>
        </w:rPr>
        <w:t>__</w:t>
      </w:r>
      <w:r w:rsidR="00921EAB" w:rsidRPr="00014698">
        <w:rPr>
          <w:rFonts w:ascii="Cambria" w:hAnsi="Cambria" w:cs="Arial"/>
          <w:sz w:val="18"/>
          <w:szCs w:val="18"/>
        </w:rPr>
        <w:t>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82" w:rsidRDefault="00F75982">
      <w:r>
        <w:separator/>
      </w:r>
    </w:p>
  </w:endnote>
  <w:endnote w:type="continuationSeparator" w:id="0">
    <w:p w:rsidR="00F75982" w:rsidRDefault="00F7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97" w:rsidRPr="00516930" w:rsidRDefault="00E70A97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11. 10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8D0BC9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8D0BC9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10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F1D4B" wp14:editId="63B39944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97" w:rsidRPr="0080567D" w:rsidRDefault="00E70A97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D0BC9" w:rsidRPr="008D0BC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70A97" w:rsidRPr="0080567D" w:rsidRDefault="00E70A97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8D0BC9" w:rsidRPr="008D0BC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82" w:rsidRDefault="00F75982">
      <w:r>
        <w:separator/>
      </w:r>
    </w:p>
  </w:footnote>
  <w:footnote w:type="continuationSeparator" w:id="0">
    <w:p w:rsidR="00F75982" w:rsidRDefault="00F7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97" w:rsidRDefault="00E70A97" w:rsidP="00BD3BF4">
    <w:pPr>
      <w:pStyle w:val="Hlavika"/>
      <w:ind w:left="-567"/>
    </w:pPr>
    <w:r>
      <w:rPr>
        <w:noProof/>
      </w:rPr>
      <w:drawing>
        <wp:inline distT="0" distB="0" distL="0" distR="0" wp14:anchorId="6179F08A" wp14:editId="1E0DC44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DE6"/>
    <w:multiLevelType w:val="hybridMultilevel"/>
    <w:tmpl w:val="67360DA4"/>
    <w:lvl w:ilvl="0" w:tplc="DC9E37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EBD1837"/>
    <w:multiLevelType w:val="hybridMultilevel"/>
    <w:tmpl w:val="F95A7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E961F5E"/>
    <w:multiLevelType w:val="hybridMultilevel"/>
    <w:tmpl w:val="7FB84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21D92757"/>
    <w:multiLevelType w:val="hybridMultilevel"/>
    <w:tmpl w:val="DEB2F524"/>
    <w:lvl w:ilvl="0" w:tplc="F9B2B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429"/>
    <w:multiLevelType w:val="hybridMultilevel"/>
    <w:tmpl w:val="97180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D0724"/>
    <w:multiLevelType w:val="hybridMultilevel"/>
    <w:tmpl w:val="D778B022"/>
    <w:lvl w:ilvl="0" w:tplc="F74844C6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671FA"/>
    <w:multiLevelType w:val="hybridMultilevel"/>
    <w:tmpl w:val="E1D42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04A5E"/>
    <w:multiLevelType w:val="hybridMultilevel"/>
    <w:tmpl w:val="F0A8E814"/>
    <w:lvl w:ilvl="0" w:tplc="01AEE0F0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>
    <w:nsid w:val="37DE743D"/>
    <w:multiLevelType w:val="hybridMultilevel"/>
    <w:tmpl w:val="67DCEA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B4E2A7B"/>
    <w:multiLevelType w:val="hybridMultilevel"/>
    <w:tmpl w:val="B40EF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60707AC3"/>
    <w:multiLevelType w:val="hybridMultilevel"/>
    <w:tmpl w:val="BE8ED3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37B8A"/>
    <w:multiLevelType w:val="hybridMultilevel"/>
    <w:tmpl w:val="B2EEE134"/>
    <w:lvl w:ilvl="0" w:tplc="2F507436">
      <w:start w:val="1006"/>
      <w:numFmt w:val="decimal"/>
      <w:lvlText w:val="%1"/>
      <w:lvlJc w:val="left"/>
      <w:pPr>
        <w:ind w:left="900" w:hanging="540"/>
      </w:pPr>
      <w:rPr>
        <w:rFonts w:ascii="Cambria" w:eastAsia="MS Mincho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F735DA3"/>
    <w:multiLevelType w:val="hybridMultilevel"/>
    <w:tmpl w:val="E56C24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8"/>
  </w:num>
  <w:num w:numId="4">
    <w:abstractNumId w:val="11"/>
  </w:num>
  <w:num w:numId="5">
    <w:abstractNumId w:val="27"/>
  </w:num>
  <w:num w:numId="6">
    <w:abstractNumId w:val="17"/>
  </w:num>
  <w:num w:numId="7">
    <w:abstractNumId w:val="21"/>
  </w:num>
  <w:num w:numId="8">
    <w:abstractNumId w:val="16"/>
  </w:num>
  <w:num w:numId="9">
    <w:abstractNumId w:val="14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8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4"/>
  </w:num>
  <w:num w:numId="22">
    <w:abstractNumId w:val="3"/>
  </w:num>
  <w:num w:numId="23">
    <w:abstractNumId w:val="6"/>
  </w:num>
  <w:num w:numId="24">
    <w:abstractNumId w:val="2"/>
  </w:num>
  <w:num w:numId="25">
    <w:abstractNumId w:val="6"/>
  </w:num>
  <w:num w:numId="26">
    <w:abstractNumId w:val="23"/>
  </w:num>
  <w:num w:numId="27">
    <w:abstractNumId w:val="10"/>
  </w:num>
  <w:num w:numId="28">
    <w:abstractNumId w:val="5"/>
  </w:num>
  <w:num w:numId="29">
    <w:abstractNumId w:val="20"/>
  </w:num>
  <w:num w:numId="30">
    <w:abstractNumId w:val="29"/>
  </w:num>
  <w:num w:numId="31">
    <w:abstractNumId w:val="26"/>
  </w:num>
  <w:num w:numId="32">
    <w:abstractNumId w:val="12"/>
  </w:num>
  <w:num w:numId="33">
    <w:abstractNumId w:val="19"/>
  </w:num>
  <w:num w:numId="3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7B6"/>
    <w:rsid w:val="0000792E"/>
    <w:rsid w:val="00010142"/>
    <w:rsid w:val="0001171E"/>
    <w:rsid w:val="00011AEC"/>
    <w:rsid w:val="00013842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3E9F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5979"/>
    <w:rsid w:val="000B5B05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1601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3AD"/>
    <w:rsid w:val="00193582"/>
    <w:rsid w:val="0019365D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01C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4375"/>
    <w:rsid w:val="001E5768"/>
    <w:rsid w:val="001E57C6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B7694"/>
    <w:rsid w:val="002C242F"/>
    <w:rsid w:val="002C2A11"/>
    <w:rsid w:val="002C3568"/>
    <w:rsid w:val="002C443B"/>
    <w:rsid w:val="002C5CA1"/>
    <w:rsid w:val="002C5F12"/>
    <w:rsid w:val="002C6666"/>
    <w:rsid w:val="002D0198"/>
    <w:rsid w:val="002D0B9C"/>
    <w:rsid w:val="002D23CE"/>
    <w:rsid w:val="002D3570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4185"/>
    <w:rsid w:val="004A5098"/>
    <w:rsid w:val="004A5EC0"/>
    <w:rsid w:val="004A7471"/>
    <w:rsid w:val="004A78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548"/>
    <w:rsid w:val="004D07CC"/>
    <w:rsid w:val="004D1530"/>
    <w:rsid w:val="004D49B9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8"/>
    <w:rsid w:val="005544DC"/>
    <w:rsid w:val="00554A9F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4FD7"/>
    <w:rsid w:val="006C53CB"/>
    <w:rsid w:val="006C7824"/>
    <w:rsid w:val="006D0B09"/>
    <w:rsid w:val="006D0C93"/>
    <w:rsid w:val="006D344D"/>
    <w:rsid w:val="006D3AAD"/>
    <w:rsid w:val="006D3F4A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3A"/>
    <w:rsid w:val="00763BBB"/>
    <w:rsid w:val="007648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51CB"/>
    <w:rsid w:val="008C5837"/>
    <w:rsid w:val="008C5FF4"/>
    <w:rsid w:val="008D0246"/>
    <w:rsid w:val="008D0A58"/>
    <w:rsid w:val="008D0BC9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A6C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1970"/>
    <w:rsid w:val="00A52357"/>
    <w:rsid w:val="00A53120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3B0E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85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0C3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5027B"/>
    <w:rsid w:val="00B51BF0"/>
    <w:rsid w:val="00B51DEF"/>
    <w:rsid w:val="00B528BF"/>
    <w:rsid w:val="00B528DA"/>
    <w:rsid w:val="00B52A94"/>
    <w:rsid w:val="00B53A51"/>
    <w:rsid w:val="00B54B6D"/>
    <w:rsid w:val="00B567B5"/>
    <w:rsid w:val="00B621CB"/>
    <w:rsid w:val="00B628AF"/>
    <w:rsid w:val="00B62B19"/>
    <w:rsid w:val="00B62BFE"/>
    <w:rsid w:val="00B64425"/>
    <w:rsid w:val="00B64AB6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0DF6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EBB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A12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A66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88F"/>
    <w:rsid w:val="00EB2BCF"/>
    <w:rsid w:val="00EB3FA7"/>
    <w:rsid w:val="00EB46C7"/>
    <w:rsid w:val="00EB5AF6"/>
    <w:rsid w:val="00EB64A1"/>
    <w:rsid w:val="00EC0C86"/>
    <w:rsid w:val="00EC1315"/>
    <w:rsid w:val="00EC1B89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B90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982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01C0-32F5-4AE7-9AD0-39796D5E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2017-10-13T06:44:00Z</cp:lastPrinted>
  <dcterms:created xsi:type="dcterms:W3CDTF">2017-10-13T07:47:00Z</dcterms:created>
  <dcterms:modified xsi:type="dcterms:W3CDTF">2017-10-13T07:47:00Z</dcterms:modified>
</cp:coreProperties>
</file>