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FF4B16">
        <w:rPr>
          <w:rFonts w:ascii="Cambria" w:hAnsi="Cambria" w:cs="Arial"/>
        </w:rPr>
        <w:t>1</w:t>
      </w:r>
      <w:r w:rsidR="008E6100">
        <w:rPr>
          <w:rFonts w:ascii="Cambria" w:hAnsi="Cambria" w:cs="Arial"/>
        </w:rPr>
        <w:t>4</w:t>
      </w:r>
      <w:r w:rsidRPr="007D42C2">
        <w:rPr>
          <w:rFonts w:ascii="Cambria" w:hAnsi="Cambria" w:cs="Arial"/>
        </w:rPr>
        <w:t>/201</w:t>
      </w:r>
      <w:r w:rsidR="00FF4B16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 dňa </w:t>
      </w:r>
      <w:r w:rsidR="008E6100">
        <w:rPr>
          <w:rFonts w:ascii="Cambria" w:hAnsi="Cambria" w:cs="Arial"/>
        </w:rPr>
        <w:t>17</w:t>
      </w:r>
      <w:r w:rsidRPr="007D42C2">
        <w:rPr>
          <w:rFonts w:ascii="Cambria" w:hAnsi="Cambria" w:cs="Arial"/>
        </w:rPr>
        <w:t xml:space="preserve">. </w:t>
      </w:r>
      <w:r w:rsidR="00FF4B16">
        <w:rPr>
          <w:rFonts w:ascii="Cambria" w:hAnsi="Cambria" w:cs="Arial"/>
        </w:rPr>
        <w:t>06</w:t>
      </w:r>
      <w:r w:rsidRPr="007D42C2">
        <w:rPr>
          <w:rFonts w:ascii="Cambria" w:hAnsi="Cambria" w:cs="Arial"/>
        </w:rPr>
        <w:t>. 201</w:t>
      </w:r>
      <w:r w:rsidR="00FF4B16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Kontrola úloh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Dodatok k rozpisu dotácie na rok 2015 (D. Faktor)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Aktualizácia dlhodobého zámeru – vyhodnotenie indikátorov (R. Redhammer)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 xml:space="preserve">Plán činností na zabezpečenie plnenia Dlhodobého zámeru STU v roku 2015 </w:t>
      </w:r>
      <w:r>
        <w:rPr>
          <w:rFonts w:asciiTheme="majorHAnsi" w:hAnsiTheme="majorHAnsi"/>
          <w:sz w:val="18"/>
          <w:szCs w:val="18"/>
        </w:rPr>
        <w:br/>
      </w:r>
      <w:r w:rsidRPr="001816A5">
        <w:rPr>
          <w:rFonts w:asciiTheme="majorHAnsi" w:hAnsiTheme="majorHAnsi"/>
          <w:sz w:val="18"/>
          <w:szCs w:val="18"/>
        </w:rPr>
        <w:t>(R. Redhammer)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Harmonogram rokovaní na I. akademický polrok 2015/2016 (R. Redhammer)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 xml:space="preserve">Riešenie spôsobu napájania objektov spoločnosti P1, s. r. o. elektrickou energiou </w:t>
      </w:r>
      <w:r>
        <w:rPr>
          <w:rFonts w:asciiTheme="majorHAnsi" w:hAnsiTheme="majorHAnsi"/>
          <w:sz w:val="18"/>
          <w:szCs w:val="18"/>
        </w:rPr>
        <w:br/>
      </w:r>
      <w:r w:rsidRPr="001816A5">
        <w:rPr>
          <w:rFonts w:asciiTheme="majorHAnsi" w:hAnsiTheme="majorHAnsi" w:cs="Arial"/>
          <w:bCs/>
          <w:sz w:val="18"/>
          <w:szCs w:val="18"/>
        </w:rPr>
        <w:t>(O. Moravčík)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 w:cs="Helvetica"/>
          <w:sz w:val="18"/>
          <w:szCs w:val="18"/>
        </w:rPr>
        <w:t xml:space="preserve">Návrh na schválenie štatútu Rád ubytovaných študentov STU (J. </w:t>
      </w:r>
      <w:proofErr w:type="spellStart"/>
      <w:r w:rsidRPr="001816A5">
        <w:rPr>
          <w:rFonts w:asciiTheme="majorHAnsi" w:hAnsiTheme="majorHAnsi" w:cs="Helvetica"/>
          <w:sz w:val="18"/>
          <w:szCs w:val="18"/>
        </w:rPr>
        <w:t>Híveš</w:t>
      </w:r>
      <w:proofErr w:type="spellEnd"/>
      <w:r w:rsidRPr="001816A5">
        <w:rPr>
          <w:rFonts w:asciiTheme="majorHAnsi" w:hAnsiTheme="majorHAnsi" w:cs="Helvetica"/>
          <w:sz w:val="18"/>
          <w:szCs w:val="18"/>
        </w:rPr>
        <w:t>, iniciatívny materiál)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Návrh na odsúhlasenie NZ (D. Faktor)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Správa o konferencii NICE (Š. Stanko)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Účasť STU na veľtrhu v Kazachstane (Š. Stanko)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Návrh na ZPC  (Š. Stanko)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Informácia z pracovného stretnutie k otázkam prebiehajúcej komplexnej akreditácie činností vysokých škôl v kontexte akademického roka 2015/2016. (Š. Stanko)</w:t>
      </w:r>
    </w:p>
    <w:p w:rsidR="001816A5" w:rsidRDefault="001816A5" w:rsidP="001816A5">
      <w:pPr>
        <w:pStyle w:val="Odsekzoznamu"/>
        <w:numPr>
          <w:ilvl w:val="0"/>
          <w:numId w:val="26"/>
        </w:numPr>
        <w:ind w:left="426" w:hanging="426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Informácia o príprave konferencie UVP konanej v dňoch 1. - 2.  10. 2015 (O. Moravčík)</w:t>
      </w:r>
    </w:p>
    <w:p w:rsidR="001816A5" w:rsidRPr="001816A5" w:rsidRDefault="001816A5" w:rsidP="001816A5">
      <w:pPr>
        <w:pStyle w:val="Odsekzoznamu"/>
        <w:numPr>
          <w:ilvl w:val="0"/>
          <w:numId w:val="26"/>
        </w:numPr>
        <w:ind w:left="426" w:hanging="426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Rôzne</w:t>
      </w:r>
    </w:p>
    <w:p w:rsidR="001816A5" w:rsidRDefault="001816A5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C0FFF" w:rsidRPr="000D61F9" w:rsidRDefault="008C0FFF" w:rsidP="008C0FFF">
      <w:pPr>
        <w:rPr>
          <w:rFonts w:asciiTheme="majorHAnsi" w:hAnsiTheme="majorHAnsi"/>
          <w:sz w:val="18"/>
          <w:szCs w:val="18"/>
        </w:rPr>
      </w:pPr>
      <w:r w:rsidRPr="000D61F9">
        <w:rPr>
          <w:rFonts w:asciiTheme="majorHAnsi" w:hAnsiTheme="majorHAnsi" w:cs="Arial"/>
          <w:sz w:val="18"/>
          <w:szCs w:val="18"/>
        </w:rPr>
        <w:t xml:space="preserve">Na základe žiadosti </w:t>
      </w:r>
      <w:r>
        <w:rPr>
          <w:rFonts w:asciiTheme="majorHAnsi" w:hAnsiTheme="majorHAnsi" w:cs="Arial"/>
          <w:sz w:val="18"/>
          <w:szCs w:val="18"/>
        </w:rPr>
        <w:t>predsedu AS STU</w:t>
      </w:r>
      <w:r w:rsidRPr="000D61F9">
        <w:rPr>
          <w:rFonts w:asciiTheme="majorHAnsi" w:hAnsiTheme="majorHAnsi" w:cs="Arial"/>
          <w:sz w:val="18"/>
          <w:szCs w:val="18"/>
        </w:rPr>
        <w:t xml:space="preserve"> bol bod </w:t>
      </w:r>
      <w:r>
        <w:rPr>
          <w:rFonts w:asciiTheme="majorHAnsi" w:hAnsiTheme="majorHAnsi" w:cs="Arial"/>
          <w:sz w:val="18"/>
          <w:szCs w:val="18"/>
        </w:rPr>
        <w:t>7 „</w:t>
      </w:r>
      <w:r w:rsidRPr="001816A5">
        <w:rPr>
          <w:rFonts w:asciiTheme="majorHAnsi" w:hAnsiTheme="majorHAnsi" w:cs="Helvetica"/>
          <w:sz w:val="18"/>
          <w:szCs w:val="18"/>
        </w:rPr>
        <w:t>Návrh na schválenie štatútu Rád ubytovaných študentov STU</w:t>
      </w:r>
      <w:r>
        <w:rPr>
          <w:rFonts w:asciiTheme="majorHAnsi" w:hAnsiTheme="majorHAnsi" w:cs="Helvetica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 xml:space="preserve"> stiahnutý z programu rokovania.</w:t>
      </w:r>
    </w:p>
    <w:p w:rsidR="008C0FFF" w:rsidRDefault="008C0FFF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816A5" w:rsidRPr="007D42C2" w:rsidRDefault="001816A5" w:rsidP="001816A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1816A5">
      <w:pPr>
        <w:rPr>
          <w:rFonts w:ascii="Cambria" w:hAnsi="Cambria" w:cs="Arial"/>
          <w:sz w:val="18"/>
          <w:szCs w:val="18"/>
        </w:rPr>
      </w:pPr>
    </w:p>
    <w:p w:rsidR="001816A5" w:rsidRPr="001816A5" w:rsidRDefault="001816A5" w:rsidP="001816A5">
      <w:pPr>
        <w:pStyle w:val="Odsekzoznamu"/>
        <w:numPr>
          <w:ilvl w:val="0"/>
          <w:numId w:val="30"/>
        </w:numPr>
        <w:ind w:left="426" w:hanging="426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Kontrola úloh</w:t>
      </w:r>
    </w:p>
    <w:p w:rsidR="001816A5" w:rsidRPr="001816A5" w:rsidRDefault="00420EE7" w:rsidP="001816A5">
      <w:pPr>
        <w:pStyle w:val="Odsekzoznamu"/>
        <w:numPr>
          <w:ilvl w:val="0"/>
          <w:numId w:val="3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1816A5" w:rsidRPr="001816A5">
        <w:rPr>
          <w:rFonts w:asciiTheme="majorHAnsi" w:hAnsiTheme="majorHAnsi"/>
          <w:sz w:val="18"/>
          <w:szCs w:val="18"/>
        </w:rPr>
        <w:t>ozpis</w:t>
      </w:r>
      <w:r>
        <w:rPr>
          <w:rFonts w:asciiTheme="majorHAnsi" w:hAnsiTheme="majorHAnsi"/>
          <w:sz w:val="18"/>
          <w:szCs w:val="18"/>
        </w:rPr>
        <w:t xml:space="preserve"> neúčelovej</w:t>
      </w:r>
      <w:r w:rsidR="001816A5" w:rsidRPr="001816A5">
        <w:rPr>
          <w:rFonts w:asciiTheme="majorHAnsi" w:hAnsiTheme="majorHAnsi"/>
          <w:sz w:val="18"/>
          <w:szCs w:val="18"/>
        </w:rPr>
        <w:t xml:space="preserve"> dotácie na rok 2015</w:t>
      </w:r>
      <w:r>
        <w:rPr>
          <w:rFonts w:asciiTheme="majorHAnsi" w:hAnsiTheme="majorHAnsi"/>
          <w:sz w:val="18"/>
          <w:szCs w:val="18"/>
        </w:rPr>
        <w:t xml:space="preserve"> z dodatku č. 4 k Dotačnej zmluve</w:t>
      </w:r>
      <w:r w:rsidR="001816A5" w:rsidRPr="001816A5">
        <w:rPr>
          <w:rFonts w:asciiTheme="majorHAnsi" w:hAnsiTheme="majorHAnsi"/>
          <w:sz w:val="18"/>
          <w:szCs w:val="18"/>
        </w:rPr>
        <w:t xml:space="preserve"> </w:t>
      </w:r>
    </w:p>
    <w:p w:rsidR="001816A5" w:rsidRPr="001816A5" w:rsidRDefault="001816A5" w:rsidP="001816A5">
      <w:pPr>
        <w:pStyle w:val="Odsekzoznamu"/>
        <w:numPr>
          <w:ilvl w:val="0"/>
          <w:numId w:val="3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 xml:space="preserve">Aktualizácia dlhodobého zámeru – vyhodnotenie indikátorov </w:t>
      </w:r>
    </w:p>
    <w:p w:rsidR="001816A5" w:rsidRDefault="001816A5" w:rsidP="001816A5">
      <w:pPr>
        <w:pStyle w:val="Odsekzoznamu"/>
        <w:numPr>
          <w:ilvl w:val="0"/>
          <w:numId w:val="3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Plán činností na zabezpečenie plnenia Dlhodobého zámeru STU v roku 2015</w:t>
      </w:r>
    </w:p>
    <w:p w:rsidR="001816A5" w:rsidRPr="001816A5" w:rsidRDefault="001816A5" w:rsidP="001816A5">
      <w:pPr>
        <w:pStyle w:val="Odsekzoznamu"/>
        <w:numPr>
          <w:ilvl w:val="0"/>
          <w:numId w:val="3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 xml:space="preserve">Harmonogram rokovaní na I. akademický polrok 2015/2016 </w:t>
      </w:r>
    </w:p>
    <w:p w:rsidR="001816A5" w:rsidRPr="001816A5" w:rsidRDefault="001816A5" w:rsidP="001816A5">
      <w:pPr>
        <w:pStyle w:val="Odsekzoznamu"/>
        <w:numPr>
          <w:ilvl w:val="0"/>
          <w:numId w:val="30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 xml:space="preserve">Riešenie spôsobu napájania objektov spoločnosti P1, s. r. o. elektrickou energiou </w:t>
      </w:r>
    </w:p>
    <w:p w:rsidR="001816A5" w:rsidRDefault="001816A5" w:rsidP="001816A5">
      <w:pPr>
        <w:pStyle w:val="Odsekzoznamu"/>
        <w:numPr>
          <w:ilvl w:val="0"/>
          <w:numId w:val="3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 xml:space="preserve">Návrh na odsúhlasenie NZ </w:t>
      </w:r>
    </w:p>
    <w:p w:rsidR="001816A5" w:rsidRPr="001816A5" w:rsidRDefault="001816A5" w:rsidP="001816A5">
      <w:pPr>
        <w:pStyle w:val="Odsekzoznamu"/>
        <w:numPr>
          <w:ilvl w:val="0"/>
          <w:numId w:val="3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 xml:space="preserve">Správa o konferencii NICE </w:t>
      </w:r>
    </w:p>
    <w:p w:rsidR="001816A5" w:rsidRPr="001816A5" w:rsidRDefault="001816A5" w:rsidP="001816A5">
      <w:pPr>
        <w:pStyle w:val="Odsekzoznamu"/>
        <w:numPr>
          <w:ilvl w:val="0"/>
          <w:numId w:val="3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 xml:space="preserve">Účasť STU na veľtrhu v Kazachstane </w:t>
      </w:r>
    </w:p>
    <w:p w:rsidR="001816A5" w:rsidRPr="001816A5" w:rsidRDefault="001816A5" w:rsidP="001816A5">
      <w:pPr>
        <w:pStyle w:val="Odsekzoznamu"/>
        <w:numPr>
          <w:ilvl w:val="0"/>
          <w:numId w:val="3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 xml:space="preserve">Návrh na ZPC  </w:t>
      </w:r>
    </w:p>
    <w:p w:rsidR="001816A5" w:rsidRPr="001816A5" w:rsidRDefault="001816A5" w:rsidP="001816A5">
      <w:pPr>
        <w:pStyle w:val="Odsekzoznamu"/>
        <w:numPr>
          <w:ilvl w:val="0"/>
          <w:numId w:val="30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>Informácia z pracovného stretnutie k otázkam prebiehajúcej komplexnej akreditácie činností vysokých škôl v kontex</w:t>
      </w:r>
      <w:r>
        <w:rPr>
          <w:rFonts w:asciiTheme="majorHAnsi" w:hAnsiTheme="majorHAnsi"/>
          <w:sz w:val="18"/>
          <w:szCs w:val="18"/>
        </w:rPr>
        <w:t>te akademického roka 2015/2016</w:t>
      </w:r>
    </w:p>
    <w:p w:rsidR="001816A5" w:rsidRDefault="001816A5" w:rsidP="001816A5">
      <w:pPr>
        <w:pStyle w:val="Odsekzoznamu"/>
        <w:numPr>
          <w:ilvl w:val="0"/>
          <w:numId w:val="30"/>
        </w:numPr>
        <w:ind w:left="426" w:hanging="426"/>
        <w:rPr>
          <w:rFonts w:asciiTheme="majorHAnsi" w:hAnsiTheme="majorHAnsi"/>
          <w:sz w:val="18"/>
          <w:szCs w:val="18"/>
        </w:rPr>
      </w:pPr>
      <w:r w:rsidRPr="001816A5">
        <w:rPr>
          <w:rFonts w:asciiTheme="majorHAnsi" w:hAnsiTheme="majorHAnsi"/>
          <w:sz w:val="18"/>
          <w:szCs w:val="18"/>
        </w:rPr>
        <w:t xml:space="preserve">Informácia o príprave konferencie UVP konanej v dňoch 1. - 2.  10. 2015 </w:t>
      </w:r>
    </w:p>
    <w:p w:rsidR="001816A5" w:rsidRDefault="001816A5" w:rsidP="001816A5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816A5" w:rsidRDefault="001816A5" w:rsidP="001816A5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816A5" w:rsidRPr="00C5532B" w:rsidRDefault="001816A5" w:rsidP="001816A5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1816A5" w:rsidRPr="00C5532B" w:rsidRDefault="001816A5" w:rsidP="001816A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W w:w="76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2351"/>
        <w:gridCol w:w="915"/>
        <w:gridCol w:w="1315"/>
        <w:gridCol w:w="1089"/>
        <w:gridCol w:w="883"/>
      </w:tblGrid>
      <w:tr w:rsidR="001816A5" w:rsidRPr="00485A3E" w:rsidTr="001B3660">
        <w:trPr>
          <w:trHeight w:val="13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816A5" w:rsidRPr="00485A3E" w:rsidRDefault="001816A5" w:rsidP="001B3660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1816A5" w:rsidRPr="00485A3E" w:rsidRDefault="001816A5" w:rsidP="001B3660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1816A5" w:rsidRPr="00485A3E" w:rsidRDefault="001816A5" w:rsidP="001B3660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1816A5" w:rsidRPr="00485A3E" w:rsidRDefault="001816A5" w:rsidP="001B3660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816A5" w:rsidRPr="00485A3E" w:rsidRDefault="001816A5" w:rsidP="001B3660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1816A5" w:rsidRPr="00485A3E" w:rsidRDefault="001816A5" w:rsidP="001B3660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1816A5" w:rsidRPr="00485A3E" w:rsidTr="001B3660">
        <w:trPr>
          <w:trHeight w:val="3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5" w:rsidRPr="00201447" w:rsidRDefault="001816A5" w:rsidP="001B3660">
            <w:pPr>
              <w:shd w:val="clear" w:color="auto" w:fill="FFFFFF"/>
              <w:ind w:right="-49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201447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42.1/20</w:t>
            </w:r>
            <w:r w:rsidRPr="00201447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14-V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A5" w:rsidRPr="00201447" w:rsidRDefault="001816A5" w:rsidP="001B3660">
            <w:pPr>
              <w:rPr>
                <w:rFonts w:asciiTheme="majorHAnsi" w:hAnsiTheme="majorHAnsi"/>
                <w:sz w:val="16"/>
                <w:szCs w:val="16"/>
              </w:rPr>
            </w:pPr>
            <w:r w:rsidRPr="00201447">
              <w:rPr>
                <w:rFonts w:asciiTheme="majorHAnsi" w:hAnsiTheme="majorHAnsi" w:cs="Calibri"/>
                <w:sz w:val="16"/>
                <w:szCs w:val="16"/>
              </w:rPr>
              <w:t xml:space="preserve">Vedenie STU </w:t>
            </w:r>
            <w:r w:rsidRPr="00201447">
              <w:rPr>
                <w:rFonts w:asciiTheme="majorHAnsi" w:hAnsiTheme="majorHAnsi"/>
                <w:sz w:val="16"/>
                <w:szCs w:val="16"/>
              </w:rPr>
              <w:t>ukladá v súvislosti s návrhom Univerzity Komenského v BA doriešiť otázku vlastníckych vzťahov pozemku v areáli študentských domovov v Mlynskej doline.</w:t>
            </w:r>
          </w:p>
          <w:p w:rsidR="001816A5" w:rsidRPr="00201447" w:rsidRDefault="008C0FFF" w:rsidP="001B3660">
            <w:pPr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Informáciu o priebehu predloží kvestor na zasadnutí vedenia dňa 24.06.2015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A5" w:rsidRPr="00201447" w:rsidRDefault="008759D1" w:rsidP="001B3660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24</w:t>
            </w:r>
            <w:r w:rsidR="001816A5" w:rsidRPr="00201447">
              <w:rPr>
                <w:rFonts w:asciiTheme="majorHAnsi" w:hAnsiTheme="majorHAnsi" w:cs="Calibri"/>
                <w:sz w:val="16"/>
                <w:szCs w:val="16"/>
              </w:rPr>
              <w:t>.0</w:t>
            </w:r>
            <w:r w:rsidR="001816A5">
              <w:rPr>
                <w:rFonts w:asciiTheme="majorHAnsi" w:hAnsiTheme="majorHAnsi" w:cs="Calibri"/>
                <w:sz w:val="16"/>
                <w:szCs w:val="16"/>
              </w:rPr>
              <w:t>6</w:t>
            </w:r>
            <w:r w:rsidR="001816A5" w:rsidRPr="00201447">
              <w:rPr>
                <w:rFonts w:asciiTheme="majorHAnsi" w:hAnsiTheme="majorHAnsi" w:cs="Calibri"/>
                <w:sz w:val="16"/>
                <w:szCs w:val="16"/>
              </w:rPr>
              <w:t>.2015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A5" w:rsidRPr="00201447" w:rsidRDefault="008C0FFF" w:rsidP="001B3660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Kvestor</w:t>
            </w:r>
            <w:r w:rsidR="001816A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A5" w:rsidRPr="00201447" w:rsidRDefault="008C0FFF" w:rsidP="001B3660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16A5" w:rsidRPr="00485A3E" w:rsidRDefault="001816A5" w:rsidP="001B3660">
            <w:pPr>
              <w:jc w:val="center"/>
              <w:rPr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predĺže</w:t>
            </w:r>
            <w:r w:rsidRPr="00485A3E">
              <w:rPr>
                <w:rFonts w:asciiTheme="majorHAnsi" w:hAnsiTheme="majorHAnsi"/>
                <w:b/>
                <w:sz w:val="16"/>
                <w:szCs w:val="16"/>
              </w:rPr>
              <w:t>ná</w:t>
            </w:r>
          </w:p>
        </w:tc>
      </w:tr>
      <w:tr w:rsidR="001816A5" w:rsidRPr="00201447" w:rsidTr="001B3660">
        <w:trPr>
          <w:trHeight w:val="3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A5" w:rsidRPr="00201447" w:rsidRDefault="001816A5" w:rsidP="001B3660">
            <w:pPr>
              <w:shd w:val="clear" w:color="auto" w:fill="FFFFFF"/>
              <w:ind w:right="-86"/>
              <w:jc w:val="both"/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</w:pPr>
            <w:r w:rsidRPr="00201447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11.1/20</w:t>
            </w:r>
            <w:r w:rsidRPr="00201447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15-V</w:t>
            </w:r>
          </w:p>
          <w:p w:rsidR="001816A5" w:rsidRPr="00201447" w:rsidRDefault="001816A5" w:rsidP="001B3660">
            <w:pPr>
              <w:shd w:val="clear" w:color="auto" w:fill="FFFFFF"/>
              <w:ind w:right="284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A5" w:rsidRPr="00201447" w:rsidRDefault="001816A5" w:rsidP="001B3660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201447">
              <w:rPr>
                <w:rFonts w:asciiTheme="majorHAnsi" w:hAnsiTheme="majorHAnsi" w:cs="Calibri"/>
                <w:sz w:val="16"/>
                <w:szCs w:val="16"/>
              </w:rPr>
              <w:t xml:space="preserve">Vedenie STU </w:t>
            </w:r>
            <w:r w:rsidRPr="00201447">
              <w:rPr>
                <w:rFonts w:asciiTheme="majorHAnsi" w:hAnsiTheme="majorHAnsi"/>
                <w:sz w:val="16"/>
                <w:szCs w:val="16"/>
              </w:rPr>
              <w:t>ukladá členom vedenia vypracovať návrh plánu činností na plnenie Dlhodobého zámeru STU na rok 2015.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A5" w:rsidRPr="00201447" w:rsidRDefault="001816A5" w:rsidP="001B3660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17</w:t>
            </w:r>
            <w:r w:rsidRPr="00201447">
              <w:rPr>
                <w:rFonts w:asciiTheme="majorHAnsi" w:hAnsiTheme="majorHAnsi" w:cs="Calibri"/>
                <w:sz w:val="16"/>
                <w:szCs w:val="16"/>
              </w:rPr>
              <w:t>.0</w:t>
            </w:r>
            <w:r>
              <w:rPr>
                <w:rFonts w:asciiTheme="majorHAnsi" w:hAnsiTheme="majorHAnsi" w:cs="Calibri"/>
                <w:sz w:val="16"/>
                <w:szCs w:val="16"/>
              </w:rPr>
              <w:t>6</w:t>
            </w:r>
            <w:r w:rsidRPr="00201447">
              <w:rPr>
                <w:rFonts w:asciiTheme="majorHAnsi" w:hAnsiTheme="majorHAnsi" w:cs="Calibri"/>
                <w:sz w:val="16"/>
                <w:szCs w:val="16"/>
              </w:rPr>
              <w:t>.2015</w:t>
            </w:r>
          </w:p>
          <w:p w:rsidR="001816A5" w:rsidRPr="00201447" w:rsidRDefault="001816A5" w:rsidP="001B3660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6A5" w:rsidRPr="00201447" w:rsidRDefault="001816A5" w:rsidP="001B3660">
            <w:pPr>
              <w:pStyle w:val="Odsekzoznamu"/>
              <w:ind w:left="0" w:right="284"/>
              <w:contextualSpacing w:val="0"/>
              <w:rPr>
                <w:rFonts w:asciiTheme="majorHAnsi" w:hAnsiTheme="majorHAnsi"/>
                <w:sz w:val="16"/>
                <w:szCs w:val="16"/>
              </w:rPr>
            </w:pPr>
            <w:r w:rsidRPr="00201447">
              <w:rPr>
                <w:rFonts w:asciiTheme="majorHAnsi" w:hAnsiTheme="majorHAnsi"/>
                <w:sz w:val="16"/>
                <w:szCs w:val="16"/>
              </w:rPr>
              <w:t>členovia vedenia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6A5" w:rsidRPr="00201447" w:rsidRDefault="001816A5" w:rsidP="001B3660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816A5" w:rsidRPr="00201447" w:rsidRDefault="00A7747D" w:rsidP="001B366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splnená</w:t>
            </w:r>
          </w:p>
        </w:tc>
      </w:tr>
    </w:tbl>
    <w:p w:rsidR="001816A5" w:rsidRDefault="001816A5" w:rsidP="001816A5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1816A5" w:rsidRDefault="001816A5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A7747D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816A5" w:rsidRDefault="001816A5" w:rsidP="001816A5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priebeh plnenia úloh.</w:t>
      </w:r>
    </w:p>
    <w:p w:rsidR="00C11DA1" w:rsidRDefault="00C11DA1" w:rsidP="00B05FAC">
      <w:pPr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C7374" w:rsidRDefault="000F7B91" w:rsidP="00B05FAC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42274">
        <w:rPr>
          <w:rFonts w:ascii="Cambria" w:hAnsi="Cambria" w:cs="Arial"/>
          <w:b/>
          <w:sz w:val="18"/>
          <w:szCs w:val="18"/>
          <w:u w:val="single"/>
        </w:rPr>
        <w:t>K</w:t>
      </w:r>
      <w:r w:rsidR="00040CB9">
        <w:rPr>
          <w:rFonts w:ascii="Cambria" w:hAnsi="Cambria" w:cs="Arial"/>
          <w:b/>
          <w:sz w:val="18"/>
          <w:szCs w:val="18"/>
          <w:u w:val="single"/>
        </w:rPr>
        <w:t> </w:t>
      </w:r>
      <w:r w:rsidRPr="00042274">
        <w:rPr>
          <w:rFonts w:ascii="Cambria" w:hAnsi="Cambria" w:cs="Arial"/>
          <w:b/>
          <w:sz w:val="18"/>
          <w:szCs w:val="18"/>
          <w:u w:val="single"/>
        </w:rPr>
        <w:t>BODU</w:t>
      </w:r>
      <w:r w:rsidR="00040CB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042274">
        <w:rPr>
          <w:rFonts w:ascii="Cambria" w:hAnsi="Cambria" w:cs="Arial"/>
          <w:b/>
          <w:sz w:val="18"/>
          <w:szCs w:val="18"/>
          <w:u w:val="single"/>
        </w:rPr>
        <w:t>2:</w:t>
      </w:r>
      <w:r w:rsidRPr="00042274">
        <w:rPr>
          <w:rFonts w:ascii="Cambria" w:hAnsi="Cambria" w:cs="Arial"/>
          <w:b/>
          <w:sz w:val="18"/>
          <w:szCs w:val="18"/>
        </w:rPr>
        <w:tab/>
      </w:r>
      <w:r w:rsidR="00420EE7" w:rsidRPr="00420EE7">
        <w:rPr>
          <w:rFonts w:asciiTheme="majorHAnsi" w:hAnsiTheme="majorHAnsi"/>
          <w:b/>
          <w:sz w:val="18"/>
          <w:szCs w:val="18"/>
          <w:u w:val="single"/>
        </w:rPr>
        <w:t>Rozpis neúčelovej dotácie na rok 2015 z dodatku č. 4 k Dotačnej zmluve</w:t>
      </w:r>
    </w:p>
    <w:p w:rsidR="00040CB9" w:rsidRPr="000C7374" w:rsidRDefault="00040CB9" w:rsidP="00B05FAC">
      <w:pPr>
        <w:pStyle w:val="Default"/>
        <w:widowControl w:val="0"/>
        <w:adjustRightInd w:val="0"/>
        <w:ind w:left="1410" w:hanging="1410"/>
        <w:jc w:val="both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050216" w:rsidRDefault="000C7374" w:rsidP="00B05FAC">
      <w:pPr>
        <w:ind w:left="1412" w:hanging="1412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420EE7">
        <w:rPr>
          <w:rFonts w:ascii="Cambria" w:hAnsi="Cambria" w:cs="Arial"/>
          <w:sz w:val="18"/>
          <w:szCs w:val="18"/>
        </w:rPr>
        <w:t>kvestor</w:t>
      </w:r>
      <w:r w:rsidR="00116EC1">
        <w:rPr>
          <w:rFonts w:ascii="Cambria" w:hAnsi="Cambria" w:cs="Arial"/>
          <w:sz w:val="18"/>
          <w:szCs w:val="18"/>
        </w:rPr>
        <w:t>.</w:t>
      </w:r>
      <w:r w:rsidR="004522D3">
        <w:rPr>
          <w:rFonts w:ascii="Cambria" w:hAnsi="Cambria" w:cs="Arial"/>
          <w:sz w:val="18"/>
          <w:szCs w:val="18"/>
        </w:rPr>
        <w:t xml:space="preserve"> </w:t>
      </w:r>
      <w:r w:rsidR="00420EE7">
        <w:rPr>
          <w:rFonts w:asciiTheme="majorHAnsi" w:hAnsiTheme="majorHAnsi" w:cs="Arial"/>
          <w:sz w:val="18"/>
          <w:szCs w:val="18"/>
        </w:rPr>
        <w:t>Prizvaná: Ing. Matúšková.</w:t>
      </w:r>
    </w:p>
    <w:p w:rsidR="008E1F4C" w:rsidRDefault="00420EE7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diskusie prorektor Moravčík navrhol </w:t>
      </w:r>
      <w:r w:rsidR="008E1F4C">
        <w:rPr>
          <w:rFonts w:ascii="Cambria" w:hAnsi="Cambria" w:cs="Arial"/>
          <w:sz w:val="18"/>
          <w:szCs w:val="18"/>
        </w:rPr>
        <w:t xml:space="preserve">rozdeliť prevádzkové výdavky na </w:t>
      </w:r>
    </w:p>
    <w:p w:rsidR="008E1F4C" w:rsidRDefault="008E1F4C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Univerziádu a Projektové stredisko (PS) STU rovným dielom. Navýšenie výdavkov na PS STU </w:t>
      </w:r>
    </w:p>
    <w:p w:rsidR="008E1F4C" w:rsidRDefault="008E1F4C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zdôvodnil zvýšenou administráciou a prác súvisiacich s prípravou nového projektu a s </w:t>
      </w:r>
    </w:p>
    <w:p w:rsidR="00420EE7" w:rsidRDefault="008E1F4C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ukončovaním projektov UVP.</w:t>
      </w:r>
    </w:p>
    <w:p w:rsidR="00040CB9" w:rsidRDefault="00040CB9" w:rsidP="00B05FA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8E1F4C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E1F4C" w:rsidRDefault="00147FD6" w:rsidP="00B05FAC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</w:t>
      </w:r>
      <w:r w:rsidR="00FE3318">
        <w:rPr>
          <w:rFonts w:ascii="Cambria" w:hAnsi="Cambria" w:cs="Arial"/>
          <w:sz w:val="18"/>
          <w:szCs w:val="18"/>
        </w:rPr>
        <w:t>edenie</w:t>
      </w:r>
      <w:r>
        <w:rPr>
          <w:rFonts w:ascii="Cambria" w:hAnsi="Cambria" w:cs="Arial"/>
          <w:sz w:val="18"/>
          <w:szCs w:val="18"/>
        </w:rPr>
        <w:t xml:space="preserve"> STU </w:t>
      </w:r>
      <w:r w:rsidR="007E3FA2">
        <w:rPr>
          <w:rFonts w:ascii="Cambria" w:hAnsi="Cambria" w:cs="Arial"/>
          <w:sz w:val="18"/>
          <w:szCs w:val="18"/>
        </w:rPr>
        <w:t xml:space="preserve">schvaľuje </w:t>
      </w:r>
      <w:r w:rsidR="008E1F4C">
        <w:rPr>
          <w:rFonts w:ascii="Cambria" w:hAnsi="Cambria" w:cs="Arial"/>
          <w:sz w:val="18"/>
          <w:szCs w:val="18"/>
        </w:rPr>
        <w:t>r</w:t>
      </w:r>
      <w:r w:rsidR="008E1F4C" w:rsidRPr="001816A5">
        <w:rPr>
          <w:rFonts w:asciiTheme="majorHAnsi" w:hAnsiTheme="majorHAnsi"/>
          <w:sz w:val="18"/>
          <w:szCs w:val="18"/>
        </w:rPr>
        <w:t>ozpis</w:t>
      </w:r>
      <w:r w:rsidR="008E1F4C">
        <w:rPr>
          <w:rFonts w:asciiTheme="majorHAnsi" w:hAnsiTheme="majorHAnsi"/>
          <w:sz w:val="18"/>
          <w:szCs w:val="18"/>
        </w:rPr>
        <w:t xml:space="preserve"> neúčelovej</w:t>
      </w:r>
      <w:r w:rsidR="008E1F4C" w:rsidRPr="001816A5">
        <w:rPr>
          <w:rFonts w:asciiTheme="majorHAnsi" w:hAnsiTheme="majorHAnsi"/>
          <w:sz w:val="18"/>
          <w:szCs w:val="18"/>
        </w:rPr>
        <w:t xml:space="preserve"> dotácie na rok 2015</w:t>
      </w:r>
      <w:r w:rsidR="008E1F4C">
        <w:rPr>
          <w:rFonts w:asciiTheme="majorHAnsi" w:hAnsiTheme="majorHAnsi"/>
          <w:sz w:val="18"/>
          <w:szCs w:val="18"/>
        </w:rPr>
        <w:t xml:space="preserve"> z dodatku č. 4 k Dotačnej zmluve </w:t>
      </w:r>
    </w:p>
    <w:p w:rsidR="004522D3" w:rsidRDefault="008E1F4C" w:rsidP="00B05FAC">
      <w:pPr>
        <w:ind w:left="1412" w:hanging="141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pripomienkou. </w:t>
      </w:r>
    </w:p>
    <w:p w:rsidR="008E1F4C" w:rsidRPr="008E1F4C" w:rsidRDefault="008E1F4C" w:rsidP="00B05FAC">
      <w:pPr>
        <w:ind w:left="1412" w:hanging="1412"/>
        <w:jc w:val="both"/>
        <w:rPr>
          <w:rFonts w:ascii="Cambria" w:hAnsi="Cambria" w:cs="Arial"/>
          <w:sz w:val="18"/>
          <w:szCs w:val="18"/>
          <w:u w:val="single"/>
        </w:rPr>
      </w:pPr>
      <w:r w:rsidRPr="008E1F4C">
        <w:rPr>
          <w:rFonts w:ascii="Cambria" w:hAnsi="Cambria" w:cs="Arial"/>
          <w:sz w:val="18"/>
          <w:szCs w:val="18"/>
          <w:u w:val="single"/>
        </w:rPr>
        <w:t>Pripomienka:</w:t>
      </w:r>
    </w:p>
    <w:p w:rsidR="008E1F4C" w:rsidRDefault="008E1F4C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Vedenie STU odporúča rozpísať neúčelovú dotáciu rovným dielom, tzn. na Univerziádu 2016 – </w:t>
      </w:r>
    </w:p>
    <w:p w:rsidR="008E1F4C" w:rsidRPr="00532221" w:rsidRDefault="008E1F4C" w:rsidP="00B05FAC">
      <w:pPr>
        <w:ind w:left="1412" w:hanging="1412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62 500 EUR a Projektové stredisko STU taktiež 62 500 EUR.</w:t>
      </w:r>
    </w:p>
    <w:p w:rsidR="001451CF" w:rsidRDefault="001451CF" w:rsidP="00B05FAC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E1F4C" w:rsidRPr="00382598" w:rsidRDefault="008E1F4C" w:rsidP="008E1F4C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 w:cs="Arial"/>
          <w:b/>
          <w:sz w:val="18"/>
          <w:szCs w:val="18"/>
          <w:u w:val="single"/>
        </w:rPr>
        <w:t>K BODU 3:</w:t>
      </w:r>
      <w:r w:rsidRPr="00382598">
        <w:rPr>
          <w:rFonts w:asciiTheme="majorHAnsi" w:hAnsiTheme="majorHAnsi" w:cs="Arial"/>
          <w:b/>
          <w:sz w:val="18"/>
          <w:szCs w:val="18"/>
        </w:rPr>
        <w:tab/>
      </w:r>
      <w:r w:rsidRPr="008E1F4C">
        <w:rPr>
          <w:rFonts w:asciiTheme="majorHAnsi" w:hAnsiTheme="majorHAnsi"/>
          <w:b/>
          <w:sz w:val="18"/>
          <w:szCs w:val="18"/>
          <w:u w:val="single"/>
        </w:rPr>
        <w:t>Aktualizácia dlhodobého zámeru – vyhodnotenie indikátorov</w:t>
      </w:r>
    </w:p>
    <w:p w:rsidR="008E1F4C" w:rsidRPr="004A6FA9" w:rsidRDefault="008E1F4C" w:rsidP="008E1F4C">
      <w:pPr>
        <w:tabs>
          <w:tab w:val="left" w:pos="426"/>
        </w:tabs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8E1F4C" w:rsidRDefault="008E1F4C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Materiál uviedol rektor ako vyhodnotenie merateľných ukazovateľov v nadväznosti na </w:t>
      </w:r>
    </w:p>
    <w:p w:rsidR="008E1F4C" w:rsidRDefault="008E1F4C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aktualizáciu DZ STU na roky 2012 - 2017.</w:t>
      </w:r>
    </w:p>
    <w:p w:rsidR="008E1F4C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9080F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E1F4C" w:rsidRDefault="008E1F4C" w:rsidP="0009080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09080F">
        <w:rPr>
          <w:rFonts w:asciiTheme="majorHAnsi" w:hAnsiTheme="majorHAnsi"/>
          <w:sz w:val="18"/>
          <w:szCs w:val="18"/>
        </w:rPr>
        <w:t xml:space="preserve">berie na vedomie </w:t>
      </w:r>
      <w:r w:rsidR="0009080F" w:rsidRPr="001816A5">
        <w:rPr>
          <w:rFonts w:asciiTheme="majorHAnsi" w:hAnsiTheme="majorHAnsi"/>
          <w:sz w:val="18"/>
          <w:szCs w:val="18"/>
        </w:rPr>
        <w:t xml:space="preserve">vyhodnotenie indikátorov </w:t>
      </w:r>
      <w:r w:rsidR="0009080F">
        <w:rPr>
          <w:rFonts w:asciiTheme="majorHAnsi" w:hAnsiTheme="majorHAnsi"/>
          <w:sz w:val="18"/>
          <w:szCs w:val="18"/>
        </w:rPr>
        <w:t>v rámci a</w:t>
      </w:r>
      <w:r w:rsidR="0009080F" w:rsidRPr="001816A5">
        <w:rPr>
          <w:rFonts w:asciiTheme="majorHAnsi" w:hAnsiTheme="majorHAnsi"/>
          <w:sz w:val="18"/>
          <w:szCs w:val="18"/>
        </w:rPr>
        <w:t>ktualizáci</w:t>
      </w:r>
      <w:r w:rsidR="0009080F">
        <w:rPr>
          <w:rFonts w:asciiTheme="majorHAnsi" w:hAnsiTheme="majorHAnsi"/>
          <w:sz w:val="18"/>
          <w:szCs w:val="18"/>
        </w:rPr>
        <w:t>e</w:t>
      </w:r>
      <w:r w:rsidR="0009080F" w:rsidRPr="001816A5">
        <w:rPr>
          <w:rFonts w:asciiTheme="majorHAnsi" w:hAnsiTheme="majorHAnsi"/>
          <w:sz w:val="18"/>
          <w:szCs w:val="18"/>
        </w:rPr>
        <w:t xml:space="preserve"> dlhodobého zámeru </w:t>
      </w:r>
      <w:r w:rsidR="0009080F">
        <w:rPr>
          <w:rFonts w:asciiTheme="majorHAnsi" w:hAnsiTheme="majorHAnsi"/>
          <w:sz w:val="18"/>
          <w:szCs w:val="18"/>
        </w:rPr>
        <w:t>s pripomienkami</w:t>
      </w:r>
      <w:r>
        <w:rPr>
          <w:rFonts w:asciiTheme="majorHAnsi" w:hAnsiTheme="majorHAnsi"/>
          <w:sz w:val="18"/>
          <w:szCs w:val="18"/>
        </w:rPr>
        <w:t>.</w:t>
      </w:r>
    </w:p>
    <w:p w:rsidR="0009080F" w:rsidRDefault="0009080F" w:rsidP="0009080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žiada doplniť podklady aj za ďalšie oblasti, ktoré neboli dodané, prioritne za vedu a výskum s termínom do 24.06.2015.</w:t>
      </w:r>
    </w:p>
    <w:p w:rsidR="008E1F4C" w:rsidRPr="00382598" w:rsidRDefault="008E1F4C" w:rsidP="008E1F4C">
      <w:pPr>
        <w:rPr>
          <w:rFonts w:asciiTheme="majorHAnsi" w:hAnsiTheme="majorHAnsi"/>
          <w:sz w:val="18"/>
          <w:szCs w:val="18"/>
        </w:rPr>
      </w:pPr>
    </w:p>
    <w:p w:rsidR="00DC6047" w:rsidRDefault="00DC6047" w:rsidP="008E1F4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C6047" w:rsidRDefault="00DC6047" w:rsidP="008E1F4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DC6047" w:rsidRDefault="00DC6047" w:rsidP="008E1F4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E1F4C" w:rsidRPr="00172205" w:rsidRDefault="008E1F4C" w:rsidP="008E1F4C">
      <w:pPr>
        <w:ind w:left="1410" w:hanging="1410"/>
        <w:rPr>
          <w:rFonts w:asciiTheme="majorHAnsi" w:hAnsiTheme="majorHAnsi"/>
          <w:sz w:val="18"/>
          <w:szCs w:val="18"/>
        </w:rPr>
      </w:pPr>
      <w:r w:rsidRPr="00172205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 BODU 4:</w:t>
      </w:r>
      <w:r w:rsidRPr="00172205">
        <w:rPr>
          <w:rFonts w:asciiTheme="majorHAnsi" w:hAnsiTheme="majorHAnsi" w:cs="Arial"/>
          <w:b/>
          <w:sz w:val="18"/>
          <w:szCs w:val="18"/>
        </w:rPr>
        <w:tab/>
      </w:r>
      <w:r w:rsidR="0009080F" w:rsidRPr="0009080F">
        <w:rPr>
          <w:rFonts w:asciiTheme="majorHAnsi" w:hAnsiTheme="majorHAnsi"/>
          <w:b/>
          <w:sz w:val="18"/>
          <w:szCs w:val="18"/>
          <w:u w:val="single"/>
        </w:rPr>
        <w:t>Plán činností na zabezpečenie plnenia Dlhodobého zámeru STU v roku 2015</w:t>
      </w:r>
    </w:p>
    <w:p w:rsidR="008E1F4C" w:rsidRPr="00667816" w:rsidRDefault="008E1F4C" w:rsidP="008E1F4C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09080F" w:rsidRDefault="0009080F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Materiál uviedol rektor ako návrh akčného plánu na rok 2015. </w:t>
      </w:r>
    </w:p>
    <w:p w:rsidR="008E1F4C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9080F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E1F4C" w:rsidRPr="004A6FA9" w:rsidRDefault="008E1F4C" w:rsidP="008E1F4C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7B0A98">
        <w:rPr>
          <w:rFonts w:asciiTheme="majorHAnsi" w:hAnsiTheme="majorHAnsi"/>
          <w:sz w:val="18"/>
          <w:szCs w:val="18"/>
        </w:rPr>
        <w:t xml:space="preserve">Vedenie STU </w:t>
      </w:r>
      <w:r w:rsidR="0009080F">
        <w:rPr>
          <w:rFonts w:asciiTheme="majorHAnsi" w:hAnsiTheme="majorHAnsi"/>
          <w:sz w:val="18"/>
          <w:szCs w:val="18"/>
        </w:rPr>
        <w:t>prerokovalo p</w:t>
      </w:r>
      <w:r w:rsidR="0009080F" w:rsidRPr="001816A5">
        <w:rPr>
          <w:rFonts w:asciiTheme="majorHAnsi" w:hAnsiTheme="majorHAnsi"/>
          <w:sz w:val="18"/>
          <w:szCs w:val="18"/>
        </w:rPr>
        <w:t>lán činností na zabezpečenie plnenia Dlhodobého zámeru STU v roku 2015</w:t>
      </w:r>
      <w:r w:rsidR="0009080F">
        <w:rPr>
          <w:rFonts w:asciiTheme="majorHAnsi" w:hAnsiTheme="majorHAnsi"/>
          <w:sz w:val="18"/>
          <w:szCs w:val="18"/>
        </w:rPr>
        <w:t xml:space="preserve"> s pripomienkami. Po zapracovaní pripomienok odporúča predložiť materiál znova na zasadnutie vedenia.</w:t>
      </w:r>
    </w:p>
    <w:p w:rsidR="008E1F4C" w:rsidRDefault="008E1F4C" w:rsidP="008E1F4C">
      <w:pPr>
        <w:spacing w:line="276" w:lineRule="auto"/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E1F4C" w:rsidRPr="003570FE" w:rsidRDefault="008E1F4C" w:rsidP="008E1F4C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3570FE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3570FE">
        <w:rPr>
          <w:rFonts w:asciiTheme="majorHAnsi" w:hAnsiTheme="majorHAnsi" w:cs="Arial"/>
          <w:b/>
          <w:sz w:val="18"/>
          <w:szCs w:val="18"/>
        </w:rPr>
        <w:tab/>
      </w:r>
      <w:r w:rsidR="0009080F" w:rsidRPr="0009080F">
        <w:rPr>
          <w:rFonts w:asciiTheme="majorHAnsi" w:hAnsiTheme="majorHAnsi"/>
          <w:b/>
          <w:sz w:val="18"/>
          <w:szCs w:val="18"/>
          <w:u w:val="single"/>
        </w:rPr>
        <w:t>Harmonogram rokovaní na I. akademický polrok 2015/2016</w:t>
      </w:r>
    </w:p>
    <w:p w:rsidR="008E1F4C" w:rsidRPr="004A6FA9" w:rsidRDefault="008E1F4C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09080F" w:rsidRDefault="0009080F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Materiál prezentoval rektor. </w:t>
      </w:r>
    </w:p>
    <w:p w:rsidR="008E1F4C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9080F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E1F4C" w:rsidRDefault="008E1F4C" w:rsidP="008E1F4C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 w:rsidR="0009080F">
        <w:rPr>
          <w:rFonts w:asciiTheme="majorHAnsi" w:hAnsiTheme="majorHAnsi"/>
          <w:sz w:val="18"/>
          <w:szCs w:val="18"/>
        </w:rPr>
        <w:t>schvaľuje harmonogram rokovaní na I. akademický polrok 2015/2016.</w:t>
      </w:r>
    </w:p>
    <w:p w:rsidR="008E1F4C" w:rsidRDefault="008E1F4C" w:rsidP="008E1F4C">
      <w:pPr>
        <w:ind w:right="284"/>
        <w:rPr>
          <w:rFonts w:asciiTheme="majorHAnsi" w:hAnsiTheme="majorHAnsi"/>
          <w:sz w:val="18"/>
          <w:szCs w:val="18"/>
        </w:rPr>
      </w:pPr>
    </w:p>
    <w:p w:rsidR="008E1F4C" w:rsidRPr="00C37C55" w:rsidRDefault="008E1F4C" w:rsidP="0009080F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5F5E9E">
        <w:rPr>
          <w:rFonts w:asciiTheme="majorHAnsi" w:hAnsiTheme="majorHAnsi" w:cs="Arial"/>
          <w:b/>
          <w:sz w:val="18"/>
          <w:szCs w:val="18"/>
          <w:u w:val="single"/>
        </w:rPr>
        <w:t>K BODU 6:</w:t>
      </w:r>
      <w:r w:rsidRPr="005F5E9E">
        <w:rPr>
          <w:rFonts w:asciiTheme="majorHAnsi" w:hAnsiTheme="majorHAnsi" w:cs="Arial"/>
          <w:b/>
          <w:sz w:val="18"/>
          <w:szCs w:val="18"/>
        </w:rPr>
        <w:tab/>
      </w:r>
      <w:r w:rsidR="0009080F" w:rsidRPr="0009080F">
        <w:rPr>
          <w:rFonts w:asciiTheme="majorHAnsi" w:hAnsiTheme="majorHAnsi"/>
          <w:b/>
          <w:sz w:val="18"/>
          <w:szCs w:val="18"/>
          <w:u w:val="single"/>
        </w:rPr>
        <w:t>Riešenie spôsobu napájania objektov spoločnosti P1, s. r. o. elektrickou energiou</w:t>
      </w:r>
    </w:p>
    <w:p w:rsidR="008E1F4C" w:rsidRPr="003570FE" w:rsidRDefault="008E1F4C" w:rsidP="008E1F4C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8E1F4C" w:rsidRDefault="008E1F4C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09080F">
        <w:rPr>
          <w:rFonts w:asciiTheme="majorHAnsi" w:hAnsiTheme="majorHAnsi" w:cs="Arial"/>
          <w:sz w:val="18"/>
          <w:szCs w:val="18"/>
        </w:rPr>
        <w:t>prorektor Moravčík</w:t>
      </w:r>
      <w:r w:rsidR="00E12232">
        <w:rPr>
          <w:rFonts w:asciiTheme="majorHAnsi" w:hAnsiTheme="majorHAnsi" w:cs="Arial"/>
          <w:sz w:val="18"/>
          <w:szCs w:val="18"/>
        </w:rPr>
        <w:t xml:space="preserve"> ako návrh riešenia na ďalšie prevádzkovanie trafostanice TS0078</w:t>
      </w:r>
      <w:r>
        <w:rPr>
          <w:rFonts w:asciiTheme="majorHAnsi" w:hAnsiTheme="majorHAnsi" w:cs="Arial"/>
          <w:sz w:val="18"/>
          <w:szCs w:val="18"/>
        </w:rPr>
        <w:t>.</w:t>
      </w:r>
    </w:p>
    <w:p w:rsidR="008E1F4C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9080F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E1F4C" w:rsidRPr="00FA2701" w:rsidRDefault="008E1F4C" w:rsidP="008E1F4C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FA2701">
        <w:rPr>
          <w:rFonts w:asciiTheme="majorHAnsi" w:hAnsiTheme="majorHAnsi"/>
          <w:sz w:val="18"/>
          <w:szCs w:val="18"/>
        </w:rPr>
        <w:t xml:space="preserve">Vedenie STU </w:t>
      </w:r>
      <w:r w:rsidR="0009080F">
        <w:rPr>
          <w:rFonts w:asciiTheme="majorHAnsi" w:hAnsiTheme="majorHAnsi"/>
          <w:sz w:val="18"/>
          <w:szCs w:val="18"/>
        </w:rPr>
        <w:t>prerokovalo návrh na r</w:t>
      </w:r>
      <w:r w:rsidR="0009080F" w:rsidRPr="001816A5">
        <w:rPr>
          <w:rFonts w:asciiTheme="majorHAnsi" w:hAnsiTheme="majorHAnsi"/>
          <w:sz w:val="18"/>
          <w:szCs w:val="18"/>
        </w:rPr>
        <w:t>iešenie spôsobu napájania objektov spoločnosti P1, s. r. o. elektrickou energiou</w:t>
      </w:r>
      <w:r w:rsidR="0009080F">
        <w:rPr>
          <w:rFonts w:asciiTheme="majorHAnsi" w:hAnsiTheme="majorHAnsi"/>
          <w:sz w:val="18"/>
          <w:szCs w:val="18"/>
        </w:rPr>
        <w:t xml:space="preserve"> a odporúča predložiť predmetný návrh na zasadnutie Kolégia rektora STU</w:t>
      </w:r>
      <w:r w:rsidRPr="00FA2701">
        <w:rPr>
          <w:rFonts w:asciiTheme="majorHAnsi" w:hAnsiTheme="majorHAnsi"/>
          <w:sz w:val="18"/>
          <w:szCs w:val="18"/>
        </w:rPr>
        <w:t xml:space="preserve">. </w:t>
      </w:r>
    </w:p>
    <w:p w:rsidR="008E1F4C" w:rsidRPr="00FA2701" w:rsidRDefault="008E1F4C" w:rsidP="008E1F4C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8E1F4C" w:rsidRPr="00FA2701" w:rsidRDefault="008E1F4C" w:rsidP="008E1F4C">
      <w:pPr>
        <w:rPr>
          <w:rFonts w:asciiTheme="majorHAnsi" w:hAnsiTheme="majorHAnsi"/>
          <w:sz w:val="18"/>
          <w:szCs w:val="18"/>
        </w:rPr>
      </w:pPr>
      <w:r w:rsidRPr="00FA2701">
        <w:rPr>
          <w:rFonts w:asciiTheme="majorHAnsi" w:hAnsiTheme="majorHAnsi" w:cs="Arial"/>
          <w:b/>
          <w:sz w:val="18"/>
          <w:szCs w:val="18"/>
          <w:u w:val="single"/>
        </w:rPr>
        <w:t>K BODU 7:</w:t>
      </w:r>
      <w:r w:rsidRPr="00FA2701">
        <w:rPr>
          <w:rFonts w:asciiTheme="majorHAnsi" w:hAnsiTheme="majorHAnsi" w:cs="Arial"/>
          <w:b/>
          <w:sz w:val="18"/>
          <w:szCs w:val="18"/>
        </w:rPr>
        <w:tab/>
      </w:r>
      <w:r w:rsidR="00E12232" w:rsidRPr="00E12232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</w:p>
    <w:p w:rsidR="008E1F4C" w:rsidRPr="003570FE" w:rsidRDefault="008E1F4C" w:rsidP="008E1F4C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</w:p>
    <w:p w:rsidR="008E1F4C" w:rsidRDefault="008E1F4C" w:rsidP="008E1F4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8E1F4C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E12232">
        <w:rPr>
          <w:rFonts w:asciiTheme="majorHAnsi" w:hAnsiTheme="majorHAnsi" w:cs="Arial"/>
          <w:b/>
          <w:color w:val="C00000"/>
          <w:sz w:val="18"/>
          <w:szCs w:val="18"/>
        </w:rPr>
        <w:t>14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12232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B3660" w:rsidRDefault="001B3660" w:rsidP="00E54AA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1B3660">
        <w:rPr>
          <w:rFonts w:asciiTheme="majorHAnsi" w:hAnsiTheme="majorHAnsi"/>
          <w:sz w:val="18"/>
          <w:szCs w:val="18"/>
        </w:rPr>
        <w:t>Vedenie STU prerokovalo žiadosti  SvF STU,  </w:t>
      </w:r>
      <w:proofErr w:type="spellStart"/>
      <w:r w:rsidRPr="001B3660">
        <w:rPr>
          <w:rFonts w:asciiTheme="majorHAnsi" w:hAnsiTheme="majorHAnsi"/>
          <w:sz w:val="18"/>
          <w:szCs w:val="18"/>
        </w:rPr>
        <w:t>ÚZ</w:t>
      </w:r>
      <w:proofErr w:type="spellEnd"/>
      <w:r w:rsidRPr="001B366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1B3660">
        <w:rPr>
          <w:rFonts w:asciiTheme="majorHAnsi" w:hAnsiTheme="majorHAnsi"/>
          <w:sz w:val="18"/>
          <w:szCs w:val="18"/>
        </w:rPr>
        <w:t>ŠDaJ</w:t>
      </w:r>
      <w:proofErr w:type="spellEnd"/>
      <w:r w:rsidRPr="001B3660">
        <w:rPr>
          <w:rFonts w:asciiTheme="majorHAnsi" w:hAnsiTheme="majorHAnsi"/>
          <w:sz w:val="18"/>
          <w:szCs w:val="18"/>
        </w:rPr>
        <w:t xml:space="preserve"> STU, </w:t>
      </w:r>
      <w:proofErr w:type="spellStart"/>
      <w:r w:rsidRPr="001B3660">
        <w:rPr>
          <w:rFonts w:asciiTheme="majorHAnsi" w:hAnsiTheme="majorHAnsi"/>
          <w:sz w:val="18"/>
          <w:szCs w:val="18"/>
        </w:rPr>
        <w:t>UTI</w:t>
      </w:r>
      <w:proofErr w:type="spellEnd"/>
      <w:r w:rsidRPr="001B3660">
        <w:rPr>
          <w:rFonts w:asciiTheme="majorHAnsi" w:hAnsiTheme="majorHAnsi"/>
          <w:sz w:val="18"/>
          <w:szCs w:val="18"/>
        </w:rPr>
        <w:t xml:space="preserve"> STU, MTF STU  o nájom nehnuteľného majetku STU uvedeného v bode 1 až 7 tohto materiálu a odporúča rektorovi žiadosti uvedené v bodoch 1 až 7 tohto  materiálu v zmysle článku 3 bod 3 smernice rektora číslo 9/0213-SR predložiť na vyjadrenie predchádzajúceho písomného súhlasu do Akademického senátu STU. </w:t>
      </w:r>
    </w:p>
    <w:p w:rsidR="001B3660" w:rsidRPr="001B3660" w:rsidRDefault="001B3660" w:rsidP="001B3660">
      <w:pPr>
        <w:tabs>
          <w:tab w:val="left" w:pos="1985"/>
        </w:tabs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Richard </w:t>
            </w:r>
            <w:proofErr w:type="spellStart"/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Tahotný</w:t>
            </w:r>
            <w:proofErr w:type="spellEnd"/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Cajlanská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 xml:space="preserve"> 49, 902 01 Pezinok,</w:t>
            </w:r>
          </w:p>
          <w:p w:rsidR="001B3660" w:rsidRDefault="001B366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nájomca je podnikateľom zapísaným na OÚ v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Pezimku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 xml:space="preserve">, živnostenský reg. </w:t>
            </w:r>
          </w:p>
          <w:p w:rsidR="001B3660" w:rsidRPr="001B3660" w:rsidRDefault="001B366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č. 107-13120.  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dočasne nepotrebný majetok, nebytový priestor (NP) nachádzajúci sa  v ŠD Mladosť, Staré grunty 53, Bratislava na zníženom  prízemí  bloku „D1“, internát B  pozostávajúci z miestnosti č. 001- skladový priestor o výmere 42,43m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a č. 002/a –skladový priestor o výmere 21,47m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spolu s 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prísl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>. ako spoločnými priestormi (pomerná časť 1,8m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) chodba a WC na bloku C-D.  Jedná sa  o novú nájomnú zmluvu, 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63,90m</w:t>
            </w:r>
            <w:r w:rsidRPr="001B366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užívanie ako skladové priestory.</w:t>
            </w:r>
          </w:p>
        </w:tc>
      </w:tr>
      <w:tr w:rsidR="001B3660" w:rsidRPr="001B3660" w:rsidTr="001B366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od 01.07.2015 do 30.06.2017</w:t>
            </w:r>
          </w:p>
        </w:tc>
      </w:tr>
      <w:tr w:rsidR="001B3660" w:rsidRPr="001B3660" w:rsidTr="001B3660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miestnosti č. 001 a 002  – 24,00 €/m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/rok  - 1 533,60 € a spoločné priestory (pomerná časť) – 10,00€/m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/rok – 18,00 €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t. j.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1 551,60 €.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1B3660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daného štvrťroka vo výške  387,90 €,</w:t>
            </w:r>
          </w:p>
          <w:p w:rsidR="001B3660" w:rsidRPr="001B3660" w:rsidRDefault="001B3660" w:rsidP="001B366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nájomné je v súlade so  smernicou 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1B3660" w:rsidRPr="001B3660" w:rsidTr="001B366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1B3660" w:rsidRPr="001B3660" w:rsidRDefault="001B3660" w:rsidP="001B366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prenajímateľ  </w:t>
            </w:r>
            <w:r w:rsidRPr="001B366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po uplynutí daného štvrťroka.  Náklady za 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sumou do 15 dní po uplynutí príslušného štvrťroka. Prenajímateľ po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zúčtovacích faktúr od dodávateľov energií vyhotoví nájomcovi vyúčtovaciu faktúru za</w:t>
            </w:r>
          </w:p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1B3660" w:rsidRDefault="001B3660" w:rsidP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1B3660" w:rsidRPr="001B3660" w:rsidRDefault="001B3660" w:rsidP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1B3660" w:rsidRPr="001B3660" w:rsidRDefault="001B3660" w:rsidP="001B3660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OZ Relax a šport,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Staré grunty 53, 842 47 Bratislava,</w:t>
            </w:r>
          </w:p>
          <w:p w:rsidR="001B3660" w:rsidRDefault="001B366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nájomca je občianske združenie registrované na MV SR – č. VVS/1-</w:t>
            </w:r>
          </w:p>
          <w:p w:rsidR="001B3660" w:rsidRPr="001B3660" w:rsidRDefault="001B366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900/90-45341.  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sz w:val="16"/>
                <w:szCs w:val="16"/>
                <w:vertAlign w:val="superscript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dočasne nepotrebný majetok, nebytový priestor (NP) nachádzajúci sa  v ŠD Mladosť, Staré grunty 53, Bratislava na prízemí  bloku „D3“, internát B  pozostávajúci z miestnosti č. 02/A- prevádzkový priestor o výmere 10,90m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a č. 02/B –skladový priestor o výmere 11,94m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 spolu s 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prísl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>. ako spoločnými priestormi (pomerná časť 2,20m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) chodba a WC na bloku C-D.  Jedná sa  o novú nájomnú zmluvu, 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22,84m</w:t>
            </w:r>
            <w:r w:rsidRPr="001B366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užívanie ako skladové priestory.</w:t>
            </w:r>
          </w:p>
        </w:tc>
      </w:tr>
      <w:tr w:rsidR="001B3660" w:rsidRPr="001B3660" w:rsidTr="001B366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od 01.07.2015 do 30.06.2017</w:t>
            </w:r>
          </w:p>
        </w:tc>
      </w:tr>
      <w:tr w:rsidR="001B3660" w:rsidRPr="001B3660" w:rsidTr="001B3660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miestnosť č. 02/A  – 30,00 €/m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/rok  - 327,00€,  miestnosť č. 02/B – 18,00€/m2/rok -  - 214,92 € a spoločné priestory (pomerná časť) – 7,00€/m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/rok – 15,40 €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t. j.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557,32 €.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1B3660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daného štvrťroka vo výške  139,33 €,</w:t>
            </w:r>
          </w:p>
          <w:p w:rsidR="001B3660" w:rsidRPr="001B3660" w:rsidRDefault="001B366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nájomné je v súlade so  smernicou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.</w:t>
            </w:r>
          </w:p>
        </w:tc>
      </w:tr>
      <w:tr w:rsidR="001B3660" w:rsidRPr="001B3660" w:rsidTr="001B366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1B366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</w:t>
            </w:r>
          </w:p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sumou do 15 dní po </w:t>
            </w:r>
          </w:p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uplynutí príslušného štvrťroka. Prenajímateľ po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zúčtovacích </w:t>
            </w:r>
          </w:p>
          <w:p w:rsidR="001B3660" w:rsidRP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faktúr od dodávateľov energií vyhotoví nájomcovi vyúčtovaciu faktúru za</w:t>
            </w:r>
          </w:p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7A26EF" w:rsidRDefault="001B3660" w:rsidP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1B3660" w:rsidRPr="001B3660" w:rsidRDefault="007A26EF" w:rsidP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</w:t>
            </w:r>
            <w:r w:rsidR="001B3660" w:rsidRPr="001B3660">
              <w:rPr>
                <w:rFonts w:asciiTheme="majorHAnsi" w:hAnsiTheme="majorHAnsi"/>
                <w:sz w:val="16"/>
                <w:szCs w:val="16"/>
              </w:rPr>
              <w:t xml:space="preserve">ájomcovi. 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1B3660" w:rsidRPr="001B3660" w:rsidRDefault="001B3660" w:rsidP="001B3660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 w:rsidP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Občianske združenie YNET,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ŠD a J Mladosť, Staré grunty 53, 842 47 Bratislava,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nájomca je občianske združenie registrované na MV SR – č. VVS/1-900/90-17701.  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7A26EF" w:rsidRDefault="001B3660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dočasne nepotrebný majetok, nebytový priestor (NP) nachádzajúci sa  v: </w:t>
            </w:r>
          </w:p>
          <w:p w:rsidR="001B3660" w:rsidRPr="007A26EF" w:rsidRDefault="001B366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A - </w:t>
            </w:r>
            <w:r w:rsidRPr="007A26EF">
              <w:rPr>
                <w:rFonts w:asciiTheme="majorHAnsi" w:hAnsiTheme="majorHAnsi" w:cs="Arabic Typesetting"/>
                <w:b/>
                <w:sz w:val="16"/>
                <w:szCs w:val="16"/>
              </w:rPr>
              <w:t>ŠD Mladosť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, Staré grunty 53, Bratislava na: </w:t>
            </w:r>
          </w:p>
          <w:p w:rsidR="001B3660" w:rsidRPr="007A26EF" w:rsidRDefault="001B3660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a/ bloku „C1“ miestnosti č. 114, 115 a 116o celkovej výmere 42,44m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  <w:p w:rsidR="001B3660" w:rsidRPr="007A26EF" w:rsidRDefault="001B366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lastRenderedPageBreak/>
              <w:t>b/ bloku I – 1. nadzemné podlažie(</w:t>
            </w:r>
            <w:proofErr w:type="spellStart"/>
            <w:r w:rsidRPr="007A26EF">
              <w:rPr>
                <w:rFonts w:asciiTheme="majorHAnsi" w:hAnsiTheme="majorHAnsi"/>
                <w:sz w:val="16"/>
                <w:szCs w:val="16"/>
              </w:rPr>
              <w:t>D-prízemie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>) – miestnosť č. 3 o výmere 36,30m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:rsidR="001B3660" w:rsidRPr="007A26EF" w:rsidRDefault="001B366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c/ bloku I – 1. nadzemné podlažie (</w:t>
            </w:r>
            <w:proofErr w:type="spellStart"/>
            <w:r w:rsidRPr="007A26EF">
              <w:rPr>
                <w:rFonts w:asciiTheme="majorHAnsi" w:hAnsiTheme="majorHAnsi"/>
                <w:sz w:val="16"/>
                <w:szCs w:val="16"/>
              </w:rPr>
              <w:t>D-znížené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 prízemie) – miestnosť č. 027 a 026 spolu</w:t>
            </w:r>
          </w:p>
          <w:p w:rsidR="001B3660" w:rsidRPr="007A26EF" w:rsidRDefault="001B366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   o výmere 73,80m2</w:t>
            </w:r>
          </w:p>
          <w:p w:rsidR="001B3660" w:rsidRPr="007A26EF" w:rsidRDefault="001B366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d/ bloku I – 1. nadzemné podlažie (</w:t>
            </w:r>
            <w:proofErr w:type="spellStart"/>
            <w:r w:rsidRPr="007A26EF">
              <w:rPr>
                <w:rFonts w:asciiTheme="majorHAnsi" w:hAnsiTheme="majorHAnsi"/>
                <w:sz w:val="16"/>
                <w:szCs w:val="16"/>
              </w:rPr>
              <w:t>D-znížené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 prízemie) – miestnosť č. 017 a 019 spolu o výmere 32,82m2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 xml:space="preserve">Prenajímateľ súhlasí s umiestnením kabeláže v spoločných priestorov ŠD a technologických skríň potrebných na chod internátnej siete v miestnostiach č. 05 – blok A1,  č. 01 – blok A2,  č. 01 – blok A3,  č. 01 – blok A4,  č. 01 – blok B1,  č. 01 – blok B2,  č. 01 – blok B3,  č. 04 – blok B4,  č. 05 – blok C1,  č. 01 – blok C2,  č. 01 – blok C3,  č. 01 – C4,  č. 01 – blok D1,  č. 05 – blok D2,  č. 01 – blok D3,  č. 01 – blok D4.  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B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- </w:t>
            </w: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ŠD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Dobrovičova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7A26EF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 č. 14 v Bratislave nachádzajúci sa na 6.poschodí, miestnosť č. 647A o výmere 29,50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Prenajímateľ súhlasí s umiestnením kabeláže a technologických skríň potrebných na chod internetovej siete na spoločných priestorov ŠD, a to na 1., 2., 3., 4., 5. a 6. poschodí.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C 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ŠD </w:t>
            </w:r>
            <w:proofErr w:type="spellStart"/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Nikosa</w:t>
            </w:r>
            <w:proofErr w:type="spellEnd"/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Belojanisa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,  </w:t>
            </w:r>
            <w:proofErr w:type="spellStart"/>
            <w:r w:rsidRPr="007A26EF">
              <w:rPr>
                <w:rFonts w:asciiTheme="majorHAnsi" w:hAnsiTheme="majorHAnsi"/>
                <w:sz w:val="16"/>
                <w:szCs w:val="16"/>
              </w:rPr>
              <w:t>Wilsonova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č. 6 v Bratislave nachádzajúci sa: na 2. poschodí, miestnosť č. 02NB 03 236 o výmere 6,27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a 3. poschodí, miestnosť č. 02NB 04 336 o výmere 7,30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  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Prenajímateľ súhlasí s umiestnením kabeláže a technologických skríň potrebných na chod internátnej siete na spoločných chodbách  ŠD, a to na 1., 2., 3., 4. a 5. poschodí.</w:t>
            </w:r>
          </w:p>
          <w:p w:rsidR="00E54AA0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D 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ŠD Jura Hronca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, Bernolákova ulica č. 1 v Bratislave nachádzajúci sa: 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a/ na bloku B - miestnosť č. 02HB 03 222 o výmere 15,20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b/ na bloku A – miestnosť č. 02HA 04 3006 o výmere 14,44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c/ na bloku B – miestnosť č. 02HB 12 1122 o výmere 15,20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Prenajímateľ súhlasí s umiestnením kabeláže v spoločných priestoroch ŠD a technologických skríň potrebných na chod internátnej siete v miestnostiach č. A1/1 – A11/1,  B1/1 – B11/1,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b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spolu s príslušenstvom nebytového priestoru, ktorý nájomca užíva, a to spoločné priestory – chodba a WC (pomerná časť).  Jedná sa opakujúcu sa nájomnú zmluvu,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>predmet nájmu spolu o výmere 185,36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v ŠD Mladosť,  29,50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v ŠD </w:t>
            </w:r>
            <w:proofErr w:type="spellStart"/>
            <w:r w:rsidRPr="007A26EF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>, 13,57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v ŠD NB a 44,65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v ŠD JH.  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7A26EF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užívanie pre p</w:t>
            </w:r>
            <w:r w:rsidR="007A26EF">
              <w:rPr>
                <w:rFonts w:asciiTheme="majorHAnsi" w:hAnsiTheme="majorHAnsi"/>
                <w:sz w:val="16"/>
                <w:szCs w:val="16"/>
              </w:rPr>
              <w:t>o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>treby zabezpečenia chodu internátnej siete.</w:t>
            </w:r>
          </w:p>
        </w:tc>
      </w:tr>
      <w:tr w:rsidR="001B3660" w:rsidRPr="001B3660" w:rsidTr="001B366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7A26EF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od 01.07.2015 do 30.06.2018</w:t>
            </w:r>
          </w:p>
        </w:tc>
      </w:tr>
      <w:tr w:rsidR="001B3660" w:rsidRPr="001B3660" w:rsidTr="001B3660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7A26EF" w:rsidRDefault="001B3660">
            <w:pPr>
              <w:pStyle w:val="Zkladntext"/>
              <w:rPr>
                <w:rFonts w:asciiTheme="majorHAnsi" w:hAnsiTheme="majorHAnsi"/>
                <w:b/>
                <w:sz w:val="16"/>
                <w:szCs w:val="16"/>
              </w:rPr>
            </w:pP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ŠD Mladosť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7,00 € /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>/ rok (185,36m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) = </w:t>
            </w:r>
            <w:r w:rsidRPr="007A26EF">
              <w:rPr>
                <w:rFonts w:asciiTheme="majorHAnsi" w:hAnsiTheme="majorHAnsi"/>
                <w:i/>
                <w:sz w:val="16"/>
                <w:szCs w:val="16"/>
              </w:rPr>
              <w:t>1.297,52 € ročne</w:t>
            </w: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využitie spoločných priestorov na inštaláciu kabeláže pre ubytovaných študentov v ŠD Mladosť  0,55 € / ubytovaný študent / rok  (1645 počet ubytovaných študentov) = </w:t>
            </w:r>
            <w:r w:rsidRPr="007A26EF">
              <w:rPr>
                <w:rFonts w:asciiTheme="majorHAnsi" w:hAnsiTheme="majorHAnsi"/>
                <w:i/>
                <w:sz w:val="16"/>
                <w:szCs w:val="16"/>
              </w:rPr>
              <w:t>904,75 € ročne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b/>
                <w:sz w:val="16"/>
                <w:szCs w:val="16"/>
              </w:rPr>
            </w:pP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ŠD </w:t>
            </w:r>
            <w:proofErr w:type="spellStart"/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Dobrovičova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7,00 € /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>/ rok (29,50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) =  </w:t>
            </w:r>
            <w:r w:rsidRPr="007A26EF">
              <w:rPr>
                <w:rFonts w:asciiTheme="majorHAnsi" w:hAnsiTheme="majorHAnsi"/>
                <w:i/>
                <w:sz w:val="16"/>
                <w:szCs w:val="16"/>
              </w:rPr>
              <w:t>206,50 € ročne</w:t>
            </w: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využitie spoločných priestorov na inštaláciu kabeláže pre ubytovaných </w:t>
            </w:r>
            <w:r w:rsidRPr="007A26EF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študentov v ŠD </w:t>
            </w:r>
            <w:proofErr w:type="spellStart"/>
            <w:r w:rsidRPr="007A26EF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0,55 € / ubytovaný študent / rok  (555 počet ubytovaných študentov) = </w:t>
            </w:r>
            <w:r w:rsidRPr="007A26EF">
              <w:rPr>
                <w:rFonts w:asciiTheme="majorHAnsi" w:hAnsiTheme="majorHAnsi"/>
                <w:i/>
                <w:sz w:val="16"/>
                <w:szCs w:val="16"/>
              </w:rPr>
              <w:t>305,25 € ročne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b/>
                <w:sz w:val="16"/>
                <w:szCs w:val="16"/>
              </w:rPr>
            </w:pP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ŠD </w:t>
            </w:r>
            <w:proofErr w:type="spellStart"/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Nikosa</w:t>
            </w:r>
            <w:proofErr w:type="spellEnd"/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Belojanisa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7A26EF">
              <w:rPr>
                <w:rFonts w:asciiTheme="majorHAnsi" w:hAnsiTheme="majorHAnsi"/>
                <w:sz w:val="16"/>
                <w:szCs w:val="16"/>
              </w:rPr>
              <w:t>Wilsonova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7,00 € /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>/ rok (13,57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) = </w:t>
            </w:r>
            <w:r w:rsidRPr="007A26EF">
              <w:rPr>
                <w:rFonts w:asciiTheme="majorHAnsi" w:hAnsiTheme="majorHAnsi"/>
                <w:i/>
                <w:sz w:val="16"/>
                <w:szCs w:val="16"/>
              </w:rPr>
              <w:t>94,99 € ročne</w:t>
            </w: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využitie spoločných priestorov na inštaláciu kabeláže pre ubytovaných študentov v ŠD </w:t>
            </w:r>
            <w:proofErr w:type="spellStart"/>
            <w:r w:rsidRPr="007A26EF">
              <w:rPr>
                <w:rFonts w:asciiTheme="majorHAnsi" w:hAnsiTheme="majorHAnsi"/>
                <w:sz w:val="16"/>
                <w:szCs w:val="16"/>
              </w:rPr>
              <w:t>Nikosa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A26EF">
              <w:rPr>
                <w:rFonts w:asciiTheme="majorHAnsi" w:hAnsiTheme="majorHAnsi"/>
                <w:sz w:val="16"/>
                <w:szCs w:val="16"/>
              </w:rPr>
              <w:t>Belojanisa</w:t>
            </w:r>
            <w:proofErr w:type="spellEnd"/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0,55 € / ubytovaný študent / rok  (205 počet ubytovaných študentov) = </w:t>
            </w:r>
            <w:r w:rsidRPr="007A26EF">
              <w:rPr>
                <w:rFonts w:asciiTheme="majorHAnsi" w:hAnsiTheme="majorHAnsi"/>
                <w:i/>
                <w:sz w:val="16"/>
                <w:szCs w:val="16"/>
              </w:rPr>
              <w:t>112,75 € ročne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b/>
                <w:sz w:val="16"/>
                <w:szCs w:val="16"/>
              </w:rPr>
            </w:pP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ŠD Jura Hronca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 7,00 € /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>/ rok (44,84 m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) = </w:t>
            </w:r>
            <w:r w:rsidRPr="007A26EF">
              <w:rPr>
                <w:rFonts w:asciiTheme="majorHAnsi" w:hAnsiTheme="majorHAnsi"/>
                <w:i/>
                <w:sz w:val="16"/>
                <w:szCs w:val="16"/>
              </w:rPr>
              <w:t>313,88 € ročne</w:t>
            </w: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využitie spoločných priestorov na inštaláciu kabeláže pre ubytovaných študentov v ŠD Jura Hronca  0,55 € / ubytovaný študent / rok  (808 počet ubytovaných študentov) </w:t>
            </w:r>
            <w:r w:rsidRPr="007A26EF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= </w:t>
            </w:r>
            <w:r w:rsidRPr="007A26EF">
              <w:rPr>
                <w:rFonts w:asciiTheme="majorHAnsi" w:hAnsiTheme="majorHAnsi"/>
                <w:i/>
                <w:sz w:val="16"/>
                <w:szCs w:val="16"/>
              </w:rPr>
              <w:t>444,40 € ročne</w:t>
            </w: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>,</w:t>
            </w:r>
          </w:p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výška  nájomného ročne je 3 680,04 €. </w:t>
            </w:r>
          </w:p>
          <w:p w:rsidR="001B3660" w:rsidRPr="007A26EF" w:rsidRDefault="001B366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7A26EF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7A26E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>daného štvrťroka vo výške  920,01 €,</w:t>
            </w:r>
          </w:p>
          <w:p w:rsidR="001B3660" w:rsidRPr="007A26EF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>nájomné je v súlade s čl. 5  bod 3 písm. d)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 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>a bod 4 smernice</w:t>
            </w:r>
            <w:r w:rsidRPr="007A26EF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.</w:t>
            </w:r>
          </w:p>
        </w:tc>
      </w:tr>
      <w:tr w:rsidR="001B3660" w:rsidRPr="001B3660" w:rsidTr="001B366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Default="001B3660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1B3660" w:rsidRDefault="001B3660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1B3660" w:rsidRDefault="001B3660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prenajímateľ  zálohovo do 15 dní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po uplynutí príslušného štvrťroka.  </w:t>
            </w:r>
          </w:p>
          <w:p w:rsidR="001B3660" w:rsidRDefault="001B3660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Náklady za dodanie služieb budú fakturované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paušálnou sumou do 15 </w:t>
            </w:r>
          </w:p>
          <w:p w:rsidR="001B3660" w:rsidRPr="001B3660" w:rsidRDefault="001B3660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dní po uplynutí príslušného štvrťroka. Prenajímateľ po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</w:p>
          <w:p w:rsidR="001B3660" w:rsidRDefault="001B3660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nájomcovi </w:t>
            </w:r>
          </w:p>
          <w:p w:rsidR="001B3660" w:rsidRDefault="001B3660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vyúčtovaciu faktúru 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</w:t>
            </w:r>
          </w:p>
          <w:p w:rsidR="001B3660" w:rsidRDefault="001B3660" w:rsidP="001B3660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alebo preplatku zo zúčtovacej faktúry je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15 kalendárnych dní odo dňa </w:t>
            </w:r>
          </w:p>
          <w:p w:rsidR="001B3660" w:rsidRPr="001B3660" w:rsidRDefault="001B3660" w:rsidP="001B3660">
            <w:pPr>
              <w:ind w:left="709" w:hanging="709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doručenia vyúčtovania nájomcovi. 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1B3660" w:rsidRPr="001B3660" w:rsidRDefault="001B3660" w:rsidP="001B3660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5102"/>
      </w:tblGrid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Default="001B366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Občianske združenie </w:t>
            </w:r>
            <w:proofErr w:type="spellStart"/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Ynet</w:t>
            </w:r>
            <w:proofErr w:type="spellEnd"/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ŠD a J Mladosť, Staré grunty 53, 841 04 </w:t>
            </w:r>
          </w:p>
          <w:p w:rsidR="001B3660" w:rsidRDefault="001B3660" w:rsidP="001B366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Bratislava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nájomca je občianske združenie registrované na MV SR pod </w:t>
            </w:r>
          </w:p>
          <w:p w:rsidR="001B3660" w:rsidRPr="001B3660" w:rsidRDefault="001B3660" w:rsidP="001B366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č. VVS/1-900/90-17701-2.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NewRomanPSMT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dočasne nepotrebný majetok, nebytový priestor (NP) nachádzajúci sa  v ŠD Mladosť, Staré grunty 53, Bratislava  pozostávajúci z miestnosti č. 4 – študovňa – na prízemí 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bloku „I“ (</w:t>
            </w:r>
            <w:proofErr w:type="spellStart"/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D-prízemie</w:t>
            </w:r>
            <w:proofErr w:type="spellEnd"/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)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označená ako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netbab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 xml:space="preserve">  o výmere 53,50m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 a miestnosť </w:t>
            </w:r>
            <w:r w:rsidRPr="001B3660">
              <w:rPr>
                <w:rFonts w:asciiTheme="majorHAnsi" w:hAnsiTheme="majorHAnsi" w:cs="TimesNewRomanPSMT"/>
                <w:sz w:val="16"/>
                <w:szCs w:val="16"/>
              </w:rPr>
              <w:t>č. 202 (študovňa) o výmere 40,83 m</w:t>
            </w:r>
            <w:r w:rsidRPr="001B3660">
              <w:rPr>
                <w:rFonts w:asciiTheme="majorHAnsi" w:hAnsiTheme="majorHAnsi" w:cs="TimesNewRomanPSMT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 w:cs="TimesNewRomanPSMT"/>
                <w:sz w:val="16"/>
                <w:szCs w:val="16"/>
              </w:rPr>
              <w:t xml:space="preserve"> , miestnosť č. 210 (študovňa) o výmere 97,44 m</w:t>
            </w:r>
            <w:r w:rsidRPr="001B3660">
              <w:rPr>
                <w:rFonts w:asciiTheme="majorHAnsi" w:hAnsiTheme="majorHAnsi" w:cs="TimesNewRomanPSMT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 w:cs="TimesNewRomanPSMT"/>
                <w:sz w:val="16"/>
                <w:szCs w:val="16"/>
              </w:rPr>
              <w:t xml:space="preserve"> , miestnosť č. 212 (študovňa) o výmere 77,36 m</w:t>
            </w:r>
            <w:r w:rsidRPr="001B3660">
              <w:rPr>
                <w:rFonts w:asciiTheme="majorHAnsi" w:hAnsiTheme="majorHAnsi" w:cs="TimesNewRomanPSMT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 w:cs="TimesNewRomanPSMT"/>
                <w:sz w:val="16"/>
                <w:szCs w:val="16"/>
              </w:rPr>
              <w:t>, miestnosť č. 201 (sociálne zariadenie) o výmere 38,48 m</w:t>
            </w:r>
            <w:r w:rsidRPr="001B3660">
              <w:rPr>
                <w:rFonts w:asciiTheme="majorHAnsi" w:hAnsiTheme="majorHAnsi" w:cs="TimesNewRomanPSMT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 w:cs="TimesNewRomanPSMT"/>
                <w:sz w:val="16"/>
                <w:szCs w:val="16"/>
              </w:rPr>
              <w:t>, miestnosť č. 204/207 (chodba) o výmere 11,30 m</w:t>
            </w:r>
            <w:r w:rsidRPr="001B3660">
              <w:rPr>
                <w:rFonts w:asciiTheme="majorHAnsi" w:hAnsiTheme="majorHAnsi" w:cs="TimesNewRomanPSMT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 w:cs="TimesNewRomanPSMT"/>
                <w:sz w:val="16"/>
                <w:szCs w:val="16"/>
              </w:rPr>
              <w:t>, miestnosť č. 211 (</w:t>
            </w:r>
            <w:proofErr w:type="spellStart"/>
            <w:r w:rsidRPr="001B3660">
              <w:rPr>
                <w:rFonts w:asciiTheme="majorHAnsi" w:hAnsiTheme="majorHAnsi" w:cs="TimesNewRomanPSMT"/>
                <w:sz w:val="16"/>
                <w:szCs w:val="16"/>
              </w:rPr>
              <w:t>serverovňa</w:t>
            </w:r>
            <w:proofErr w:type="spellEnd"/>
            <w:r w:rsidRPr="001B3660">
              <w:rPr>
                <w:rFonts w:asciiTheme="majorHAnsi" w:hAnsiTheme="majorHAnsi" w:cs="TimesNewRomanPSMT"/>
                <w:sz w:val="16"/>
                <w:szCs w:val="16"/>
              </w:rPr>
              <w:t>) o výmere 3,19 m</w:t>
            </w:r>
            <w:r w:rsidRPr="001B3660">
              <w:rPr>
                <w:rFonts w:asciiTheme="majorHAnsi" w:hAnsiTheme="majorHAnsi" w:cs="TimesNewRomanPSMT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 w:cs="TimesNewRomanPSMT"/>
                <w:sz w:val="16"/>
                <w:szCs w:val="16"/>
              </w:rPr>
              <w:t>, miestnosť č. 209 (archív) o výmere 13,58 m</w:t>
            </w:r>
            <w:r w:rsidRPr="001B3660">
              <w:rPr>
                <w:rFonts w:asciiTheme="majorHAnsi" w:hAnsiTheme="majorHAnsi" w:cs="TimesNewRomanPSMT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 w:cs="TimesNewRomanPSMT"/>
                <w:sz w:val="16"/>
                <w:szCs w:val="16"/>
              </w:rPr>
              <w:t>, miestnosť č. 208 (kuchynka) o výmere 13,58 m</w:t>
            </w:r>
            <w:r w:rsidRPr="001B3660">
              <w:rPr>
                <w:rFonts w:asciiTheme="majorHAnsi" w:hAnsiTheme="majorHAnsi" w:cs="TimesNewRomanPSMT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 w:cs="TimesNewRomanPSMT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 w:cs="TimesNewRomanPSMT"/>
                <w:b/>
                <w:sz w:val="16"/>
                <w:szCs w:val="16"/>
              </w:rPr>
              <w:t>na druhom poschodí bloku „C“.</w:t>
            </w:r>
            <w:r w:rsidRPr="001B3660">
              <w:rPr>
                <w:rFonts w:asciiTheme="majorHAnsi" w:hAnsiTheme="majorHAnsi" w:cs="TimesNewRomanPSMT"/>
                <w:sz w:val="16"/>
                <w:szCs w:val="16"/>
                <w:vertAlign w:val="superscript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Jedná sa o opakujúcu sa  nájomnú zmluvu. 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349,26m</w:t>
            </w:r>
            <w:r w:rsidRPr="001B366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využitie NP ako študovňa pre potreby  ubytovaných študentov STU v ŠD Mladosť.</w:t>
            </w:r>
          </w:p>
        </w:tc>
      </w:tr>
      <w:tr w:rsidR="001B3660" w:rsidRPr="001B3660" w:rsidTr="001B366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od 01.07.2015 do 30.06.2018</w:t>
            </w:r>
          </w:p>
        </w:tc>
      </w:tr>
      <w:tr w:rsidR="001B3660" w:rsidRPr="001B3660" w:rsidTr="001B3660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Default="001B3660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zmluvné strany sa dohodli na nájomnom vo výške 1,00€/m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/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ročne, t. </w:t>
            </w:r>
          </w:p>
          <w:p w:rsidR="001B3660" w:rsidRDefault="001B3660" w:rsidP="001B366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j. 349,26 €,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1B3660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</w:t>
            </w:r>
          </w:p>
          <w:p w:rsidR="001B3660" w:rsidRPr="001B3660" w:rsidRDefault="001B3660" w:rsidP="001B366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prvého mesiaca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daného štvrťroka vo výške  87,32 €,</w:t>
            </w:r>
          </w:p>
          <w:p w:rsidR="001B3660" w:rsidRPr="001B3660" w:rsidRDefault="001B366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nájomné je v súlade s čl. 5 bod 3, písm. d)a bod 4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smernice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1  </w:t>
            </w:r>
          </w:p>
        </w:tc>
      </w:tr>
      <w:tr w:rsidR="001B3660" w:rsidRPr="001B3660" w:rsidTr="001B366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1B366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po uplynutí daného štvrťroka.  </w:t>
            </w:r>
          </w:p>
          <w:p w:rsidR="001B3660" w:rsidRP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Náklady za dodanie služieb budú fakturované paušálnou</w:t>
            </w:r>
          </w:p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sumou do 15 dní po uplynutí príslušného štvrťroka. Prenajímateľ po </w:t>
            </w:r>
          </w:p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</w:t>
            </w:r>
          </w:p>
          <w:p w:rsid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nájomcovi vyúčtovaciu faktúru 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</w:t>
            </w:r>
          </w:p>
          <w:p w:rsidR="001B3660" w:rsidRDefault="001B3660" w:rsidP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nedoplatku alebo preplatku zo zúčtovacej faktúry je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15 kalendárnych </w:t>
            </w:r>
          </w:p>
          <w:p w:rsidR="001B3660" w:rsidRPr="001B3660" w:rsidRDefault="001B3660" w:rsidP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dní odo dňa doručenia vyúčtovania nájomcovi. 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1B3660" w:rsidRPr="001B3660" w:rsidRDefault="001B3660" w:rsidP="001B3660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102"/>
      </w:tblGrid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ind w:left="360" w:hanging="326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ANV, s. r. o.,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Pionierska 15, 831 02 Bratislava – Nové Mesto ,</w:t>
            </w:r>
          </w:p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nájomca je podnikateľom zapísaný na OS Bratislava, oddiel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>, vložka č. 72615/B.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dodatkom č. 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sa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znižuje predmet nájmu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zo Zmluvy č. 63/2014 R-STU a jej dodatku č. 1 s dobou platnosti do 30.09.2015; dočasne nepotrebný majetok, nebytové priestory (NP) nachádzajúce sa v administratívnej budove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FEI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 xml:space="preserve"> STU,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Ilkovičova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 xml:space="preserve"> 3, Bratislava, v objekte „D“, druhé poschodie, laboratóriá č. 208 o výmere 40,90m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,  č. 211 o výmere 29,16m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(spolu 70,06m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) kancelársky priestor č. 209 o výmere 22,24m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a č. 210 o výmere 21,44m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 (spolu 43,68m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)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o </w:t>
            </w:r>
            <w:proofErr w:type="spellStart"/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laboratórium-miestnosť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 xml:space="preserve"> č. 212 s výmerou 30,14m2, zároveň preberá laboratórny priestor  na druhom poschodí č. 201 o výmere 64,0 a kanceláriu č. 202 o výmere 19,85m2,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197,59m</w:t>
            </w:r>
            <w:r w:rsidRPr="001B3660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využívanie predmetu nájmu na bežnú podnikateľskú  a laboratórnu činnosť nájomcu</w:t>
            </w:r>
          </w:p>
        </w:tc>
      </w:tr>
      <w:tr w:rsidR="001B3660" w:rsidRPr="001B3660" w:rsidTr="001B3660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do 30.09.2015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b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kancelárie č.202, 209 a 210 /50,00€/m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/rok a laboratóriá č. 208, 211 a 201 /33,00€/m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/rok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t. j. spolu ročne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7 600,48 €. 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 1 900,12 €,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1B3660" w:rsidRPr="001B3660" w:rsidTr="001B3660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7A26EF" w:rsidRDefault="001B3660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7A26EF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7A26EF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7A26EF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1B3660" w:rsidRPr="001B3660" w:rsidTr="001B36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ind w:left="720" w:hanging="720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dekan FEI  STU</w:t>
            </w:r>
          </w:p>
        </w:tc>
      </w:tr>
    </w:tbl>
    <w:p w:rsidR="001B3660" w:rsidRPr="001B3660" w:rsidRDefault="001B3660" w:rsidP="001B3660">
      <w:pPr>
        <w:rPr>
          <w:rFonts w:asciiTheme="majorHAnsi" w:hAnsiTheme="majorHAnsi" w:cstheme="minorBidi"/>
          <w:sz w:val="16"/>
          <w:szCs w:val="16"/>
          <w:lang w:val="en-US"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5103"/>
      </w:tblGrid>
      <w:tr w:rsidR="001B3660" w:rsidRPr="001B3660" w:rsidTr="001B3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E54AA0">
            <w:pPr>
              <w:ind w:left="360" w:hanging="326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 w:rsidR="001B3660" w:rsidRPr="001B366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MUDr. Mikulíková Viera,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praktický lekár pre deti a dorast</w:t>
            </w:r>
          </w:p>
          <w:p w:rsidR="001B3660" w:rsidRPr="001B3660" w:rsidRDefault="001B366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Smolenická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 xml:space="preserve"> 16, 851 05 Bratislava, IČO: 31 762 387</w:t>
            </w:r>
          </w:p>
        </w:tc>
      </w:tr>
      <w:tr w:rsidR="001B3660" w:rsidRPr="001B3660" w:rsidTr="001B3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dodatkom číslo 1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sa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rozčleňuje predmet nájmu podľa účelu nájmu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v zmysle dodatku číslo 1 k smernici rektora č. 9/2013 – SR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, predlžuje sa doba nájmu,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mení sa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nájomné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s ohľadom na rozčlenenie predmetu nájmu podľa účelu jeho užívania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</w:tr>
      <w:tr w:rsidR="001B3660" w:rsidRPr="001B3660" w:rsidTr="001B3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Využívanie predmetu nájmu ako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ambulancia, čakáreň, spoločné chodby, sociálne zariadenie</w:t>
            </w:r>
          </w:p>
        </w:tc>
      </w:tr>
      <w:tr w:rsidR="001B3660" w:rsidRPr="001B3660" w:rsidTr="001B3660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do 30. 9. 2015</w:t>
            </w:r>
          </w:p>
        </w:tc>
      </w:tr>
      <w:tr w:rsidR="001B3660" w:rsidRPr="001B3660" w:rsidTr="001B3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pStyle w:val="Odsekzoznamu"/>
              <w:ind w:left="644" w:hanging="644"/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ambulancia: 34 €/m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/rok (výmera: 14,50 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), t. j. 494,00 € ročne</w:t>
            </w:r>
          </w:p>
          <w:p w:rsidR="001B3660" w:rsidRPr="001B3660" w:rsidRDefault="001B366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čakáreň: 28 €/m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/rok (výmera: 14,50 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), t. j. 406,00 € ročne</w:t>
            </w:r>
          </w:p>
          <w:p w:rsidR="001B3660" w:rsidRPr="001B3660" w:rsidRDefault="001B3660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spoločné chodby: 15 €/m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/rok (výmera:  16,61 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), t. j. 249,15 € ročne </w:t>
            </w:r>
          </w:p>
          <w:p w:rsidR="001B3660" w:rsidRPr="001B3660" w:rsidRDefault="001B3660" w:rsidP="007A26E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sociálne zariadenie: 20 €/m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/rok (výmera:    0,39 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), t. j.  7,80 € ročne</w:t>
            </w:r>
          </w:p>
        </w:tc>
      </w:tr>
      <w:tr w:rsidR="001B3660" w:rsidRPr="001B3660" w:rsidTr="001B366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EF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7A26EF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lastRenderedPageBreak/>
              <w:t>prenajímateľ</w:t>
            </w:r>
            <w:r w:rsidR="007A26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1B3660" w:rsidRPr="001B3660" w:rsidRDefault="001B3660" w:rsidP="007A26E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1B3660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7A26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po uplynutí daného štvrťroka.  Náklady za dodanie služieb budú fakturované paušálnou</w:t>
            </w:r>
          </w:p>
          <w:p w:rsidR="007A26EF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sumou do 15 dní po uplynutí príslušného štvrťroka. Prenajímateľ po </w:t>
            </w:r>
          </w:p>
          <w:p w:rsidR="007A26EF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  <w:r w:rsidR="007A26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</w:t>
            </w:r>
          </w:p>
          <w:p w:rsidR="007A26EF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nájomcovi vyúčtovaciu faktúru za</w:t>
            </w:r>
            <w:r w:rsidR="007A26E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</w:t>
            </w:r>
          </w:p>
          <w:p w:rsidR="001B3660" w:rsidRP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nedoplatku alebo preplatku zo zúčtovacej faktúry je</w:t>
            </w:r>
          </w:p>
          <w:p w:rsidR="001B3660" w:rsidRPr="001B3660" w:rsidRDefault="001B3660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nájomcovi. </w:t>
            </w:r>
          </w:p>
        </w:tc>
      </w:tr>
      <w:tr w:rsidR="001B3660" w:rsidRPr="001B3660" w:rsidTr="001B3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riaditeľ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ÚZ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ŠDaJ</w:t>
            </w:r>
            <w:proofErr w:type="spellEnd"/>
          </w:p>
        </w:tc>
      </w:tr>
      <w:tr w:rsidR="001B3660" w:rsidRPr="001B3660" w:rsidTr="001B3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ind w:right="128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Vedenie STU       prerokovalo dňa: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17.06.2015</w:t>
            </w:r>
          </w:p>
        </w:tc>
      </w:tr>
    </w:tbl>
    <w:p w:rsidR="001B3660" w:rsidRPr="001B3660" w:rsidRDefault="001B3660" w:rsidP="001B3660">
      <w:pPr>
        <w:jc w:val="both"/>
        <w:rPr>
          <w:rFonts w:asciiTheme="majorHAnsi" w:hAnsiTheme="majorHAnsi" w:cstheme="minorBidi"/>
          <w:sz w:val="16"/>
          <w:szCs w:val="16"/>
          <w:lang w:eastAsia="en-US"/>
        </w:rPr>
      </w:pPr>
    </w:p>
    <w:tbl>
      <w:tblPr>
        <w:tblStyle w:val="Mriekatabuky"/>
        <w:tblW w:w="7371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5103"/>
      </w:tblGrid>
      <w:tr w:rsidR="001B3660" w:rsidRPr="001B3660" w:rsidTr="007A2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E54AA0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="001B3660" w:rsidRPr="001B3660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pStyle w:val="Odsekzoznamu"/>
              <w:ind w:left="644" w:hanging="611"/>
              <w:rPr>
                <w:rFonts w:asciiTheme="majorHAnsi" w:hAnsiTheme="majorHAnsi" w:cstheme="minorBidi"/>
                <w:sz w:val="16"/>
                <w:szCs w:val="16"/>
              </w:rPr>
            </w:pPr>
            <w:proofErr w:type="spellStart"/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Alu</w:t>
            </w:r>
            <w:proofErr w:type="spellEnd"/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BauTech</w:t>
            </w:r>
            <w:proofErr w:type="spellEnd"/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, s. r. o.,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Bílikova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 xml:space="preserve"> 1866/10, 841 01 Bratislava</w:t>
            </w:r>
          </w:p>
          <w:p w:rsidR="007A26EF" w:rsidRDefault="001B366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Bratislava, oddiel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</w:rPr>
              <w:t xml:space="preserve">, </w:t>
            </w:r>
          </w:p>
          <w:p w:rsidR="001B3660" w:rsidRPr="001B3660" w:rsidRDefault="001B3660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vložka č. 55801/B </w:t>
            </w:r>
          </w:p>
        </w:tc>
      </w:tr>
      <w:tr w:rsidR="001B3660" w:rsidRPr="001B3660" w:rsidTr="007A2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dodatkom č. 1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sa predlžuje  doba nájmu k Zmluve o nájme nebytových priestorov a hnuteľných vecí č. UTI 1407375 do 30.06.2016 - dočasne nepotrebný majetok   -  nebytový priestor (NP)  – miestnosť č. 347 a 348 nachádzajúca sa na 3. poschodí  budovy UTI na Pionierskej 15, Bratislava a hnuteľné veci nachádzajúce sa v predmetnom NP spolu s pomernou časťou spoločných priestorov (chodba, WC, kuchynka a pod.), ktoré bude nájomca užívať výlučne za  účelom vykonávania podnikateľskej činnosti  podľa výpisu z Obchodného registra SR.   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Celková výmera podlahovej plochy je 29,8m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1B3660" w:rsidRPr="001B3660" w:rsidTr="007A2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vykonávania podnikateľskej činnosti podľa výpisu z Obchodného registra SR.   </w:t>
            </w:r>
          </w:p>
        </w:tc>
      </w:tr>
      <w:tr w:rsidR="001B3660" w:rsidRPr="001B3660" w:rsidTr="007A26E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od 01.07.2015 do 30.06.2016</w:t>
            </w:r>
          </w:p>
        </w:tc>
      </w:tr>
      <w:tr w:rsidR="001B3660" w:rsidRPr="001B3660" w:rsidTr="007A26EF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 xml:space="preserve">Nájomné: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 w:cstheme="minorBid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nájomné NP -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151,50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>€</w:t>
            </w:r>
            <w:r w:rsidRPr="001B3660">
              <w:rPr>
                <w:rFonts w:asciiTheme="majorHAnsi" w:hAnsiTheme="majorHAnsi"/>
                <w:sz w:val="16"/>
                <w:szCs w:val="16"/>
              </w:rPr>
              <w:t xml:space="preserve">/mesačne najneskôr do15.dňa príslušného kalendárneho mesiaca za daný mesiac. Nájomné za hnuteľné veci zaplatí nájomca vždy do 15. dňa príslušného mesiaca vo výške 59,99 €/mes. spolu s úhradou za služby vo výške 111,75 €/mes. </w:t>
            </w: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t. j. spolu  322,83€/mesiac. 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3660">
              <w:rPr>
                <w:rFonts w:asciiTheme="majorHAnsi" w:hAnsiTheme="majorHAnsi"/>
                <w:b/>
                <w:sz w:val="16"/>
                <w:szCs w:val="16"/>
              </w:rPr>
              <w:t xml:space="preserve">ročne:  3 873,96 €.  </w:t>
            </w:r>
          </w:p>
          <w:p w:rsidR="001B3660" w:rsidRPr="001B3660" w:rsidRDefault="001B3660">
            <w:pPr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1B3660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1B3660" w:rsidRPr="001B3660" w:rsidTr="007A26EF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 w:rsidP="007A26EF">
            <w:pPr>
              <w:pStyle w:val="Zkladntext"/>
              <w:rPr>
                <w:rFonts w:asciiTheme="majorHAnsi" w:hAnsiTheme="majorHAnsi"/>
                <w:sz w:val="16"/>
                <w:szCs w:val="16"/>
                <w:lang w:val="en-US"/>
              </w:rPr>
            </w:pPr>
            <w:proofErr w:type="spellStart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>elektrina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>teplo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>TÚV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a 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>SÚV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OLO – 111,75 €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>mesačne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 a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>sú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>súčasťou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>mesačného</w:t>
            </w:r>
            <w:proofErr w:type="spellEnd"/>
            <w:r w:rsidR="007A26EF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>nájomného</w:t>
            </w:r>
            <w:proofErr w:type="spellEnd"/>
            <w:r w:rsidRPr="001B3660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1B3660" w:rsidRPr="001B3660" w:rsidTr="007A2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UTI STU</w:t>
            </w:r>
          </w:p>
        </w:tc>
      </w:tr>
      <w:tr w:rsidR="001B3660" w:rsidRPr="001B3660" w:rsidTr="007A2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60" w:rsidRPr="001B3660" w:rsidRDefault="001B3660">
            <w:pPr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ind w:right="128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Vedenie STU       prerokovalo dňa: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60" w:rsidRPr="001B3660" w:rsidRDefault="001B3660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1B3660">
              <w:rPr>
                <w:rFonts w:asciiTheme="majorHAnsi" w:hAnsiTheme="majorHAnsi"/>
                <w:sz w:val="16"/>
                <w:szCs w:val="16"/>
              </w:rPr>
              <w:t>17.06.2015</w:t>
            </w:r>
          </w:p>
        </w:tc>
      </w:tr>
    </w:tbl>
    <w:p w:rsidR="001B3660" w:rsidRPr="001B3660" w:rsidRDefault="001B3660" w:rsidP="001B3660">
      <w:pPr>
        <w:tabs>
          <w:tab w:val="left" w:pos="1985"/>
        </w:tabs>
        <w:rPr>
          <w:rFonts w:asciiTheme="majorHAnsi" w:hAnsiTheme="majorHAnsi"/>
          <w:sz w:val="16"/>
          <w:szCs w:val="16"/>
        </w:rPr>
      </w:pPr>
    </w:p>
    <w:p w:rsidR="00E84265" w:rsidRDefault="00E84265" w:rsidP="00E8426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E84265" w:rsidRPr="00C37C55" w:rsidRDefault="00E84265" w:rsidP="00E8426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5F5E9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5F5E9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5F5E9E">
        <w:rPr>
          <w:rFonts w:asciiTheme="majorHAnsi" w:hAnsiTheme="majorHAnsi" w:cs="Arial"/>
          <w:b/>
          <w:sz w:val="18"/>
          <w:szCs w:val="18"/>
        </w:rPr>
        <w:tab/>
      </w:r>
      <w:r w:rsidRPr="00E84265">
        <w:rPr>
          <w:rFonts w:asciiTheme="majorHAnsi" w:hAnsiTheme="majorHAnsi"/>
          <w:b/>
          <w:sz w:val="18"/>
          <w:szCs w:val="18"/>
          <w:u w:val="single"/>
        </w:rPr>
        <w:t>Správa o konferencii NICE</w:t>
      </w:r>
    </w:p>
    <w:p w:rsidR="00E84265" w:rsidRPr="003570FE" w:rsidRDefault="00E84265" w:rsidP="00E84265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E84265" w:rsidRDefault="00E84265" w:rsidP="00E8426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Stanko ako informáciu o uskutočnenej medzinárodnej konferencii na STU.</w:t>
      </w:r>
    </w:p>
    <w:p w:rsidR="00E84265" w:rsidRDefault="00E84265" w:rsidP="00E8426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84265" w:rsidRPr="00FA2701" w:rsidRDefault="00E84265" w:rsidP="00E8426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FA2701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berie na vedomie správu o konferencii NICE</w:t>
      </w:r>
      <w:r w:rsidRPr="00FA2701">
        <w:rPr>
          <w:rFonts w:asciiTheme="majorHAnsi" w:hAnsiTheme="majorHAnsi"/>
          <w:sz w:val="18"/>
          <w:szCs w:val="18"/>
        </w:rPr>
        <w:t xml:space="preserve">. </w:t>
      </w:r>
    </w:p>
    <w:p w:rsidR="00E84265" w:rsidRPr="00FA2701" w:rsidRDefault="00E84265" w:rsidP="00E8426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E84265" w:rsidRPr="00C37C55" w:rsidRDefault="00E84265" w:rsidP="00E8426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5F5E9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5F5E9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5F5E9E">
        <w:rPr>
          <w:rFonts w:asciiTheme="majorHAnsi" w:hAnsiTheme="majorHAnsi" w:cs="Arial"/>
          <w:b/>
          <w:sz w:val="18"/>
          <w:szCs w:val="18"/>
        </w:rPr>
        <w:tab/>
      </w:r>
      <w:r w:rsidRPr="00E84265">
        <w:rPr>
          <w:rFonts w:asciiTheme="majorHAnsi" w:hAnsiTheme="majorHAnsi"/>
          <w:b/>
          <w:sz w:val="18"/>
          <w:szCs w:val="18"/>
          <w:u w:val="single"/>
        </w:rPr>
        <w:t>Účasť STU na veľtrhu v Kazachstane</w:t>
      </w:r>
    </w:p>
    <w:p w:rsidR="00E84265" w:rsidRPr="003570FE" w:rsidRDefault="00E84265" w:rsidP="00E84265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E84265" w:rsidRPr="00E84265" w:rsidRDefault="00E84265" w:rsidP="00E8426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E84265">
        <w:rPr>
          <w:rFonts w:asciiTheme="majorHAnsi" w:hAnsiTheme="majorHAnsi" w:cs="Arial"/>
          <w:sz w:val="18"/>
          <w:szCs w:val="18"/>
        </w:rPr>
        <w:t>Materiál uviedol prorektor Stanko.</w:t>
      </w:r>
    </w:p>
    <w:p w:rsidR="00E84265" w:rsidRPr="00E84265" w:rsidRDefault="00E84265" w:rsidP="00E8426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E84265">
        <w:rPr>
          <w:rFonts w:asciiTheme="majorHAnsi" w:hAnsiTheme="majorHAnsi"/>
          <w:sz w:val="18"/>
          <w:szCs w:val="18"/>
        </w:rPr>
        <w:lastRenderedPageBreak/>
        <w:t xml:space="preserve">Účasť STU na veľtrhoch v rámci medzinárodného priestoru je </w:t>
      </w:r>
      <w:proofErr w:type="spellStart"/>
      <w:r w:rsidRPr="00E84265">
        <w:rPr>
          <w:rFonts w:asciiTheme="majorHAnsi" w:hAnsiTheme="majorHAnsi"/>
          <w:sz w:val="18"/>
          <w:szCs w:val="18"/>
        </w:rPr>
        <w:t>žiadúca</w:t>
      </w:r>
      <w:proofErr w:type="spellEnd"/>
      <w:r w:rsidRPr="00E84265">
        <w:rPr>
          <w:rFonts w:asciiTheme="majorHAnsi" w:hAnsiTheme="majorHAnsi"/>
          <w:sz w:val="18"/>
          <w:szCs w:val="18"/>
        </w:rPr>
        <w:t xml:space="preserve"> aktivita pre </w:t>
      </w:r>
    </w:p>
    <w:p w:rsidR="00E84265" w:rsidRPr="00E84265" w:rsidRDefault="00E84265" w:rsidP="00E84265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E84265">
        <w:rPr>
          <w:rFonts w:asciiTheme="majorHAnsi" w:hAnsiTheme="majorHAnsi"/>
          <w:sz w:val="18"/>
          <w:szCs w:val="18"/>
        </w:rPr>
        <w:t xml:space="preserve">zvýšenie povedomia o STU a oslovenie a získanie potenciálnych študentov zo zahraničia </w:t>
      </w:r>
    </w:p>
    <w:p w:rsidR="00E84265" w:rsidRPr="00E84265" w:rsidRDefault="00E84265" w:rsidP="00E8426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  <w:r w:rsidRPr="00E84265">
        <w:rPr>
          <w:rFonts w:asciiTheme="majorHAnsi" w:hAnsiTheme="majorHAnsi"/>
          <w:sz w:val="18"/>
          <w:szCs w:val="18"/>
        </w:rPr>
        <w:t>pre štúdium na fakultách  STU v</w:t>
      </w:r>
      <w:r>
        <w:rPr>
          <w:rFonts w:asciiTheme="majorHAnsi" w:hAnsiTheme="majorHAnsi"/>
          <w:sz w:val="18"/>
          <w:szCs w:val="18"/>
        </w:rPr>
        <w:t> </w:t>
      </w:r>
      <w:r w:rsidRPr="00E84265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.</w:t>
      </w:r>
      <w:r w:rsidRPr="00E84265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E54AA0" w:rsidRDefault="00E54AA0" w:rsidP="00E8426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E84265" w:rsidRDefault="00E84265" w:rsidP="00E8426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84265" w:rsidRPr="00FA2701" w:rsidRDefault="00E84265" w:rsidP="00E8426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FA2701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súhlasí s účasťou zástupcov STU na </w:t>
      </w:r>
      <w:proofErr w:type="spellStart"/>
      <w:r>
        <w:rPr>
          <w:rFonts w:asciiTheme="majorHAnsi" w:hAnsiTheme="majorHAnsi"/>
          <w:sz w:val="18"/>
          <w:szCs w:val="18"/>
        </w:rPr>
        <w:t>European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Higher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Education</w:t>
      </w:r>
      <w:proofErr w:type="spellEnd"/>
      <w:r>
        <w:rPr>
          <w:rFonts w:asciiTheme="majorHAnsi" w:hAnsiTheme="majorHAnsi"/>
          <w:sz w:val="18"/>
          <w:szCs w:val="18"/>
        </w:rPr>
        <w:t xml:space="preserve"> Fair </w:t>
      </w:r>
      <w:proofErr w:type="spellStart"/>
      <w:r>
        <w:rPr>
          <w:rFonts w:asciiTheme="majorHAnsi" w:hAnsiTheme="majorHAnsi"/>
          <w:sz w:val="18"/>
          <w:szCs w:val="18"/>
        </w:rPr>
        <w:t>Kazakhstan</w:t>
      </w:r>
      <w:proofErr w:type="spellEnd"/>
      <w:r>
        <w:rPr>
          <w:rFonts w:asciiTheme="majorHAnsi" w:hAnsiTheme="majorHAnsi"/>
          <w:sz w:val="18"/>
          <w:szCs w:val="18"/>
        </w:rPr>
        <w:t xml:space="preserve"> 2015 a ukladá pripraviť ponuku štúdia na STU pre zahraničných študentov.</w:t>
      </w:r>
      <w:r w:rsidRPr="00FA2701">
        <w:rPr>
          <w:rFonts w:asciiTheme="majorHAnsi" w:hAnsiTheme="majorHAnsi"/>
          <w:sz w:val="18"/>
          <w:szCs w:val="18"/>
        </w:rPr>
        <w:t xml:space="preserve"> </w:t>
      </w:r>
    </w:p>
    <w:p w:rsidR="00E84265" w:rsidRPr="00FA2701" w:rsidRDefault="00E84265" w:rsidP="00E8426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E84265" w:rsidRPr="003570FE" w:rsidRDefault="00E84265" w:rsidP="00E84265">
      <w:pPr>
        <w:spacing w:line="276" w:lineRule="auto"/>
        <w:rPr>
          <w:rFonts w:asciiTheme="majorHAnsi" w:hAnsiTheme="majorHAnsi"/>
          <w:sz w:val="18"/>
          <w:szCs w:val="18"/>
        </w:rPr>
      </w:pPr>
      <w:r w:rsidRPr="003570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3570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3570FE">
        <w:rPr>
          <w:rFonts w:asciiTheme="majorHAnsi" w:hAnsiTheme="majorHAnsi" w:cs="Arial"/>
          <w:b/>
          <w:sz w:val="18"/>
          <w:szCs w:val="18"/>
        </w:rPr>
        <w:tab/>
      </w:r>
      <w:r w:rsidRPr="00F979E9">
        <w:rPr>
          <w:rFonts w:asciiTheme="majorHAnsi" w:hAnsiTheme="majorHAnsi"/>
          <w:b/>
          <w:sz w:val="18"/>
          <w:szCs w:val="18"/>
          <w:u w:val="single"/>
        </w:rPr>
        <w:t>Návrh na ZPC</w:t>
      </w:r>
    </w:p>
    <w:p w:rsidR="00E84265" w:rsidRPr="004A6FA9" w:rsidRDefault="00E84265" w:rsidP="00E8426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E84265" w:rsidRDefault="00E84265" w:rsidP="00E8426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E84265" w:rsidRDefault="00E84265" w:rsidP="00E8426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E84265" w:rsidRDefault="00E84265" w:rsidP="00E84265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zahraničnú pracovnú cestu špecifikovanú v bode 1).</w:t>
      </w:r>
    </w:p>
    <w:p w:rsidR="00E84265" w:rsidRDefault="00E84265" w:rsidP="00E84265">
      <w:pPr>
        <w:ind w:right="284"/>
        <w:rPr>
          <w:rFonts w:asciiTheme="majorHAnsi" w:hAnsiTheme="majorHAnsi"/>
          <w:sz w:val="18"/>
          <w:szCs w:val="18"/>
        </w:rPr>
      </w:pPr>
    </w:p>
    <w:p w:rsidR="00E84265" w:rsidRDefault="00E84265" w:rsidP="00E84265">
      <w:pPr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1)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E84265">
        <w:rPr>
          <w:rFonts w:asciiTheme="majorHAnsi" w:hAnsiTheme="majorHAnsi"/>
          <w:b/>
          <w:bCs/>
          <w:sz w:val="16"/>
          <w:szCs w:val="16"/>
        </w:rPr>
        <w:t>Česká republika, Praha</w:t>
      </w:r>
    </w:p>
    <w:tbl>
      <w:tblPr>
        <w:tblW w:w="7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</w:tblGrid>
      <w:tr w:rsidR="00E84265" w:rsidRPr="00E84265" w:rsidTr="00E8426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394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 xml:space="preserve">Účasť na </w:t>
            </w:r>
            <w:r w:rsidRPr="00E84265">
              <w:rPr>
                <w:rFonts w:asciiTheme="majorHAnsi" w:hAnsiTheme="majorHAnsi"/>
                <w:sz w:val="16"/>
                <w:szCs w:val="16"/>
                <w:lang w:val="en-GB"/>
              </w:rPr>
              <w:t>“</w:t>
            </w:r>
            <w:r w:rsidRPr="00E84265">
              <w:rPr>
                <w:rFonts w:asciiTheme="majorHAnsi" w:hAnsiTheme="majorHAnsi"/>
                <w:sz w:val="16"/>
                <w:szCs w:val="16"/>
                <w:lang w:val="en-US"/>
              </w:rPr>
              <w:t>Co-operation Platform Meeting in Prague”</w:t>
            </w:r>
          </w:p>
        </w:tc>
      </w:tr>
      <w:tr w:rsidR="00E84265" w:rsidRPr="00E84265" w:rsidTr="00E8426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>25.-27.06.2015</w:t>
            </w:r>
          </w:p>
        </w:tc>
      </w:tr>
      <w:tr w:rsidR="00E84265" w:rsidRPr="00E84265" w:rsidTr="00E8426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>Česká republika, Praha</w:t>
            </w:r>
          </w:p>
        </w:tc>
      </w:tr>
      <w:tr w:rsidR="00E84265" w:rsidRPr="00E84265" w:rsidTr="00E8426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>350 €</w:t>
            </w:r>
          </w:p>
        </w:tc>
      </w:tr>
      <w:tr w:rsidR="00E84265" w:rsidRPr="00E84265" w:rsidTr="00E8426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>doc. Ing. Štefan Stanko, PhD. </w:t>
            </w:r>
          </w:p>
        </w:tc>
      </w:tr>
      <w:tr w:rsidR="00E84265" w:rsidRPr="00E84265" w:rsidTr="00E8426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65" w:rsidRPr="00E84265" w:rsidRDefault="00E8426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84265">
              <w:rPr>
                <w:rFonts w:asciiTheme="majorHAnsi" w:hAnsiTheme="majorHAnsi"/>
                <w:sz w:val="16"/>
                <w:szCs w:val="16"/>
              </w:rPr>
              <w:t>1006 dotácia</w:t>
            </w:r>
          </w:p>
        </w:tc>
      </w:tr>
    </w:tbl>
    <w:p w:rsidR="001153F9" w:rsidRDefault="001153F9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E84265" w:rsidRPr="003570FE" w:rsidRDefault="00E84265" w:rsidP="0028285E">
      <w:pPr>
        <w:ind w:left="1412" w:hanging="1412"/>
        <w:rPr>
          <w:rFonts w:asciiTheme="majorHAnsi" w:hAnsiTheme="majorHAnsi"/>
          <w:sz w:val="18"/>
          <w:szCs w:val="18"/>
        </w:rPr>
      </w:pPr>
      <w:r w:rsidRPr="003570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Pr="003570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3570FE">
        <w:rPr>
          <w:rFonts w:asciiTheme="majorHAnsi" w:hAnsiTheme="majorHAnsi" w:cs="Arial"/>
          <w:b/>
          <w:sz w:val="18"/>
          <w:szCs w:val="18"/>
        </w:rPr>
        <w:tab/>
      </w:r>
      <w:r w:rsidR="0028285E" w:rsidRPr="0028285E">
        <w:rPr>
          <w:rFonts w:asciiTheme="majorHAnsi" w:hAnsiTheme="majorHAnsi"/>
          <w:b/>
          <w:sz w:val="18"/>
          <w:szCs w:val="18"/>
          <w:u w:val="single"/>
        </w:rPr>
        <w:t>Informácia z pracovného stretnutie k otázkam prebiehajúcej komplexnej akreditácie činností vysokých škôl v kontexte akademického roka 2015/2016</w:t>
      </w:r>
    </w:p>
    <w:p w:rsidR="00E84265" w:rsidRPr="004A6FA9" w:rsidRDefault="00E84265" w:rsidP="00E8426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E84265" w:rsidRDefault="00E84265" w:rsidP="00E8426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  <w:r w:rsidR="0028285E">
        <w:rPr>
          <w:rFonts w:asciiTheme="majorHAnsi" w:hAnsiTheme="majorHAnsi" w:cs="Arial"/>
          <w:sz w:val="18"/>
          <w:szCs w:val="18"/>
        </w:rPr>
        <w:t>Prizvaná: Mgr. Michelková.</w:t>
      </w:r>
    </w:p>
    <w:p w:rsidR="0028285E" w:rsidRDefault="0028285E" w:rsidP="0028285E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Informácia bola predložená </w:t>
      </w:r>
      <w:r w:rsidRPr="0028285E">
        <w:rPr>
          <w:rFonts w:asciiTheme="majorHAnsi" w:hAnsiTheme="majorHAnsi" w:cstheme="majorHAnsi"/>
          <w:sz w:val="18"/>
          <w:szCs w:val="18"/>
        </w:rPr>
        <w:t>v zmysle § 84 v spojení s § 113af zákona č. 131/2002 Z. z. o vysokých školách a o zmene a doplnení niektorých zákonov v znení neskorších predpisov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28285E" w:rsidRPr="0028285E" w:rsidRDefault="0028285E" w:rsidP="0028285E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Rozsiahlejšia diskusia sa viedla k odporúčanému postupu </w:t>
      </w:r>
      <w:proofErr w:type="spellStart"/>
      <w:r>
        <w:rPr>
          <w:rFonts w:asciiTheme="majorHAnsi" w:hAnsiTheme="majorHAnsi" w:cstheme="majorHAnsi"/>
          <w:sz w:val="18"/>
          <w:szCs w:val="18"/>
        </w:rPr>
        <w:t>MŠVVaŠ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SR vysokým školám pre jednotlivé druhy priznaných práv a možnosti skončenia štúdia študentov zapísaných na existujúce ŠP.</w:t>
      </w:r>
    </w:p>
    <w:p w:rsidR="00E84265" w:rsidRDefault="00E84265" w:rsidP="00E8426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28285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8285E" w:rsidRDefault="00E84265" w:rsidP="00E54AA0">
      <w:pPr>
        <w:ind w:left="1412" w:hanging="1412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 w:rsidR="0028285E">
        <w:rPr>
          <w:rFonts w:asciiTheme="majorHAnsi" w:hAnsiTheme="majorHAnsi"/>
          <w:sz w:val="18"/>
          <w:szCs w:val="18"/>
        </w:rPr>
        <w:t xml:space="preserve">berie na vedomie informáciu </w:t>
      </w:r>
      <w:r w:rsidR="0028285E" w:rsidRPr="0028285E">
        <w:rPr>
          <w:rFonts w:asciiTheme="majorHAnsi" w:hAnsiTheme="majorHAnsi"/>
          <w:sz w:val="18"/>
          <w:szCs w:val="18"/>
        </w:rPr>
        <w:t xml:space="preserve">z pracovného stretnutie k otázkam prebiehajúcej </w:t>
      </w:r>
    </w:p>
    <w:p w:rsidR="0028285E" w:rsidRPr="0028285E" w:rsidRDefault="0028285E" w:rsidP="00E54AA0">
      <w:pPr>
        <w:ind w:left="1412" w:hanging="1412"/>
        <w:rPr>
          <w:rFonts w:asciiTheme="majorHAnsi" w:hAnsiTheme="majorHAnsi"/>
          <w:sz w:val="18"/>
          <w:szCs w:val="18"/>
        </w:rPr>
      </w:pPr>
      <w:r w:rsidRPr="0028285E">
        <w:rPr>
          <w:rFonts w:asciiTheme="majorHAnsi" w:hAnsiTheme="majorHAnsi"/>
          <w:sz w:val="18"/>
          <w:szCs w:val="18"/>
        </w:rPr>
        <w:t>komplexnej akreditácie činností vysokých škôl v kontexte akademického roka 2015/2016</w:t>
      </w:r>
      <w:r>
        <w:rPr>
          <w:rFonts w:asciiTheme="majorHAnsi" w:hAnsiTheme="majorHAnsi"/>
          <w:sz w:val="18"/>
          <w:szCs w:val="18"/>
        </w:rPr>
        <w:t>.</w:t>
      </w:r>
    </w:p>
    <w:p w:rsidR="00E84265" w:rsidRPr="0028285E" w:rsidRDefault="00E84265" w:rsidP="00E84265">
      <w:pPr>
        <w:ind w:right="284"/>
        <w:rPr>
          <w:rFonts w:asciiTheme="majorHAnsi" w:hAnsiTheme="majorHAnsi"/>
          <w:sz w:val="18"/>
          <w:szCs w:val="18"/>
        </w:rPr>
      </w:pPr>
    </w:p>
    <w:p w:rsidR="0028285E" w:rsidRPr="003570FE" w:rsidRDefault="0028285E" w:rsidP="0028285E">
      <w:pPr>
        <w:ind w:left="1412" w:hanging="1412"/>
        <w:rPr>
          <w:rFonts w:asciiTheme="majorHAnsi" w:hAnsiTheme="majorHAnsi"/>
          <w:sz w:val="18"/>
          <w:szCs w:val="18"/>
        </w:rPr>
      </w:pPr>
      <w:r w:rsidRPr="003570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12</w:t>
      </w:r>
      <w:r w:rsidRPr="003570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3570FE">
        <w:rPr>
          <w:rFonts w:asciiTheme="majorHAnsi" w:hAnsiTheme="majorHAnsi" w:cs="Arial"/>
          <w:b/>
          <w:sz w:val="18"/>
          <w:szCs w:val="18"/>
        </w:rPr>
        <w:tab/>
      </w:r>
      <w:r w:rsidRPr="0028285E">
        <w:rPr>
          <w:rFonts w:asciiTheme="majorHAnsi" w:hAnsiTheme="majorHAnsi"/>
          <w:b/>
          <w:sz w:val="18"/>
          <w:szCs w:val="18"/>
          <w:u w:val="single"/>
        </w:rPr>
        <w:t>Informácia o príprave konferencie UVP konanej v dňoch 1. - 2.  10. 2015</w:t>
      </w:r>
    </w:p>
    <w:p w:rsidR="0028285E" w:rsidRPr="004A6FA9" w:rsidRDefault="0028285E" w:rsidP="0028285E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28285E" w:rsidRDefault="0028285E" w:rsidP="0028285E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>prorektor Moravčík. ako informáciu o pripravovanej vedeckej konferencii.</w:t>
      </w:r>
    </w:p>
    <w:p w:rsidR="0028285E" w:rsidRDefault="0028285E" w:rsidP="0028285E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8285E" w:rsidRDefault="0028285E" w:rsidP="0028285E">
      <w:pPr>
        <w:ind w:left="1412" w:hanging="1412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informáciu a súhlasí s </w:t>
      </w:r>
      <w:r w:rsidRPr="0028285E">
        <w:rPr>
          <w:rFonts w:asciiTheme="majorHAnsi" w:hAnsiTheme="majorHAnsi"/>
          <w:sz w:val="18"/>
          <w:szCs w:val="18"/>
        </w:rPr>
        <w:t>príprav</w:t>
      </w:r>
      <w:r>
        <w:rPr>
          <w:rFonts w:asciiTheme="majorHAnsi" w:hAnsiTheme="majorHAnsi"/>
          <w:sz w:val="18"/>
          <w:szCs w:val="18"/>
        </w:rPr>
        <w:t>ou</w:t>
      </w:r>
      <w:r w:rsidRPr="0028285E">
        <w:rPr>
          <w:rFonts w:asciiTheme="majorHAnsi" w:hAnsiTheme="majorHAnsi"/>
          <w:sz w:val="18"/>
          <w:szCs w:val="18"/>
        </w:rPr>
        <w:t xml:space="preserve"> konferencie UVP konanej </w:t>
      </w:r>
    </w:p>
    <w:p w:rsidR="0028285E" w:rsidRDefault="0028285E" w:rsidP="0028285E">
      <w:pPr>
        <w:ind w:left="1412" w:hanging="1412"/>
        <w:rPr>
          <w:rFonts w:asciiTheme="majorHAnsi" w:hAnsiTheme="majorHAnsi"/>
          <w:sz w:val="18"/>
          <w:szCs w:val="18"/>
        </w:rPr>
      </w:pPr>
      <w:r w:rsidRPr="0028285E">
        <w:rPr>
          <w:rFonts w:asciiTheme="majorHAnsi" w:hAnsiTheme="majorHAnsi"/>
          <w:sz w:val="18"/>
          <w:szCs w:val="18"/>
        </w:rPr>
        <w:t>v dňoch 1. - 2. 10. 2015</w:t>
      </w:r>
      <w:r>
        <w:rPr>
          <w:rFonts w:asciiTheme="majorHAnsi" w:hAnsiTheme="majorHAnsi"/>
          <w:sz w:val="18"/>
          <w:szCs w:val="18"/>
        </w:rPr>
        <w:t>.</w:t>
      </w:r>
    </w:p>
    <w:p w:rsidR="000D2B55" w:rsidRDefault="0028285E" w:rsidP="0028285E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odporúča</w:t>
      </w:r>
      <w:r w:rsidR="000D2B55">
        <w:rPr>
          <w:rFonts w:asciiTheme="majorHAnsi" w:hAnsiTheme="majorHAnsi"/>
          <w:sz w:val="18"/>
          <w:szCs w:val="18"/>
        </w:rPr>
        <w:t xml:space="preserve"> rektorovi</w:t>
      </w:r>
      <w:r>
        <w:rPr>
          <w:rFonts w:asciiTheme="majorHAnsi" w:hAnsiTheme="majorHAnsi"/>
          <w:sz w:val="18"/>
          <w:szCs w:val="18"/>
        </w:rPr>
        <w:t xml:space="preserve"> kontaktovať ministra </w:t>
      </w:r>
      <w:proofErr w:type="spellStart"/>
      <w:r>
        <w:rPr>
          <w:rFonts w:asciiTheme="majorHAnsi" w:hAnsiTheme="majorHAnsi"/>
          <w:sz w:val="18"/>
          <w:szCs w:val="18"/>
        </w:rPr>
        <w:t>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</w:t>
      </w:r>
      <w:r w:rsidR="000D2B55">
        <w:rPr>
          <w:rFonts w:asciiTheme="majorHAnsi" w:hAnsiTheme="majorHAnsi"/>
          <w:sz w:val="18"/>
          <w:szCs w:val="18"/>
        </w:rPr>
        <w:t xml:space="preserve">, pozvať ho na uvedené </w:t>
      </w:r>
    </w:p>
    <w:p w:rsidR="0028285E" w:rsidRPr="0028285E" w:rsidRDefault="000D2B55" w:rsidP="0028285E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podujatie a požiadať ho o oficiálne otvorenie </w:t>
      </w:r>
      <w:proofErr w:type="spellStart"/>
      <w:r>
        <w:rPr>
          <w:rFonts w:asciiTheme="majorHAnsi" w:hAnsiTheme="majorHAnsi"/>
          <w:sz w:val="18"/>
          <w:szCs w:val="18"/>
        </w:rPr>
        <w:t>TEM</w:t>
      </w:r>
      <w:proofErr w:type="spellEnd"/>
      <w:r>
        <w:rPr>
          <w:rFonts w:asciiTheme="majorHAnsi" w:hAnsiTheme="majorHAnsi"/>
          <w:sz w:val="18"/>
          <w:szCs w:val="18"/>
        </w:rPr>
        <w:t xml:space="preserve"> – </w:t>
      </w:r>
      <w:proofErr w:type="spellStart"/>
      <w:r>
        <w:rPr>
          <w:rFonts w:asciiTheme="majorHAnsi" w:hAnsiTheme="majorHAnsi"/>
          <w:sz w:val="18"/>
          <w:szCs w:val="18"/>
        </w:rPr>
        <w:t>Transmission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Electron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Microscope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E84265" w:rsidRPr="0028285E" w:rsidRDefault="00E84265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E84265" w:rsidRDefault="00E84265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DC6047" w:rsidRDefault="00DC6047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DC6047" w:rsidRDefault="00DC6047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D11940" w:rsidRDefault="00D11940" w:rsidP="00B05FA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11940" w:rsidRDefault="00D11940" w:rsidP="00B05FAC">
      <w:pPr>
        <w:ind w:right="284"/>
        <w:rPr>
          <w:rFonts w:ascii="Cambria" w:hAnsi="Cambria" w:cs="Arial"/>
          <w:sz w:val="18"/>
          <w:szCs w:val="18"/>
        </w:rPr>
      </w:pPr>
    </w:p>
    <w:p w:rsidR="00D11940" w:rsidRDefault="00D11940" w:rsidP="00B05FA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B05FAC" w:rsidRPr="000D2B55" w:rsidRDefault="000D2B55" w:rsidP="00B05FAC">
      <w:pPr>
        <w:pStyle w:val="Odsekzoznamu"/>
        <w:numPr>
          <w:ilvl w:val="0"/>
          <w:numId w:val="25"/>
        </w:numPr>
        <w:ind w:right="284"/>
        <w:rPr>
          <w:rFonts w:asciiTheme="majorHAnsi" w:hAnsiTheme="majorHAnsi"/>
          <w:sz w:val="18"/>
          <w:szCs w:val="18"/>
        </w:rPr>
      </w:pPr>
      <w:r w:rsidRPr="000D2B55">
        <w:rPr>
          <w:rFonts w:asciiTheme="majorHAnsi" w:hAnsiTheme="majorHAnsi"/>
          <w:sz w:val="18"/>
          <w:szCs w:val="18"/>
        </w:rPr>
        <w:t xml:space="preserve">informoval o požiadavke predsedu SAV navrhnúť </w:t>
      </w:r>
      <w:r w:rsidR="00E54AA0">
        <w:rPr>
          <w:rFonts w:asciiTheme="majorHAnsi" w:hAnsiTheme="majorHAnsi"/>
          <w:sz w:val="18"/>
          <w:szCs w:val="18"/>
        </w:rPr>
        <w:t xml:space="preserve">členov do </w:t>
      </w:r>
      <w:r w:rsidRPr="000D2B55">
        <w:rPr>
          <w:rFonts w:asciiTheme="majorHAnsi" w:hAnsiTheme="majorHAnsi"/>
          <w:sz w:val="18"/>
          <w:szCs w:val="18"/>
        </w:rPr>
        <w:t>pracovn</w:t>
      </w:r>
      <w:r w:rsidR="00E54AA0">
        <w:rPr>
          <w:rFonts w:asciiTheme="majorHAnsi" w:hAnsiTheme="majorHAnsi"/>
          <w:sz w:val="18"/>
          <w:szCs w:val="18"/>
        </w:rPr>
        <w:t>ých</w:t>
      </w:r>
      <w:r w:rsidRPr="000D2B55">
        <w:rPr>
          <w:rFonts w:asciiTheme="majorHAnsi" w:hAnsiTheme="majorHAnsi"/>
          <w:sz w:val="18"/>
          <w:szCs w:val="18"/>
        </w:rPr>
        <w:t xml:space="preserve"> skup</w:t>
      </w:r>
      <w:r w:rsidR="00E54AA0">
        <w:rPr>
          <w:rFonts w:asciiTheme="majorHAnsi" w:hAnsiTheme="majorHAnsi"/>
          <w:sz w:val="18"/>
          <w:szCs w:val="18"/>
        </w:rPr>
        <w:t>ín</w:t>
      </w:r>
      <w:r w:rsidRPr="000D2B55">
        <w:rPr>
          <w:rFonts w:asciiTheme="majorHAnsi" w:hAnsiTheme="majorHAnsi"/>
          <w:sz w:val="18"/>
          <w:szCs w:val="18"/>
        </w:rPr>
        <w:t xml:space="preserve"> pre RIS3</w:t>
      </w:r>
      <w:r w:rsidR="00E54AA0">
        <w:rPr>
          <w:rFonts w:asciiTheme="majorHAnsi" w:hAnsiTheme="majorHAnsi"/>
          <w:sz w:val="18"/>
          <w:szCs w:val="18"/>
        </w:rPr>
        <w:t xml:space="preserve">, v tejto súvislosti požiadal prítomných o ich návrhy s termínom </w:t>
      </w:r>
      <w:proofErr w:type="spellStart"/>
      <w:r w:rsidR="00E54AA0">
        <w:rPr>
          <w:rFonts w:asciiTheme="majorHAnsi" w:hAnsiTheme="majorHAnsi"/>
          <w:sz w:val="18"/>
          <w:szCs w:val="18"/>
        </w:rPr>
        <w:t>asap</w:t>
      </w:r>
      <w:proofErr w:type="spellEnd"/>
      <w:r w:rsidR="00215974" w:rsidRPr="000D2B55">
        <w:rPr>
          <w:rFonts w:asciiTheme="majorHAnsi" w:hAnsiTheme="majorHAnsi"/>
          <w:sz w:val="18"/>
          <w:szCs w:val="18"/>
        </w:rPr>
        <w:t xml:space="preserve"> </w:t>
      </w:r>
    </w:p>
    <w:p w:rsidR="00D11940" w:rsidRPr="000D2B55" w:rsidRDefault="000D2B55" w:rsidP="00B05FAC">
      <w:pPr>
        <w:pStyle w:val="Odsekzoznamu"/>
        <w:numPr>
          <w:ilvl w:val="0"/>
          <w:numId w:val="25"/>
        </w:numPr>
        <w:ind w:right="284"/>
        <w:rPr>
          <w:rFonts w:asciiTheme="majorHAnsi" w:hAnsiTheme="majorHAnsi"/>
          <w:sz w:val="18"/>
          <w:szCs w:val="18"/>
        </w:rPr>
      </w:pPr>
      <w:r w:rsidRPr="000D2B55">
        <w:rPr>
          <w:rFonts w:asciiTheme="majorHAnsi" w:hAnsiTheme="majorHAnsi"/>
          <w:sz w:val="18"/>
          <w:szCs w:val="18"/>
        </w:rPr>
        <w:t xml:space="preserve">vyjadril nespokojnosť s fungovaním APVV, podľa názoru </w:t>
      </w:r>
      <w:r>
        <w:rPr>
          <w:rFonts w:asciiTheme="majorHAnsi" w:hAnsiTheme="majorHAnsi"/>
          <w:sz w:val="18"/>
          <w:szCs w:val="18"/>
        </w:rPr>
        <w:t xml:space="preserve">všetkých prítomných je potrebná </w:t>
      </w:r>
      <w:proofErr w:type="spellStart"/>
      <w:r>
        <w:rPr>
          <w:rFonts w:asciiTheme="majorHAnsi" w:hAnsiTheme="majorHAnsi"/>
          <w:sz w:val="18"/>
          <w:szCs w:val="18"/>
        </w:rPr>
        <w:t>rekonfigurácia</w:t>
      </w:r>
      <w:proofErr w:type="spellEnd"/>
      <w:r>
        <w:rPr>
          <w:rFonts w:asciiTheme="majorHAnsi" w:hAnsiTheme="majorHAnsi"/>
          <w:sz w:val="18"/>
          <w:szCs w:val="18"/>
        </w:rPr>
        <w:t xml:space="preserve"> jej zloženia</w:t>
      </w:r>
    </w:p>
    <w:p w:rsidR="00D11940" w:rsidRDefault="00D11940" w:rsidP="00B05FA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215974">
        <w:rPr>
          <w:rFonts w:asciiTheme="majorHAnsi" w:hAnsiTheme="majorHAnsi"/>
          <w:sz w:val="18"/>
          <w:szCs w:val="18"/>
        </w:rPr>
        <w:t>Moravčík</w:t>
      </w:r>
    </w:p>
    <w:p w:rsidR="00CA314D" w:rsidRDefault="00215974" w:rsidP="00B05FAC">
      <w:pPr>
        <w:pStyle w:val="Odsekzoznamu"/>
        <w:numPr>
          <w:ilvl w:val="0"/>
          <w:numId w:val="2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CA314D">
        <w:rPr>
          <w:rFonts w:asciiTheme="majorHAnsi" w:hAnsiTheme="majorHAnsi"/>
          <w:sz w:val="18"/>
          <w:szCs w:val="18"/>
        </w:rPr>
        <w:t>informoval</w:t>
      </w:r>
      <w:r w:rsidR="00D11940" w:rsidRPr="00CA314D">
        <w:rPr>
          <w:rFonts w:asciiTheme="majorHAnsi" w:hAnsiTheme="majorHAnsi"/>
          <w:sz w:val="18"/>
          <w:szCs w:val="18"/>
        </w:rPr>
        <w:t xml:space="preserve"> členov vedenia o</w:t>
      </w:r>
      <w:r w:rsidR="00CA314D" w:rsidRPr="00CA314D">
        <w:rPr>
          <w:rFonts w:asciiTheme="majorHAnsi" w:hAnsiTheme="majorHAnsi"/>
          <w:sz w:val="18"/>
          <w:szCs w:val="18"/>
        </w:rPr>
        <w:t xml:space="preserve"> ďalšom cykle v rámci prednášok </w:t>
      </w:r>
      <w:proofErr w:type="spellStart"/>
      <w:r w:rsidR="00CA314D" w:rsidRPr="00CA314D">
        <w:rPr>
          <w:rFonts w:asciiTheme="majorHAnsi" w:hAnsiTheme="majorHAnsi"/>
          <w:sz w:val="18"/>
          <w:szCs w:val="18"/>
        </w:rPr>
        <w:t>VIP</w:t>
      </w:r>
      <w:proofErr w:type="spellEnd"/>
      <w:r w:rsidR="00CA314D" w:rsidRPr="00CA314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14D" w:rsidRPr="00CA314D">
        <w:rPr>
          <w:rFonts w:asciiTheme="majorHAnsi" w:hAnsiTheme="majorHAnsi"/>
          <w:sz w:val="18"/>
          <w:szCs w:val="18"/>
        </w:rPr>
        <w:t>College</w:t>
      </w:r>
      <w:proofErr w:type="spellEnd"/>
      <w:r w:rsidR="00CA314D" w:rsidRPr="00CA314D">
        <w:rPr>
          <w:rFonts w:asciiTheme="majorHAnsi" w:hAnsiTheme="majorHAnsi"/>
          <w:sz w:val="18"/>
          <w:szCs w:val="18"/>
        </w:rPr>
        <w:t xml:space="preserve">, dňa 14.07.2015 sa o 10:00 hod. na MTF STU uskutoční prednáška prof. </w:t>
      </w:r>
      <w:proofErr w:type="spellStart"/>
      <w:r w:rsidR="00CA314D" w:rsidRPr="00CA314D">
        <w:rPr>
          <w:rFonts w:asciiTheme="majorHAnsi" w:hAnsiTheme="majorHAnsi"/>
          <w:sz w:val="18"/>
          <w:szCs w:val="18"/>
        </w:rPr>
        <w:t>Dr.h.c</w:t>
      </w:r>
      <w:proofErr w:type="spellEnd"/>
      <w:r w:rsidR="00CA314D" w:rsidRPr="00CA314D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CA314D" w:rsidRPr="00CA314D">
        <w:rPr>
          <w:rFonts w:asciiTheme="majorHAnsi" w:hAnsiTheme="majorHAnsi"/>
          <w:sz w:val="18"/>
          <w:szCs w:val="18"/>
        </w:rPr>
        <w:t>Pfrengleho</w:t>
      </w:r>
      <w:proofErr w:type="spellEnd"/>
      <w:r w:rsidR="00CA314D" w:rsidRPr="00CA314D">
        <w:rPr>
          <w:rFonts w:asciiTheme="majorHAnsi" w:hAnsiTheme="majorHAnsi"/>
          <w:sz w:val="18"/>
          <w:szCs w:val="18"/>
        </w:rPr>
        <w:t xml:space="preserve"> </w:t>
      </w:r>
      <w:r w:rsidR="00CA314D">
        <w:rPr>
          <w:rFonts w:asciiTheme="majorHAnsi" w:hAnsiTheme="majorHAnsi"/>
          <w:sz w:val="18"/>
          <w:szCs w:val="18"/>
        </w:rPr>
        <w:t>na tému „</w:t>
      </w:r>
      <w:proofErr w:type="spellStart"/>
      <w:r w:rsidR="00CA314D">
        <w:rPr>
          <w:rFonts w:asciiTheme="majorHAnsi" w:hAnsiTheme="majorHAnsi"/>
          <w:sz w:val="18"/>
          <w:szCs w:val="18"/>
        </w:rPr>
        <w:t>The</w:t>
      </w:r>
      <w:proofErr w:type="spellEnd"/>
      <w:r w:rsidR="00CA314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14D">
        <w:rPr>
          <w:rFonts w:asciiTheme="majorHAnsi" w:hAnsiTheme="majorHAnsi"/>
          <w:sz w:val="18"/>
          <w:szCs w:val="18"/>
        </w:rPr>
        <w:t>German</w:t>
      </w:r>
      <w:proofErr w:type="spellEnd"/>
      <w:r w:rsidR="00CA314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14D">
        <w:rPr>
          <w:rFonts w:asciiTheme="majorHAnsi" w:hAnsiTheme="majorHAnsi"/>
          <w:sz w:val="18"/>
          <w:szCs w:val="18"/>
        </w:rPr>
        <w:t>Research</w:t>
      </w:r>
      <w:proofErr w:type="spellEnd"/>
      <w:r w:rsidR="00CA314D">
        <w:rPr>
          <w:rFonts w:asciiTheme="majorHAnsi" w:hAnsiTheme="majorHAnsi"/>
          <w:sz w:val="18"/>
          <w:szCs w:val="18"/>
        </w:rPr>
        <w:t xml:space="preserve"> and </w:t>
      </w:r>
      <w:proofErr w:type="spellStart"/>
      <w:r w:rsidR="00CA314D">
        <w:rPr>
          <w:rFonts w:asciiTheme="majorHAnsi" w:hAnsiTheme="majorHAnsi"/>
          <w:sz w:val="18"/>
          <w:szCs w:val="18"/>
        </w:rPr>
        <w:t>Funding</w:t>
      </w:r>
      <w:proofErr w:type="spellEnd"/>
      <w:r w:rsidR="00CA314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14D">
        <w:rPr>
          <w:rFonts w:asciiTheme="majorHAnsi" w:hAnsiTheme="majorHAnsi"/>
          <w:sz w:val="18"/>
          <w:szCs w:val="18"/>
        </w:rPr>
        <w:t>Landscape</w:t>
      </w:r>
      <w:proofErr w:type="spellEnd"/>
      <w:r w:rsidR="00CA314D">
        <w:rPr>
          <w:rFonts w:asciiTheme="majorHAnsi" w:hAnsiTheme="majorHAnsi"/>
          <w:sz w:val="18"/>
          <w:szCs w:val="18"/>
        </w:rPr>
        <w:t>“</w:t>
      </w:r>
    </w:p>
    <w:p w:rsidR="00215974" w:rsidRDefault="00215974" w:rsidP="00B05FAC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Peciar</w:t>
      </w:r>
    </w:p>
    <w:p w:rsidR="00215974" w:rsidRPr="0088411B" w:rsidRDefault="00215974" w:rsidP="00B05FAC">
      <w:pPr>
        <w:pStyle w:val="Odsekzoznamu"/>
        <w:numPr>
          <w:ilvl w:val="0"/>
          <w:numId w:val="2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</w:t>
      </w:r>
      <w:r w:rsidR="00CA314D">
        <w:rPr>
          <w:rFonts w:asciiTheme="majorHAnsi" w:hAnsiTheme="majorHAnsi"/>
          <w:sz w:val="18"/>
          <w:szCs w:val="18"/>
        </w:rPr>
        <w:t> návrhoch na zmenu štruktúry web stránky STU</w:t>
      </w:r>
    </w:p>
    <w:p w:rsidR="001153F9" w:rsidRDefault="001153F9" w:rsidP="00B05FAC">
      <w:pPr>
        <w:ind w:left="1410" w:hanging="1410"/>
        <w:jc w:val="both"/>
        <w:rPr>
          <w:rFonts w:ascii="Cambria" w:hAnsi="Cambria" w:cs="Arial"/>
          <w:sz w:val="18"/>
          <w:szCs w:val="18"/>
        </w:rPr>
      </w:pPr>
    </w:p>
    <w:p w:rsidR="00F64A6C" w:rsidRDefault="00F64A6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54AA0" w:rsidRDefault="00E54AA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54AA0" w:rsidRDefault="00E54AA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05FAC" w:rsidRDefault="00B05FA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CA314D">
        <w:rPr>
          <w:rFonts w:ascii="Cambria" w:hAnsi="Cambria" w:cs="Arial"/>
          <w:sz w:val="18"/>
          <w:szCs w:val="18"/>
        </w:rPr>
        <w:t>18</w:t>
      </w:r>
      <w:r w:rsidRPr="00273475">
        <w:rPr>
          <w:rFonts w:ascii="Cambria" w:hAnsi="Cambria" w:cs="Arial"/>
          <w:sz w:val="18"/>
          <w:szCs w:val="18"/>
        </w:rPr>
        <w:t>.</w:t>
      </w:r>
      <w:r w:rsidR="00D11940">
        <w:rPr>
          <w:rFonts w:ascii="Cambria" w:hAnsi="Cambria" w:cs="Arial"/>
          <w:sz w:val="18"/>
          <w:szCs w:val="18"/>
        </w:rPr>
        <w:t>06</w:t>
      </w:r>
      <w:r w:rsidRPr="00273475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CA314D">
        <w:rPr>
          <w:rFonts w:ascii="Cambria" w:hAnsi="Cambria" w:cs="Arial"/>
          <w:sz w:val="18"/>
          <w:szCs w:val="18"/>
        </w:rPr>
        <w:t>18</w:t>
      </w:r>
      <w:r w:rsidRPr="00273475">
        <w:rPr>
          <w:rFonts w:ascii="Cambria" w:hAnsi="Cambria" w:cs="Arial"/>
          <w:sz w:val="18"/>
          <w:szCs w:val="18"/>
        </w:rPr>
        <w:t>.</w:t>
      </w:r>
      <w:r w:rsidR="00D11940">
        <w:rPr>
          <w:rFonts w:ascii="Cambria" w:hAnsi="Cambria" w:cs="Arial"/>
          <w:sz w:val="18"/>
          <w:szCs w:val="18"/>
        </w:rPr>
        <w:t>06</w:t>
      </w:r>
      <w:r w:rsidRPr="00190394">
        <w:rPr>
          <w:rFonts w:ascii="Cambria" w:hAnsi="Cambria" w:cs="Arial"/>
          <w:sz w:val="18"/>
          <w:szCs w:val="18"/>
        </w:rPr>
        <w:t>.201</w:t>
      </w:r>
      <w:r w:rsidR="00D11940">
        <w:rPr>
          <w:rFonts w:ascii="Cambria" w:hAnsi="Cambria" w:cs="Arial"/>
          <w:sz w:val="18"/>
          <w:szCs w:val="18"/>
        </w:rPr>
        <w:t>5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638D2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638D2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18202B" w:rsidRPr="006F17D5" w:rsidSect="00B05FAC">
      <w:headerReference w:type="default" r:id="rId9"/>
      <w:footerReference w:type="default" r:id="rId10"/>
      <w:pgSz w:w="16838" w:h="11906" w:orient="landscape"/>
      <w:pgMar w:top="1021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C4" w:rsidRDefault="00D70EC4">
      <w:r>
        <w:separator/>
      </w:r>
    </w:p>
  </w:endnote>
  <w:endnote w:type="continuationSeparator" w:id="0">
    <w:p w:rsidR="00D70EC4" w:rsidRDefault="00D7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60" w:rsidRPr="00516930" w:rsidRDefault="001B3660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718" wp14:editId="46E3B35E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60" w:rsidRPr="0080567D" w:rsidRDefault="001B3660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F42B6" w:rsidRPr="005F42B6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1B3660" w:rsidRPr="0080567D" w:rsidRDefault="001B3660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5F42B6" w:rsidRPr="005F42B6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.14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06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C4" w:rsidRDefault="00D70EC4">
      <w:r>
        <w:separator/>
      </w:r>
    </w:p>
  </w:footnote>
  <w:footnote w:type="continuationSeparator" w:id="0">
    <w:p w:rsidR="00D70EC4" w:rsidRDefault="00D70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60" w:rsidRDefault="001B3660" w:rsidP="00516930">
    <w:pPr>
      <w:pStyle w:val="Hlavika"/>
      <w:jc w:val="right"/>
    </w:pPr>
    <w:r>
      <w:rPr>
        <w:noProof/>
      </w:rPr>
      <w:drawing>
        <wp:inline distT="0" distB="0" distL="0" distR="0" wp14:anchorId="581016C8" wp14:editId="7C46D211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3550CC"/>
    <w:multiLevelType w:val="hybridMultilevel"/>
    <w:tmpl w:val="BA283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D96"/>
    <w:multiLevelType w:val="hybridMultilevel"/>
    <w:tmpl w:val="86143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53D6"/>
    <w:multiLevelType w:val="hybridMultilevel"/>
    <w:tmpl w:val="E5B4A6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2B3B63"/>
    <w:multiLevelType w:val="hybridMultilevel"/>
    <w:tmpl w:val="F38859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3C5991"/>
    <w:multiLevelType w:val="hybridMultilevel"/>
    <w:tmpl w:val="E9749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A0831"/>
    <w:multiLevelType w:val="hybridMultilevel"/>
    <w:tmpl w:val="DDD4B95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BBB"/>
    <w:multiLevelType w:val="hybridMultilevel"/>
    <w:tmpl w:val="55DE76FA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1FCC1E58"/>
    <w:multiLevelType w:val="hybridMultilevel"/>
    <w:tmpl w:val="5F5495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68F4"/>
    <w:multiLevelType w:val="hybridMultilevel"/>
    <w:tmpl w:val="8F426AE6"/>
    <w:lvl w:ilvl="0" w:tplc="64625E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36A57"/>
    <w:multiLevelType w:val="hybridMultilevel"/>
    <w:tmpl w:val="CCCA1F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12F58"/>
    <w:multiLevelType w:val="hybridMultilevel"/>
    <w:tmpl w:val="AD926542"/>
    <w:lvl w:ilvl="0" w:tplc="D57EF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43A15"/>
    <w:multiLevelType w:val="hybridMultilevel"/>
    <w:tmpl w:val="DF986C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320DC"/>
    <w:multiLevelType w:val="hybridMultilevel"/>
    <w:tmpl w:val="B59480FE"/>
    <w:lvl w:ilvl="0" w:tplc="14DEDE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53E2D"/>
    <w:multiLevelType w:val="hybridMultilevel"/>
    <w:tmpl w:val="0986C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51FA3"/>
    <w:multiLevelType w:val="hybridMultilevel"/>
    <w:tmpl w:val="EF6C9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7253A"/>
    <w:multiLevelType w:val="hybridMultilevel"/>
    <w:tmpl w:val="B59A5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F1C72"/>
    <w:multiLevelType w:val="hybridMultilevel"/>
    <w:tmpl w:val="CFDE1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14B49"/>
    <w:multiLevelType w:val="hybridMultilevel"/>
    <w:tmpl w:val="C27C9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21F4D"/>
    <w:multiLevelType w:val="hybridMultilevel"/>
    <w:tmpl w:val="F5E4B442"/>
    <w:lvl w:ilvl="0" w:tplc="FB72C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D5502"/>
    <w:multiLevelType w:val="hybridMultilevel"/>
    <w:tmpl w:val="413E36C8"/>
    <w:lvl w:ilvl="0" w:tplc="0A023A50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6001C"/>
    <w:multiLevelType w:val="hybridMultilevel"/>
    <w:tmpl w:val="B88075B4"/>
    <w:lvl w:ilvl="0" w:tplc="ED185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6541F"/>
    <w:multiLevelType w:val="hybridMultilevel"/>
    <w:tmpl w:val="2D58F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730A5"/>
    <w:multiLevelType w:val="hybridMultilevel"/>
    <w:tmpl w:val="868C0A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7CE7360"/>
    <w:multiLevelType w:val="hybridMultilevel"/>
    <w:tmpl w:val="C6F0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94CF6"/>
    <w:multiLevelType w:val="hybridMultilevel"/>
    <w:tmpl w:val="3F7C06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50B8B"/>
    <w:multiLevelType w:val="hybridMultilevel"/>
    <w:tmpl w:val="1E028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8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1"/>
  </w:num>
  <w:num w:numId="10">
    <w:abstractNumId w:val="17"/>
  </w:num>
  <w:num w:numId="11">
    <w:abstractNumId w:val="3"/>
  </w:num>
  <w:num w:numId="12">
    <w:abstractNumId w:val="27"/>
  </w:num>
  <w:num w:numId="13">
    <w:abstractNumId w:val="2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8"/>
  </w:num>
  <w:num w:numId="17">
    <w:abstractNumId w:val="10"/>
  </w:num>
  <w:num w:numId="18">
    <w:abstractNumId w:val="25"/>
  </w:num>
  <w:num w:numId="19">
    <w:abstractNumId w:val="6"/>
  </w:num>
  <w:num w:numId="20">
    <w:abstractNumId w:val="4"/>
  </w:num>
  <w:num w:numId="21">
    <w:abstractNumId w:val="14"/>
  </w:num>
  <w:num w:numId="22">
    <w:abstractNumId w:val="5"/>
  </w:num>
  <w:num w:numId="23">
    <w:abstractNumId w:val="2"/>
  </w:num>
  <w:num w:numId="24">
    <w:abstractNumId w:val="7"/>
  </w:num>
  <w:num w:numId="25">
    <w:abstractNumId w:val="1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9"/>
  </w:num>
  <w:num w:numId="29">
    <w:abstractNumId w:val="18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35D2"/>
    <w:rsid w:val="000641E8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080F"/>
    <w:rsid w:val="00091E4E"/>
    <w:rsid w:val="00097D4F"/>
    <w:rsid w:val="000A211A"/>
    <w:rsid w:val="000A2D82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2B55"/>
    <w:rsid w:val="000D4026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707A6"/>
    <w:rsid w:val="00173DB2"/>
    <w:rsid w:val="00175477"/>
    <w:rsid w:val="00177CB5"/>
    <w:rsid w:val="0018008E"/>
    <w:rsid w:val="00180A58"/>
    <w:rsid w:val="001816A5"/>
    <w:rsid w:val="0018202B"/>
    <w:rsid w:val="00186BAF"/>
    <w:rsid w:val="00190394"/>
    <w:rsid w:val="00191FDB"/>
    <w:rsid w:val="00193582"/>
    <w:rsid w:val="00196C4C"/>
    <w:rsid w:val="001A1BA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D0575"/>
    <w:rsid w:val="001D1811"/>
    <w:rsid w:val="001D3084"/>
    <w:rsid w:val="001D3C7F"/>
    <w:rsid w:val="001D554D"/>
    <w:rsid w:val="001D6DB7"/>
    <w:rsid w:val="001E22D0"/>
    <w:rsid w:val="001E57C6"/>
    <w:rsid w:val="001F0431"/>
    <w:rsid w:val="001F419E"/>
    <w:rsid w:val="001F7D56"/>
    <w:rsid w:val="00200FF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285E"/>
    <w:rsid w:val="002855A5"/>
    <w:rsid w:val="00290D3B"/>
    <w:rsid w:val="002913AF"/>
    <w:rsid w:val="00291C87"/>
    <w:rsid w:val="00292423"/>
    <w:rsid w:val="00293C87"/>
    <w:rsid w:val="00293F33"/>
    <w:rsid w:val="00295234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4455"/>
    <w:rsid w:val="003310D2"/>
    <w:rsid w:val="003331C1"/>
    <w:rsid w:val="003332CB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38D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135A4"/>
    <w:rsid w:val="0041609B"/>
    <w:rsid w:val="00420EE7"/>
    <w:rsid w:val="00425325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D3"/>
    <w:rsid w:val="00454856"/>
    <w:rsid w:val="00457AE7"/>
    <w:rsid w:val="00457CF0"/>
    <w:rsid w:val="004619BE"/>
    <w:rsid w:val="004628A4"/>
    <w:rsid w:val="004630D0"/>
    <w:rsid w:val="00464B13"/>
    <w:rsid w:val="00464D99"/>
    <w:rsid w:val="0046628E"/>
    <w:rsid w:val="00467167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46B8"/>
    <w:rsid w:val="004C2838"/>
    <w:rsid w:val="004C2A2F"/>
    <w:rsid w:val="004C329C"/>
    <w:rsid w:val="004C3C97"/>
    <w:rsid w:val="004D029A"/>
    <w:rsid w:val="004D1530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5C63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2221"/>
    <w:rsid w:val="00537A2C"/>
    <w:rsid w:val="005453C9"/>
    <w:rsid w:val="00545C88"/>
    <w:rsid w:val="005524EE"/>
    <w:rsid w:val="0055440C"/>
    <w:rsid w:val="00554A9F"/>
    <w:rsid w:val="00564D48"/>
    <w:rsid w:val="005666FA"/>
    <w:rsid w:val="00570217"/>
    <w:rsid w:val="00577346"/>
    <w:rsid w:val="00580149"/>
    <w:rsid w:val="005824B4"/>
    <w:rsid w:val="00583409"/>
    <w:rsid w:val="00584085"/>
    <w:rsid w:val="00584BDF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678"/>
    <w:rsid w:val="005D7BCF"/>
    <w:rsid w:val="005E0C15"/>
    <w:rsid w:val="005E165A"/>
    <w:rsid w:val="005E250B"/>
    <w:rsid w:val="005E411E"/>
    <w:rsid w:val="005E6458"/>
    <w:rsid w:val="005F0893"/>
    <w:rsid w:val="005F2E1E"/>
    <w:rsid w:val="005F329C"/>
    <w:rsid w:val="005F3B26"/>
    <w:rsid w:val="005F42B6"/>
    <w:rsid w:val="005F61B4"/>
    <w:rsid w:val="005F714A"/>
    <w:rsid w:val="005F78A7"/>
    <w:rsid w:val="0060002E"/>
    <w:rsid w:val="00603067"/>
    <w:rsid w:val="00604683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4318"/>
    <w:rsid w:val="0063127F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7180"/>
    <w:rsid w:val="0066141C"/>
    <w:rsid w:val="0066255A"/>
    <w:rsid w:val="006630B1"/>
    <w:rsid w:val="0066372D"/>
    <w:rsid w:val="00670769"/>
    <w:rsid w:val="006719AC"/>
    <w:rsid w:val="006733FE"/>
    <w:rsid w:val="00673DE9"/>
    <w:rsid w:val="00677724"/>
    <w:rsid w:val="00677D1B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A04E9"/>
    <w:rsid w:val="006A20A0"/>
    <w:rsid w:val="006A5DB7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B06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BBB"/>
    <w:rsid w:val="007665C7"/>
    <w:rsid w:val="007667F9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6EF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D260F"/>
    <w:rsid w:val="007D3661"/>
    <w:rsid w:val="007D392A"/>
    <w:rsid w:val="007D42C2"/>
    <w:rsid w:val="007D5128"/>
    <w:rsid w:val="007D727C"/>
    <w:rsid w:val="007E3FA2"/>
    <w:rsid w:val="007E57E4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BE0"/>
    <w:rsid w:val="00813BC7"/>
    <w:rsid w:val="008140CC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6FD"/>
    <w:rsid w:val="00871C55"/>
    <w:rsid w:val="008737A4"/>
    <w:rsid w:val="00874D38"/>
    <w:rsid w:val="00874EF2"/>
    <w:rsid w:val="008759D1"/>
    <w:rsid w:val="008771CD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826"/>
    <w:rsid w:val="008A28AD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0FFF"/>
    <w:rsid w:val="008C39C2"/>
    <w:rsid w:val="008C5837"/>
    <w:rsid w:val="008C5FF4"/>
    <w:rsid w:val="008D0246"/>
    <w:rsid w:val="008D0A58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1041C"/>
    <w:rsid w:val="009142E7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40C8C"/>
    <w:rsid w:val="009423CA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BE8"/>
    <w:rsid w:val="009665F2"/>
    <w:rsid w:val="009677B8"/>
    <w:rsid w:val="009744D9"/>
    <w:rsid w:val="00976E1C"/>
    <w:rsid w:val="0098058C"/>
    <w:rsid w:val="00980D92"/>
    <w:rsid w:val="009842F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531A"/>
    <w:rsid w:val="00A1572F"/>
    <w:rsid w:val="00A1604F"/>
    <w:rsid w:val="00A17ECB"/>
    <w:rsid w:val="00A22581"/>
    <w:rsid w:val="00A23462"/>
    <w:rsid w:val="00A24042"/>
    <w:rsid w:val="00A25138"/>
    <w:rsid w:val="00A320F5"/>
    <w:rsid w:val="00A32322"/>
    <w:rsid w:val="00A32F2F"/>
    <w:rsid w:val="00A35045"/>
    <w:rsid w:val="00A429F2"/>
    <w:rsid w:val="00A4703C"/>
    <w:rsid w:val="00A500BE"/>
    <w:rsid w:val="00A53120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319"/>
    <w:rsid w:val="00A808F3"/>
    <w:rsid w:val="00A8219C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40ED"/>
    <w:rsid w:val="00AB6661"/>
    <w:rsid w:val="00AC42B2"/>
    <w:rsid w:val="00AC457D"/>
    <w:rsid w:val="00AD0A54"/>
    <w:rsid w:val="00AD1DCB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A1C0C"/>
    <w:rsid w:val="00BA464C"/>
    <w:rsid w:val="00BA5A78"/>
    <w:rsid w:val="00BA7360"/>
    <w:rsid w:val="00BB016C"/>
    <w:rsid w:val="00BB4C2F"/>
    <w:rsid w:val="00BB633F"/>
    <w:rsid w:val="00BB71C1"/>
    <w:rsid w:val="00BB79F3"/>
    <w:rsid w:val="00BC3BD7"/>
    <w:rsid w:val="00BD317F"/>
    <w:rsid w:val="00BD575F"/>
    <w:rsid w:val="00BE5835"/>
    <w:rsid w:val="00BE7D23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4AF"/>
    <w:rsid w:val="00C813A6"/>
    <w:rsid w:val="00C846B0"/>
    <w:rsid w:val="00C84DFC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7A22"/>
    <w:rsid w:val="00CD102B"/>
    <w:rsid w:val="00CD117D"/>
    <w:rsid w:val="00CD1AF9"/>
    <w:rsid w:val="00CD264A"/>
    <w:rsid w:val="00CE0C31"/>
    <w:rsid w:val="00CE70CE"/>
    <w:rsid w:val="00CF107D"/>
    <w:rsid w:val="00CF11F5"/>
    <w:rsid w:val="00CF12F4"/>
    <w:rsid w:val="00CF13DB"/>
    <w:rsid w:val="00CF3F33"/>
    <w:rsid w:val="00CF5D8A"/>
    <w:rsid w:val="00CF6D66"/>
    <w:rsid w:val="00CF7807"/>
    <w:rsid w:val="00D021E2"/>
    <w:rsid w:val="00D07741"/>
    <w:rsid w:val="00D11940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40D2"/>
    <w:rsid w:val="00D57E25"/>
    <w:rsid w:val="00D619E5"/>
    <w:rsid w:val="00D63465"/>
    <w:rsid w:val="00D65157"/>
    <w:rsid w:val="00D70EC4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6F30"/>
    <w:rsid w:val="00D90F6D"/>
    <w:rsid w:val="00D91722"/>
    <w:rsid w:val="00D929BE"/>
    <w:rsid w:val="00D9442F"/>
    <w:rsid w:val="00D956E3"/>
    <w:rsid w:val="00DA2BBB"/>
    <w:rsid w:val="00DA4463"/>
    <w:rsid w:val="00DA6149"/>
    <w:rsid w:val="00DA6673"/>
    <w:rsid w:val="00DA68E4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509"/>
    <w:rsid w:val="00DF576C"/>
    <w:rsid w:val="00DF5D33"/>
    <w:rsid w:val="00DF6353"/>
    <w:rsid w:val="00E00F11"/>
    <w:rsid w:val="00E011B8"/>
    <w:rsid w:val="00E025E0"/>
    <w:rsid w:val="00E050BE"/>
    <w:rsid w:val="00E108FB"/>
    <w:rsid w:val="00E12232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4AA0"/>
    <w:rsid w:val="00E5547B"/>
    <w:rsid w:val="00E55BA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C3D"/>
    <w:rsid w:val="00E84265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6801"/>
    <w:rsid w:val="00F071A7"/>
    <w:rsid w:val="00F07932"/>
    <w:rsid w:val="00F07CA5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5E86-CB70-4CFB-A745-0D1EF15F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2013-04-15T14:48:00Z</cp:lastPrinted>
  <dcterms:created xsi:type="dcterms:W3CDTF">2015-06-19T06:48:00Z</dcterms:created>
  <dcterms:modified xsi:type="dcterms:W3CDTF">2015-06-19T06:48:00Z</dcterms:modified>
</cp:coreProperties>
</file>