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8" w:rsidRPr="00557DFD" w:rsidRDefault="00520B08" w:rsidP="00C158EE">
      <w:pPr>
        <w:spacing w:after="0"/>
        <w:ind w:left="-993" w:firstLine="851"/>
        <w:jc w:val="both"/>
        <w:rPr>
          <w:sz w:val="36"/>
          <w:szCs w:val="36"/>
          <w:lang w:val="sk-SK"/>
        </w:rPr>
      </w:pPr>
      <w:r w:rsidRPr="00557DFD">
        <w:rPr>
          <w:sz w:val="36"/>
          <w:szCs w:val="36"/>
          <w:lang w:val="sk-SK"/>
        </w:rPr>
        <w:t xml:space="preserve">Vedenie </w:t>
      </w:r>
    </w:p>
    <w:p w:rsidR="00520B08" w:rsidRPr="00557DFD" w:rsidRDefault="00D226BC" w:rsidP="00C158EE">
      <w:pPr>
        <w:spacing w:after="0"/>
        <w:ind w:left="-993" w:firstLine="851"/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>17.04.</w:t>
      </w:r>
      <w:r w:rsidR="00520B08" w:rsidRPr="00557DFD">
        <w:rPr>
          <w:sz w:val="36"/>
          <w:szCs w:val="36"/>
          <w:lang w:val="sk-SK"/>
        </w:rPr>
        <w:t>2019</w:t>
      </w:r>
    </w:p>
    <w:p w:rsidR="00520B08" w:rsidRPr="00557DFD" w:rsidRDefault="00520B08" w:rsidP="00C158EE">
      <w:pPr>
        <w:spacing w:after="0"/>
        <w:rPr>
          <w:b/>
          <w:sz w:val="36"/>
          <w:szCs w:val="36"/>
          <w:lang w:val="sk-SK"/>
        </w:rPr>
      </w:pPr>
    </w:p>
    <w:p w:rsidR="00520B08" w:rsidRPr="00557DFD" w:rsidRDefault="00520B08" w:rsidP="00C158EE">
      <w:pPr>
        <w:spacing w:after="0"/>
        <w:rPr>
          <w:b/>
          <w:sz w:val="36"/>
          <w:szCs w:val="36"/>
          <w:lang w:val="sk-SK"/>
        </w:rPr>
      </w:pPr>
    </w:p>
    <w:p w:rsidR="009C1A5D" w:rsidRPr="00557DFD" w:rsidRDefault="00597BA4" w:rsidP="00597BA4">
      <w:pPr>
        <w:spacing w:after="0"/>
        <w:ind w:left="-142"/>
        <w:rPr>
          <w:rFonts w:cstheme="majorHAnsi"/>
          <w:b/>
          <w:sz w:val="36"/>
          <w:szCs w:val="36"/>
          <w:lang w:val="sk-SK"/>
        </w:rPr>
      </w:pPr>
      <w:r w:rsidRPr="00557DFD">
        <w:rPr>
          <w:rFonts w:cstheme="majorHAnsi"/>
          <w:b/>
          <w:sz w:val="36"/>
          <w:szCs w:val="36"/>
          <w:lang w:val="sk-SK"/>
        </w:rPr>
        <w:t xml:space="preserve">Návrh štrukturálnych opatrení </w:t>
      </w:r>
    </w:p>
    <w:p w:rsidR="009C1A5D" w:rsidRPr="00557DFD" w:rsidRDefault="00597BA4" w:rsidP="00597BA4">
      <w:pPr>
        <w:spacing w:after="0"/>
        <w:ind w:left="-142"/>
        <w:rPr>
          <w:rFonts w:cstheme="majorHAnsi"/>
          <w:b/>
          <w:sz w:val="36"/>
          <w:szCs w:val="36"/>
          <w:lang w:val="sk-SK"/>
        </w:rPr>
      </w:pPr>
      <w:r w:rsidRPr="00557DFD">
        <w:rPr>
          <w:rFonts w:cstheme="majorHAnsi"/>
          <w:b/>
          <w:sz w:val="36"/>
          <w:szCs w:val="36"/>
          <w:lang w:val="sk-SK"/>
        </w:rPr>
        <w:t>Slovenskej technickej</w:t>
      </w:r>
      <w:r w:rsidR="009C1A5D" w:rsidRPr="00557DFD">
        <w:rPr>
          <w:rFonts w:cstheme="majorHAnsi"/>
          <w:b/>
          <w:sz w:val="36"/>
          <w:szCs w:val="36"/>
          <w:lang w:val="sk-SK"/>
        </w:rPr>
        <w:t xml:space="preserve"> </w:t>
      </w:r>
      <w:r w:rsidRPr="00557DFD">
        <w:rPr>
          <w:rFonts w:cstheme="majorHAnsi"/>
          <w:b/>
          <w:sz w:val="36"/>
          <w:szCs w:val="36"/>
          <w:lang w:val="sk-SK"/>
        </w:rPr>
        <w:t>univerzity v</w:t>
      </w:r>
      <w:r w:rsidR="009C1A5D" w:rsidRPr="00557DFD">
        <w:rPr>
          <w:rFonts w:cstheme="majorHAnsi"/>
          <w:b/>
          <w:sz w:val="36"/>
          <w:szCs w:val="36"/>
          <w:lang w:val="sk-SK"/>
        </w:rPr>
        <w:t> </w:t>
      </w:r>
      <w:r w:rsidRPr="00557DFD">
        <w:rPr>
          <w:rFonts w:cstheme="majorHAnsi"/>
          <w:b/>
          <w:sz w:val="36"/>
          <w:szCs w:val="36"/>
          <w:lang w:val="sk-SK"/>
        </w:rPr>
        <w:t>Bratislave</w:t>
      </w:r>
    </w:p>
    <w:p w:rsidR="00520B08" w:rsidRPr="00557DFD" w:rsidRDefault="00597BA4" w:rsidP="00597BA4">
      <w:pPr>
        <w:spacing w:after="0"/>
        <w:ind w:left="-142"/>
        <w:rPr>
          <w:rFonts w:cstheme="majorHAnsi"/>
          <w:b/>
          <w:sz w:val="36"/>
          <w:szCs w:val="36"/>
          <w:lang w:val="sk-SK"/>
        </w:rPr>
      </w:pPr>
      <w:r w:rsidRPr="00557DFD">
        <w:rPr>
          <w:rFonts w:cstheme="majorHAnsi"/>
          <w:b/>
          <w:sz w:val="36"/>
          <w:szCs w:val="36"/>
          <w:lang w:val="sk-SK"/>
        </w:rPr>
        <w:t xml:space="preserve">na zvýšenie kvality absolventov všetkých troch stupňov </w:t>
      </w:r>
      <w:r w:rsidR="00557DFD">
        <w:rPr>
          <w:rFonts w:cstheme="majorHAnsi"/>
          <w:b/>
          <w:sz w:val="36"/>
          <w:szCs w:val="36"/>
          <w:lang w:val="sk-SK"/>
        </w:rPr>
        <w:t>štúdia</w:t>
      </w:r>
      <w:r w:rsidR="00557DFD">
        <w:rPr>
          <w:rFonts w:cstheme="majorHAnsi"/>
          <w:b/>
          <w:sz w:val="36"/>
          <w:szCs w:val="36"/>
          <w:lang w:val="sk-SK"/>
        </w:rPr>
        <w:br/>
      </w:r>
      <w:r w:rsidRPr="00557DFD">
        <w:rPr>
          <w:rFonts w:cstheme="majorHAnsi"/>
          <w:b/>
          <w:sz w:val="36"/>
          <w:szCs w:val="36"/>
          <w:lang w:val="sk-SK"/>
        </w:rPr>
        <w:t>a posilnenie výskumu</w:t>
      </w:r>
    </w:p>
    <w:p w:rsidR="00520B08" w:rsidRPr="00557DFD" w:rsidRDefault="00520B08" w:rsidP="00C158EE">
      <w:pPr>
        <w:spacing w:after="0"/>
        <w:ind w:left="-142"/>
        <w:rPr>
          <w:b/>
          <w:sz w:val="36"/>
          <w:szCs w:val="36"/>
          <w:lang w:val="sk-SK"/>
        </w:rPr>
      </w:pPr>
    </w:p>
    <w:p w:rsidR="00520B08" w:rsidRPr="00557DFD" w:rsidRDefault="00520B08" w:rsidP="00C158EE">
      <w:pPr>
        <w:spacing w:after="0"/>
        <w:ind w:left="-142"/>
        <w:rPr>
          <w:b/>
          <w:sz w:val="36"/>
          <w:szCs w:val="36"/>
          <w:lang w:val="sk-SK"/>
        </w:rPr>
      </w:pPr>
    </w:p>
    <w:p w:rsidR="00520B08" w:rsidRPr="00557DFD" w:rsidRDefault="00520B08" w:rsidP="00C158EE">
      <w:pPr>
        <w:tabs>
          <w:tab w:val="left" w:pos="1985"/>
        </w:tabs>
        <w:spacing w:after="0"/>
        <w:ind w:left="1985" w:hanging="2115"/>
        <w:rPr>
          <w:sz w:val="24"/>
          <w:szCs w:val="24"/>
          <w:lang w:val="sk-SK"/>
        </w:rPr>
      </w:pPr>
      <w:r w:rsidRPr="00557DFD">
        <w:rPr>
          <w:lang w:val="sk-SK"/>
        </w:rPr>
        <w:t>Predkladá:</w:t>
      </w:r>
      <w:r w:rsidRPr="00557DFD">
        <w:rPr>
          <w:lang w:val="sk-SK"/>
        </w:rPr>
        <w:tab/>
      </w:r>
      <w:r w:rsidRPr="00557DFD">
        <w:rPr>
          <w:b/>
          <w:lang w:val="sk-SK"/>
        </w:rPr>
        <w:t xml:space="preserve">doc. Ing. Monika </w:t>
      </w:r>
      <w:proofErr w:type="spellStart"/>
      <w:r w:rsidRPr="00557DFD">
        <w:rPr>
          <w:b/>
          <w:lang w:val="sk-SK"/>
        </w:rPr>
        <w:t>Bakošová</w:t>
      </w:r>
      <w:proofErr w:type="spellEnd"/>
      <w:r w:rsidRPr="00557DFD">
        <w:rPr>
          <w:b/>
          <w:lang w:val="sk-SK"/>
        </w:rPr>
        <w:t>, PhD.</w:t>
      </w:r>
    </w:p>
    <w:p w:rsidR="00520B08" w:rsidRDefault="00740BE1" w:rsidP="00740BE1">
      <w:pPr>
        <w:tabs>
          <w:tab w:val="left" w:pos="1985"/>
        </w:tabs>
        <w:spacing w:after="0"/>
        <w:ind w:left="1985"/>
        <w:rPr>
          <w:b/>
          <w:lang w:val="sk-SK"/>
        </w:rPr>
      </w:pPr>
      <w:r w:rsidRPr="00557DFD">
        <w:rPr>
          <w:lang w:val="sk-SK"/>
        </w:rPr>
        <w:t>P</w:t>
      </w:r>
      <w:r w:rsidR="00520B08" w:rsidRPr="00557DFD">
        <w:rPr>
          <w:lang w:val="sk-SK"/>
        </w:rPr>
        <w:t>rorektorka</w:t>
      </w:r>
    </w:p>
    <w:p w:rsidR="00740BE1" w:rsidRPr="00740BE1" w:rsidRDefault="00740BE1" w:rsidP="00740BE1">
      <w:pPr>
        <w:tabs>
          <w:tab w:val="left" w:pos="1985"/>
        </w:tabs>
        <w:spacing w:after="0"/>
        <w:ind w:left="1985"/>
        <w:rPr>
          <w:b/>
          <w:lang w:val="sk-SK"/>
        </w:rPr>
      </w:pPr>
      <w:bookmarkStart w:id="0" w:name="_GoBack"/>
      <w:bookmarkEnd w:id="0"/>
    </w:p>
    <w:p w:rsidR="00520B08" w:rsidRPr="00557DFD" w:rsidRDefault="00520B08" w:rsidP="00C158EE">
      <w:pPr>
        <w:tabs>
          <w:tab w:val="left" w:pos="1985"/>
        </w:tabs>
        <w:spacing w:after="0"/>
        <w:ind w:left="1985" w:hanging="2115"/>
        <w:rPr>
          <w:b/>
          <w:lang w:val="sk-SK"/>
        </w:rPr>
      </w:pPr>
      <w:r w:rsidRPr="00557DFD">
        <w:rPr>
          <w:lang w:val="sk-SK"/>
        </w:rPr>
        <w:t>Vypracoval:</w:t>
      </w:r>
      <w:r w:rsidRPr="00557DFD">
        <w:rPr>
          <w:lang w:val="sk-SK"/>
        </w:rPr>
        <w:tab/>
      </w:r>
      <w:r w:rsidRPr="00557DFD">
        <w:rPr>
          <w:b/>
          <w:lang w:val="sk-SK"/>
        </w:rPr>
        <w:t xml:space="preserve">doc. Ing. Monika </w:t>
      </w:r>
      <w:proofErr w:type="spellStart"/>
      <w:r w:rsidRPr="00557DFD">
        <w:rPr>
          <w:b/>
          <w:lang w:val="sk-SK"/>
        </w:rPr>
        <w:t>Bakošová</w:t>
      </w:r>
      <w:proofErr w:type="spellEnd"/>
      <w:r w:rsidRPr="00557DFD">
        <w:rPr>
          <w:b/>
          <w:lang w:val="sk-SK"/>
        </w:rPr>
        <w:t>, PhD.</w:t>
      </w:r>
    </w:p>
    <w:p w:rsidR="00520B08" w:rsidRPr="00557DFD" w:rsidRDefault="00D226BC" w:rsidP="00C158EE">
      <w:pPr>
        <w:tabs>
          <w:tab w:val="left" w:pos="1985"/>
        </w:tabs>
        <w:spacing w:after="0"/>
        <w:ind w:left="-993" w:firstLine="2978"/>
        <w:rPr>
          <w:lang w:val="sk-SK"/>
        </w:rPr>
      </w:pPr>
      <w:r>
        <w:rPr>
          <w:lang w:val="sk-SK"/>
        </w:rPr>
        <w:t>p</w:t>
      </w:r>
      <w:r w:rsidR="00520B08" w:rsidRPr="00557DFD">
        <w:rPr>
          <w:lang w:val="sk-SK"/>
        </w:rPr>
        <w:t>rorektorka</w:t>
      </w:r>
    </w:p>
    <w:p w:rsidR="00520B08" w:rsidRPr="00557DFD" w:rsidRDefault="00520B08" w:rsidP="00740BE1">
      <w:pPr>
        <w:tabs>
          <w:tab w:val="left" w:pos="1985"/>
        </w:tabs>
        <w:spacing w:after="0" w:line="240" w:lineRule="auto"/>
        <w:rPr>
          <w:lang w:val="sk-SK"/>
        </w:rPr>
      </w:pPr>
    </w:p>
    <w:p w:rsidR="00520B08" w:rsidRDefault="00520B08" w:rsidP="00740BE1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 w:cstheme="majorHAnsi"/>
          <w:lang w:val="sk-SK"/>
        </w:rPr>
      </w:pPr>
      <w:r w:rsidRPr="00557DFD">
        <w:rPr>
          <w:rFonts w:asciiTheme="minorHAnsi" w:hAnsiTheme="minorHAnsi"/>
          <w:color w:val="auto"/>
          <w:lang w:val="sk-SK"/>
        </w:rPr>
        <w:t>Zdôvodnenie:</w:t>
      </w:r>
      <w:r w:rsidRPr="00557DFD">
        <w:rPr>
          <w:rFonts w:asciiTheme="minorHAnsi" w:hAnsiTheme="minorHAnsi"/>
          <w:color w:val="auto"/>
          <w:lang w:val="sk-SK"/>
        </w:rPr>
        <w:tab/>
      </w:r>
      <w:r w:rsidRPr="00557DFD">
        <w:rPr>
          <w:rFonts w:asciiTheme="minorHAnsi" w:hAnsiTheme="minorHAnsi" w:cstheme="majorHAnsi"/>
          <w:lang w:val="sk-SK"/>
        </w:rPr>
        <w:t>Vyplýva z</w:t>
      </w:r>
      <w:r w:rsidR="002D1658" w:rsidRPr="00557DFD">
        <w:rPr>
          <w:rFonts w:asciiTheme="minorHAnsi" w:hAnsiTheme="minorHAnsi" w:cstheme="majorHAnsi"/>
          <w:lang w:val="sk-SK"/>
        </w:rPr>
        <w:t> bodu 26 metodiky rozpisu dotácií zo štátneho rozpočtu verejným vysokým školám na rok 2019</w:t>
      </w:r>
    </w:p>
    <w:p w:rsidR="00740BE1" w:rsidRPr="00740BE1" w:rsidRDefault="00740BE1" w:rsidP="00740BE1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</w:p>
    <w:p w:rsidR="00520B08" w:rsidRPr="00557DFD" w:rsidRDefault="00520B08" w:rsidP="00886889">
      <w:pPr>
        <w:spacing w:after="0" w:line="240" w:lineRule="auto"/>
        <w:ind w:left="1985" w:hanging="2127"/>
        <w:jc w:val="both"/>
        <w:rPr>
          <w:rFonts w:cstheme="majorHAnsi"/>
          <w:lang w:val="sk-SK"/>
        </w:rPr>
      </w:pPr>
      <w:r w:rsidRPr="00557DFD">
        <w:rPr>
          <w:rFonts w:cstheme="majorHAnsi"/>
          <w:lang w:val="sk-SK"/>
        </w:rPr>
        <w:t>Návrh uznesenia:</w:t>
      </w:r>
      <w:r w:rsidRPr="00557DFD">
        <w:rPr>
          <w:rFonts w:cstheme="majorHAnsi"/>
          <w:lang w:val="sk-SK"/>
        </w:rPr>
        <w:tab/>
        <w:t xml:space="preserve">Vedenie STU </w:t>
      </w:r>
      <w:r w:rsidR="00597BA4" w:rsidRPr="00557DFD">
        <w:rPr>
          <w:rFonts w:cstheme="majorHAnsi"/>
          <w:lang w:val="sk-SK"/>
        </w:rPr>
        <w:t>prerokovalo</w:t>
      </w:r>
      <w:r w:rsidRPr="00557DFD">
        <w:rPr>
          <w:rFonts w:cstheme="majorHAnsi"/>
          <w:lang w:val="sk-SK"/>
        </w:rPr>
        <w:t xml:space="preserve"> materiál: </w:t>
      </w:r>
      <w:r w:rsidR="00886889" w:rsidRPr="00557DFD">
        <w:rPr>
          <w:rFonts w:cstheme="majorHAnsi"/>
          <w:lang w:val="sk-SK"/>
        </w:rPr>
        <w:t xml:space="preserve">Návrh štrukturálnych opatrení Slovenskej technickej univerzity v Bratislave na zvýšenie kvality absolventov všetkých troch stupňov </w:t>
      </w:r>
      <w:r w:rsidR="00270660">
        <w:rPr>
          <w:rFonts w:cstheme="majorHAnsi"/>
          <w:lang w:val="sk-SK"/>
        </w:rPr>
        <w:t>štúdia</w:t>
      </w:r>
      <w:r w:rsidR="00886889" w:rsidRPr="00557DFD">
        <w:rPr>
          <w:rFonts w:cstheme="majorHAnsi"/>
          <w:lang w:val="sk-SK"/>
        </w:rPr>
        <w:t xml:space="preserve"> a posilnenie výskumu</w:t>
      </w:r>
    </w:p>
    <w:p w:rsidR="00520B08" w:rsidRPr="00557DFD" w:rsidRDefault="00520B08" w:rsidP="00597BA4">
      <w:pPr>
        <w:pStyle w:val="Default"/>
        <w:numPr>
          <w:ilvl w:val="0"/>
          <w:numId w:val="12"/>
        </w:numPr>
        <w:ind w:left="2410" w:hanging="425"/>
        <w:rPr>
          <w:rFonts w:asciiTheme="minorHAnsi" w:eastAsiaTheme="minorHAnsi" w:hAnsiTheme="minorHAnsi" w:cstheme="majorHAnsi"/>
          <w:color w:val="auto"/>
          <w:sz w:val="22"/>
          <w:szCs w:val="22"/>
          <w:lang w:val="sk-SK"/>
        </w:rPr>
      </w:pPr>
      <w:r w:rsidRPr="00557DFD">
        <w:rPr>
          <w:rFonts w:asciiTheme="minorHAnsi" w:eastAsiaTheme="minorHAnsi" w:hAnsiTheme="minorHAnsi" w:cstheme="majorHAnsi"/>
          <w:color w:val="auto"/>
          <w:sz w:val="22"/>
          <w:szCs w:val="22"/>
          <w:lang w:val="sk-SK"/>
        </w:rPr>
        <w:t>bez pripomienok</w:t>
      </w:r>
    </w:p>
    <w:p w:rsidR="00520B08" w:rsidRPr="00557DFD" w:rsidRDefault="00520B08" w:rsidP="009C2C4F">
      <w:pPr>
        <w:pStyle w:val="Default"/>
        <w:numPr>
          <w:ilvl w:val="0"/>
          <w:numId w:val="12"/>
        </w:numPr>
        <w:ind w:left="2410" w:hanging="425"/>
        <w:rPr>
          <w:rFonts w:asciiTheme="minorHAnsi" w:hAnsiTheme="minorHAnsi"/>
          <w:b/>
          <w:bCs/>
          <w:sz w:val="28"/>
          <w:szCs w:val="28"/>
          <w:lang w:val="sk-SK"/>
        </w:rPr>
      </w:pPr>
      <w:r w:rsidRPr="00557DFD">
        <w:rPr>
          <w:rFonts w:asciiTheme="minorHAnsi" w:eastAsiaTheme="minorHAnsi" w:hAnsiTheme="minorHAnsi" w:cstheme="majorHAnsi"/>
          <w:color w:val="auto"/>
          <w:sz w:val="22"/>
          <w:szCs w:val="22"/>
          <w:lang w:val="sk-SK"/>
        </w:rPr>
        <w:t>s pripomienkami</w:t>
      </w:r>
    </w:p>
    <w:p w:rsidR="00520B08" w:rsidRPr="00557DFD" w:rsidRDefault="00520B08" w:rsidP="00597BA4">
      <w:pPr>
        <w:spacing w:after="0" w:line="240" w:lineRule="auto"/>
        <w:rPr>
          <w:b/>
          <w:bCs/>
          <w:sz w:val="28"/>
          <w:szCs w:val="28"/>
          <w:lang w:val="sk-SK"/>
        </w:rPr>
        <w:sectPr w:rsidR="00520B08" w:rsidRPr="00557DFD" w:rsidSect="00520B08">
          <w:headerReference w:type="default" r:id="rId8"/>
          <w:footerReference w:type="default" r:id="rId9"/>
          <w:pgSz w:w="12240" w:h="15840"/>
          <w:pgMar w:top="4111" w:right="1417" w:bottom="1417" w:left="1417" w:header="708" w:footer="708" w:gutter="0"/>
          <w:cols w:space="708"/>
          <w:docGrid w:linePitch="360"/>
        </w:sectPr>
      </w:pPr>
    </w:p>
    <w:p w:rsidR="00110429" w:rsidRPr="00557DFD" w:rsidRDefault="00FF172A" w:rsidP="00597BA4">
      <w:pPr>
        <w:spacing w:after="0"/>
        <w:jc w:val="center"/>
        <w:rPr>
          <w:b/>
          <w:bCs/>
          <w:sz w:val="28"/>
          <w:szCs w:val="28"/>
          <w:lang w:val="sk-SK"/>
        </w:rPr>
      </w:pPr>
      <w:r w:rsidRPr="00557DFD">
        <w:rPr>
          <w:b/>
          <w:bCs/>
          <w:sz w:val="28"/>
          <w:szCs w:val="28"/>
          <w:lang w:val="sk-SK"/>
        </w:rPr>
        <w:lastRenderedPageBreak/>
        <w:t>Ná</w:t>
      </w:r>
      <w:r w:rsidR="002F7677" w:rsidRPr="00557DFD">
        <w:rPr>
          <w:b/>
          <w:bCs/>
          <w:sz w:val="28"/>
          <w:szCs w:val="28"/>
          <w:lang w:val="sk-SK"/>
        </w:rPr>
        <w:t xml:space="preserve">vrh </w:t>
      </w:r>
      <w:r w:rsidRPr="00557DFD">
        <w:rPr>
          <w:b/>
          <w:bCs/>
          <w:sz w:val="28"/>
          <w:szCs w:val="28"/>
          <w:lang w:val="sk-SK"/>
        </w:rPr>
        <w:t>š</w:t>
      </w:r>
      <w:r w:rsidR="002F7677" w:rsidRPr="00557DFD">
        <w:rPr>
          <w:b/>
          <w:bCs/>
          <w:sz w:val="28"/>
          <w:szCs w:val="28"/>
          <w:lang w:val="sk-SK"/>
        </w:rPr>
        <w:t>truktur</w:t>
      </w:r>
      <w:r w:rsidRPr="00557DFD">
        <w:rPr>
          <w:b/>
          <w:bCs/>
          <w:sz w:val="28"/>
          <w:szCs w:val="28"/>
          <w:lang w:val="sk-SK"/>
        </w:rPr>
        <w:t>á</w:t>
      </w:r>
      <w:r w:rsidR="002F7677" w:rsidRPr="00557DFD">
        <w:rPr>
          <w:b/>
          <w:bCs/>
          <w:sz w:val="28"/>
          <w:szCs w:val="28"/>
          <w:lang w:val="sk-SK"/>
        </w:rPr>
        <w:t>lnych opatren</w:t>
      </w:r>
      <w:r w:rsidRPr="00557DFD">
        <w:rPr>
          <w:b/>
          <w:bCs/>
          <w:sz w:val="28"/>
          <w:szCs w:val="28"/>
          <w:lang w:val="sk-SK"/>
        </w:rPr>
        <w:t>í STU v</w:t>
      </w:r>
      <w:r w:rsidR="00270660">
        <w:rPr>
          <w:b/>
          <w:bCs/>
          <w:sz w:val="28"/>
          <w:szCs w:val="28"/>
          <w:lang w:val="sk-SK"/>
        </w:rPr>
        <w:t> </w:t>
      </w:r>
      <w:r w:rsidRPr="00557DFD">
        <w:rPr>
          <w:b/>
          <w:bCs/>
          <w:sz w:val="28"/>
          <w:szCs w:val="28"/>
          <w:lang w:val="sk-SK"/>
        </w:rPr>
        <w:t>Bratislave</w:t>
      </w:r>
      <w:r w:rsidR="00270660">
        <w:rPr>
          <w:b/>
          <w:bCs/>
          <w:sz w:val="28"/>
          <w:szCs w:val="28"/>
          <w:lang w:val="sk-SK"/>
        </w:rPr>
        <w:t xml:space="preserve"> </w:t>
      </w:r>
      <w:r w:rsidR="00110429" w:rsidRPr="00557DFD">
        <w:rPr>
          <w:b/>
          <w:bCs/>
          <w:sz w:val="28"/>
          <w:szCs w:val="28"/>
          <w:lang w:val="sk-SK"/>
        </w:rPr>
        <w:t xml:space="preserve">na zvýšenie kvality absolventov všetkých troch stupňov </w:t>
      </w:r>
      <w:r w:rsidR="00270660">
        <w:rPr>
          <w:b/>
          <w:bCs/>
          <w:sz w:val="28"/>
          <w:szCs w:val="28"/>
          <w:lang w:val="sk-SK"/>
        </w:rPr>
        <w:t xml:space="preserve">štúdia </w:t>
      </w:r>
      <w:r w:rsidR="00110429" w:rsidRPr="00557DFD">
        <w:rPr>
          <w:b/>
          <w:bCs/>
          <w:sz w:val="28"/>
          <w:szCs w:val="28"/>
          <w:lang w:val="sk-SK"/>
        </w:rPr>
        <w:t>a posilnenie výskumu</w:t>
      </w:r>
    </w:p>
    <w:p w:rsidR="00110429" w:rsidRPr="00557DFD" w:rsidRDefault="00110429" w:rsidP="00F66AEB">
      <w:pPr>
        <w:jc w:val="center"/>
        <w:rPr>
          <w:b/>
          <w:bCs/>
          <w:sz w:val="28"/>
          <w:szCs w:val="28"/>
          <w:lang w:val="sk-SK"/>
        </w:rPr>
      </w:pPr>
    </w:p>
    <w:p w:rsidR="00F23F82" w:rsidRPr="00557DFD" w:rsidRDefault="002A083E" w:rsidP="00A246A8">
      <w:pPr>
        <w:jc w:val="both"/>
        <w:rPr>
          <w:b/>
          <w:caps/>
          <w:lang w:val="sk-SK"/>
        </w:rPr>
      </w:pPr>
      <w:r w:rsidRPr="00557DFD">
        <w:rPr>
          <w:b/>
          <w:caps/>
          <w:lang w:val="sk-SK"/>
        </w:rPr>
        <w:t xml:space="preserve">I. </w:t>
      </w:r>
      <w:r w:rsidR="00F23F82" w:rsidRPr="00557DFD">
        <w:rPr>
          <w:b/>
          <w:caps/>
          <w:lang w:val="sk-SK"/>
        </w:rPr>
        <w:t>Východiská</w:t>
      </w:r>
      <w:r w:rsidR="0086774B" w:rsidRPr="00557DFD">
        <w:rPr>
          <w:b/>
          <w:caps/>
          <w:lang w:val="sk-SK"/>
        </w:rPr>
        <w:t xml:space="preserve"> ŠTRUKTURÁLNYCH OPATREní</w:t>
      </w:r>
    </w:p>
    <w:p w:rsidR="0080489E" w:rsidRPr="00557DFD" w:rsidRDefault="0080489E" w:rsidP="0080489E">
      <w:pPr>
        <w:jc w:val="both"/>
        <w:rPr>
          <w:lang w:val="sk-SK"/>
        </w:rPr>
      </w:pPr>
      <w:r w:rsidRPr="00557DFD">
        <w:rPr>
          <w:lang w:val="sk-SK"/>
        </w:rPr>
        <w:t>Návrh štrukturálnych opatrení Slovenskej technickej univerzity v Bratislave reflektuje uznesenie Rady vlády Slovenskej republiky pre vedu, techniku a inovácie zo dňa 21.03.2019, ktoré odporúča vláde SR:</w:t>
      </w:r>
    </w:p>
    <w:p w:rsidR="0080489E" w:rsidRPr="00557DFD" w:rsidRDefault="0080489E" w:rsidP="0080489E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557DFD">
        <w:rPr>
          <w:lang w:val="sk-SK"/>
        </w:rPr>
        <w:t xml:space="preserve">V oblasti rozvoja ľudských zdrojov, s cieľom zvýšenia kvality prípravy mladej generácie prijať opatrenia, ktorými zvýši normatív na študenta technických a prírodovedných odborov univerzít minimálne o 25% zo súčasných cca 4.000,- Eur na študenta na minimálne 5.000,- Eur na študenta, </w:t>
      </w:r>
    </w:p>
    <w:p w:rsidR="0080489E" w:rsidRPr="00557DFD" w:rsidRDefault="0080489E" w:rsidP="0080489E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557DFD">
        <w:rPr>
          <w:lang w:val="sk-SK"/>
        </w:rPr>
        <w:t xml:space="preserve">neuplatňovať návrh na krátenie 10% časti normatívu na študentov, ktorý je naviazaný na snahu o zníženie počtu študentov pokračujúcich na druhom stupni vysokoškolského štúdia (minimálne neuplatňovať pre prírodovedné a technické študijné odbory univerzity) a odporúča zabezpečiť rozvoj  profesijne orientovaných bakalárov v súlade spotrebami praxe aj bez uplatňovania tohto reštriktívneho opatrenia, </w:t>
      </w:r>
    </w:p>
    <w:p w:rsidR="0080489E" w:rsidRPr="00557DFD" w:rsidRDefault="0080489E" w:rsidP="0080489E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557DFD">
        <w:rPr>
          <w:lang w:val="sk-SK"/>
        </w:rPr>
        <w:t>zapracovať do štátneho vzdelávacieho programu povinnú maturitu z matematiky ako základného nástroja na zvýšenie matematickej gramotnosti.</w:t>
      </w:r>
    </w:p>
    <w:p w:rsidR="002D3C11" w:rsidRPr="00557DFD" w:rsidRDefault="00BE1E84" w:rsidP="0085363F">
      <w:pPr>
        <w:jc w:val="both"/>
        <w:rPr>
          <w:lang w:val="sk-SK"/>
        </w:rPr>
      </w:pPr>
      <w:r w:rsidRPr="00557DFD">
        <w:rPr>
          <w:lang w:val="sk-SK"/>
        </w:rPr>
        <w:t xml:space="preserve">Slovenská </w:t>
      </w:r>
      <w:r w:rsidR="0086774B" w:rsidRPr="00557DFD">
        <w:rPr>
          <w:lang w:val="sk-SK"/>
        </w:rPr>
        <w:t>technická univerzita v Bratislave</w:t>
      </w:r>
      <w:r w:rsidRPr="00557DFD">
        <w:rPr>
          <w:lang w:val="sk-SK"/>
        </w:rPr>
        <w:t xml:space="preserve">  (ďalej len „STU“) je vysokou školou poskytujúcou technické vzdelávanie v</w:t>
      </w:r>
      <w:r w:rsidR="005D32AB" w:rsidRPr="00557DFD">
        <w:rPr>
          <w:lang w:val="sk-SK"/>
        </w:rPr>
        <w:t> </w:t>
      </w:r>
      <w:r w:rsidRPr="00557DFD">
        <w:rPr>
          <w:lang w:val="sk-SK"/>
        </w:rPr>
        <w:t>SR</w:t>
      </w:r>
      <w:r w:rsidR="005D32AB" w:rsidRPr="00557DFD">
        <w:rPr>
          <w:lang w:val="sk-SK"/>
        </w:rPr>
        <w:t xml:space="preserve"> s najdlhšou tradíciou </w:t>
      </w:r>
      <w:r w:rsidRPr="00557DFD">
        <w:rPr>
          <w:lang w:val="sk-SK"/>
        </w:rPr>
        <w:t xml:space="preserve">a kvalitou vzdelávania je porovnateľná s renomovanými univerzitami v stredoeurópskom a európskom regióne. </w:t>
      </w:r>
      <w:r w:rsidR="00C76D6E" w:rsidRPr="00557DFD">
        <w:rPr>
          <w:lang w:val="sk-SK"/>
        </w:rPr>
        <w:t xml:space="preserve">STU </w:t>
      </w:r>
      <w:r w:rsidR="002B58CD" w:rsidRPr="00557DFD">
        <w:rPr>
          <w:lang w:val="sk-SK"/>
        </w:rPr>
        <w:t xml:space="preserve">mala v ak. roku 2017/2018 priznané práva udeľovať akademické tituly pre celkovo 179 študijných programov, z ktorých bolo 57 kvalitných študijných programov 1. stupňa vysokoškolského štúdia (ďalej len „bakalárskych študijných programov“) </w:t>
      </w:r>
      <w:r w:rsidR="00C76D6E" w:rsidRPr="00557DFD">
        <w:rPr>
          <w:lang w:val="sk-SK"/>
        </w:rPr>
        <w:t xml:space="preserve"> založených na širokom prírodovedeckom a</w:t>
      </w:r>
      <w:r w:rsidR="0086774B" w:rsidRPr="00557DFD">
        <w:rPr>
          <w:lang w:val="sk-SK"/>
        </w:rPr>
        <w:t> </w:t>
      </w:r>
      <w:r w:rsidR="00C76D6E" w:rsidRPr="00557DFD">
        <w:rPr>
          <w:lang w:val="sk-SK"/>
        </w:rPr>
        <w:t>technologickom základe dopln</w:t>
      </w:r>
      <w:r w:rsidR="002B58CD" w:rsidRPr="00557DFD">
        <w:rPr>
          <w:lang w:val="sk-SK"/>
        </w:rPr>
        <w:t xml:space="preserve">enom aj o laboratórne </w:t>
      </w:r>
      <w:r w:rsidR="0086774B" w:rsidRPr="00557DFD">
        <w:rPr>
          <w:lang w:val="sk-SK"/>
        </w:rPr>
        <w:t xml:space="preserve">a iné praktické </w:t>
      </w:r>
      <w:r w:rsidR="002B58CD" w:rsidRPr="00557DFD">
        <w:rPr>
          <w:lang w:val="sk-SK"/>
        </w:rPr>
        <w:t>zručnosti. Celkovo bolo realizovaných 170 študijných programov, z toho 55  bakalárskych študijných programov.</w:t>
      </w:r>
      <w:r w:rsidR="00110429" w:rsidRPr="00557DFD">
        <w:rPr>
          <w:lang w:val="sk-SK"/>
        </w:rPr>
        <w:t xml:space="preserve"> STU okrem kvalitného vzdelávania  realizuje i medzinárodne uznávanú výskumnú činnosť, o čom svedčí veľký počet publikácií v časopisoch registrovaných v uznávaných databázach s </w:t>
      </w:r>
      <w:proofErr w:type="spellStart"/>
      <w:r w:rsidR="00110429" w:rsidRPr="00557DFD">
        <w:rPr>
          <w:lang w:val="sk-SK"/>
        </w:rPr>
        <w:t>kvartilom</w:t>
      </w:r>
      <w:proofErr w:type="spellEnd"/>
      <w:r w:rsidR="00110429" w:rsidRPr="00557DFD">
        <w:rPr>
          <w:lang w:val="sk-SK"/>
        </w:rPr>
        <w:t xml:space="preserve"> Q1 alebo Q2, veľký počet  ohlasov na ne i medzinárodná spolupráca v rámci získaných projektov</w:t>
      </w:r>
      <w:r w:rsidR="009A296E" w:rsidRPr="00557DFD">
        <w:rPr>
          <w:lang w:val="sk-SK"/>
        </w:rPr>
        <w:t xml:space="preserve">, </w:t>
      </w:r>
      <w:r w:rsidR="00110429" w:rsidRPr="00557DFD">
        <w:rPr>
          <w:lang w:val="sk-SK"/>
        </w:rPr>
        <w:t xml:space="preserve"> kde STU je partner alebo koordinátor. Takýto charakter si univerzita chce zachovať i do budúcna s dôrazom na zvyšovanie kvality vzdelávania vo všetkých 3 stupňoch, ale najmä v 2. a 3. stupni. Pre Slovenskú republiku je strategicky dôležité zachovať technickú univerzitu, ktor</w:t>
      </w:r>
      <w:r w:rsidR="009A296E" w:rsidRPr="00557DFD">
        <w:rPr>
          <w:lang w:val="sk-SK"/>
        </w:rPr>
        <w:t>á</w:t>
      </w:r>
      <w:r w:rsidR="00110429" w:rsidRPr="00557DFD">
        <w:rPr>
          <w:lang w:val="sk-SK"/>
        </w:rPr>
        <w:t xml:space="preserve"> je v</w:t>
      </w:r>
      <w:r w:rsidR="009A296E" w:rsidRPr="00557DFD">
        <w:rPr>
          <w:lang w:val="sk-SK"/>
        </w:rPr>
        <w:t>ý</w:t>
      </w:r>
      <w:r w:rsidR="00110429" w:rsidRPr="00557DFD">
        <w:rPr>
          <w:lang w:val="sk-SK"/>
        </w:rPr>
        <w:t>skumne orientovan</w:t>
      </w:r>
      <w:r w:rsidR="009A296E" w:rsidRPr="00557DFD">
        <w:rPr>
          <w:lang w:val="sk-SK"/>
        </w:rPr>
        <w:t>á</w:t>
      </w:r>
      <w:r w:rsidR="0085363F" w:rsidRPr="00557DFD">
        <w:rPr>
          <w:lang w:val="sk-SK"/>
        </w:rPr>
        <w:t xml:space="preserve"> a</w:t>
      </w:r>
      <w:r w:rsidR="00110429" w:rsidRPr="00557DFD">
        <w:rPr>
          <w:lang w:val="sk-SK"/>
        </w:rPr>
        <w:t xml:space="preserve"> ktor</w:t>
      </w:r>
      <w:r w:rsidR="009A296E" w:rsidRPr="00557DFD">
        <w:rPr>
          <w:lang w:val="sk-SK"/>
        </w:rPr>
        <w:t>á</w:t>
      </w:r>
      <w:r w:rsidR="00110429" w:rsidRPr="00557DFD">
        <w:rPr>
          <w:lang w:val="sk-SK"/>
        </w:rPr>
        <w:t xml:space="preserve"> produkuje </w:t>
      </w:r>
      <w:r w:rsidR="009A296E" w:rsidRPr="00557DFD">
        <w:rPr>
          <w:lang w:val="sk-SK"/>
        </w:rPr>
        <w:t>š</w:t>
      </w:r>
      <w:r w:rsidR="00110429" w:rsidRPr="00557DFD">
        <w:rPr>
          <w:lang w:val="sk-SK"/>
        </w:rPr>
        <w:t>pi</w:t>
      </w:r>
      <w:r w:rsidR="009A296E" w:rsidRPr="00557DFD">
        <w:rPr>
          <w:lang w:val="sk-SK"/>
        </w:rPr>
        <w:t>č</w:t>
      </w:r>
      <w:r w:rsidR="00110429" w:rsidRPr="00557DFD">
        <w:rPr>
          <w:lang w:val="sk-SK"/>
        </w:rPr>
        <w:t>kov</w:t>
      </w:r>
      <w:r w:rsidR="009A296E" w:rsidRPr="00557DFD">
        <w:rPr>
          <w:lang w:val="sk-SK"/>
        </w:rPr>
        <w:t>ý</w:t>
      </w:r>
      <w:r w:rsidR="00110429" w:rsidRPr="00557DFD">
        <w:rPr>
          <w:lang w:val="sk-SK"/>
        </w:rPr>
        <w:t>ch odborn</w:t>
      </w:r>
      <w:r w:rsidR="009A296E" w:rsidRPr="00557DFD">
        <w:rPr>
          <w:lang w:val="sk-SK"/>
        </w:rPr>
        <w:t>í</w:t>
      </w:r>
      <w:r w:rsidR="00110429" w:rsidRPr="00557DFD">
        <w:rPr>
          <w:lang w:val="sk-SK"/>
        </w:rPr>
        <w:t>kov, expertov v jednotliv</w:t>
      </w:r>
      <w:r w:rsidR="009A296E" w:rsidRPr="00557DFD">
        <w:rPr>
          <w:lang w:val="sk-SK"/>
        </w:rPr>
        <w:t>ý</w:t>
      </w:r>
      <w:r w:rsidR="00110429" w:rsidRPr="00557DFD">
        <w:rPr>
          <w:lang w:val="sk-SK"/>
        </w:rPr>
        <w:t>ch oblastiach s najvy</w:t>
      </w:r>
      <w:r w:rsidR="009A296E" w:rsidRPr="00557DFD">
        <w:rPr>
          <w:lang w:val="sk-SK"/>
        </w:rPr>
        <w:t>šším</w:t>
      </w:r>
      <w:r w:rsidR="00110429" w:rsidRPr="00557DFD">
        <w:rPr>
          <w:lang w:val="sk-SK"/>
        </w:rPr>
        <w:t xml:space="preserve"> mo</w:t>
      </w:r>
      <w:r w:rsidR="009A296E" w:rsidRPr="00557DFD">
        <w:rPr>
          <w:lang w:val="sk-SK"/>
        </w:rPr>
        <w:t>ž</w:t>
      </w:r>
      <w:r w:rsidR="00110429" w:rsidRPr="00557DFD">
        <w:rPr>
          <w:lang w:val="sk-SK"/>
        </w:rPr>
        <w:t>n</w:t>
      </w:r>
      <w:r w:rsidR="009A296E" w:rsidRPr="00557DFD">
        <w:rPr>
          <w:lang w:val="sk-SK"/>
        </w:rPr>
        <w:t>ý</w:t>
      </w:r>
      <w:r w:rsidR="00110429" w:rsidRPr="00557DFD">
        <w:rPr>
          <w:lang w:val="sk-SK"/>
        </w:rPr>
        <w:t>m vzdelan</w:t>
      </w:r>
      <w:r w:rsidR="009A296E" w:rsidRPr="00557DFD">
        <w:rPr>
          <w:lang w:val="sk-SK"/>
        </w:rPr>
        <w:t>í</w:t>
      </w:r>
      <w:r w:rsidR="00110429" w:rsidRPr="00557DFD">
        <w:rPr>
          <w:lang w:val="sk-SK"/>
        </w:rPr>
        <w:t>m.</w:t>
      </w:r>
      <w:r w:rsidR="009A296E" w:rsidRPr="00557DFD">
        <w:rPr>
          <w:lang w:val="sk-SK"/>
        </w:rPr>
        <w:t xml:space="preserve"> Každá krajina potrebuje mať niekoľko špičkových pracovísk, ktoré vychovávajú expertov v príslušnej oblasti, ktorí budú zastávať dôležité pozície v</w:t>
      </w:r>
      <w:r w:rsidR="002D3C11" w:rsidRPr="00557DFD">
        <w:rPr>
          <w:lang w:val="sk-SK"/>
        </w:rPr>
        <w:t> </w:t>
      </w:r>
      <w:r w:rsidR="009A296E" w:rsidRPr="00557DFD">
        <w:rPr>
          <w:lang w:val="sk-SK"/>
        </w:rPr>
        <w:t xml:space="preserve">priemysle a aj v spoločnosti, s veľkým percentom lídrov. </w:t>
      </w:r>
      <w:r w:rsidR="002D3C11" w:rsidRPr="00557DFD">
        <w:rPr>
          <w:lang w:val="sk-SK"/>
        </w:rPr>
        <w:t xml:space="preserve">STU </w:t>
      </w:r>
      <w:r w:rsidR="0085363F" w:rsidRPr="00557DFD">
        <w:rPr>
          <w:lang w:val="sk-SK"/>
        </w:rPr>
        <w:t xml:space="preserve">túto </w:t>
      </w:r>
      <w:r w:rsidR="009A296E" w:rsidRPr="00557DFD">
        <w:rPr>
          <w:lang w:val="sk-SK"/>
        </w:rPr>
        <w:t>svoju pozíciu dlhodobo dokazuje</w:t>
      </w:r>
      <w:r w:rsidR="002D3C11" w:rsidRPr="00557DFD">
        <w:rPr>
          <w:lang w:val="sk-SK"/>
        </w:rPr>
        <w:t xml:space="preserve">, napr. </w:t>
      </w:r>
      <w:r w:rsidR="009A296E" w:rsidRPr="00557DFD">
        <w:rPr>
          <w:lang w:val="sk-SK"/>
        </w:rPr>
        <w:t xml:space="preserve">medzinárodnou profesijnou akreditáciou od </w:t>
      </w:r>
      <w:proofErr w:type="spellStart"/>
      <w:r w:rsidR="009A296E" w:rsidRPr="00557DFD">
        <w:rPr>
          <w:lang w:val="sk-SK"/>
        </w:rPr>
        <w:t>The</w:t>
      </w:r>
      <w:proofErr w:type="spellEnd"/>
      <w:r w:rsidR="009A296E" w:rsidRPr="00557DFD">
        <w:rPr>
          <w:lang w:val="sk-SK"/>
        </w:rPr>
        <w:t xml:space="preserve"> IET (</w:t>
      </w:r>
      <w:proofErr w:type="spellStart"/>
      <w:r w:rsidR="002D3C11" w:rsidRPr="00557DFD">
        <w:rPr>
          <w:lang w:val="sk-SK"/>
        </w:rPr>
        <w:t>British</w:t>
      </w:r>
      <w:proofErr w:type="spellEnd"/>
      <w:r w:rsidR="002D3C11" w:rsidRPr="00557DFD">
        <w:rPr>
          <w:lang w:val="sk-SK"/>
        </w:rPr>
        <w:t xml:space="preserve"> </w:t>
      </w:r>
      <w:proofErr w:type="spellStart"/>
      <w:r w:rsidR="002D3C11" w:rsidRPr="00557DFD">
        <w:rPr>
          <w:lang w:val="sk-SK"/>
        </w:rPr>
        <w:t>Engineering</w:t>
      </w:r>
      <w:proofErr w:type="spellEnd"/>
      <w:r w:rsidR="002D3C11" w:rsidRPr="00557DFD">
        <w:rPr>
          <w:lang w:val="sk-SK"/>
        </w:rPr>
        <w:t xml:space="preserve"> </w:t>
      </w:r>
      <w:proofErr w:type="spellStart"/>
      <w:r w:rsidR="002D3C11" w:rsidRPr="00557DFD">
        <w:rPr>
          <w:lang w:val="sk-SK"/>
        </w:rPr>
        <w:t>Council</w:t>
      </w:r>
      <w:proofErr w:type="spellEnd"/>
      <w:r w:rsidR="002D3C11" w:rsidRPr="00557DFD">
        <w:rPr>
          <w:lang w:val="sk-SK"/>
        </w:rPr>
        <w:t xml:space="preserve"> UK) </w:t>
      </w:r>
      <w:r w:rsidR="009A296E" w:rsidRPr="00557DFD">
        <w:rPr>
          <w:lang w:val="sk-SK"/>
        </w:rPr>
        <w:t>v IK</w:t>
      </w:r>
      <w:r w:rsidR="002D3C11" w:rsidRPr="00557DFD">
        <w:rPr>
          <w:lang w:val="sk-SK"/>
        </w:rPr>
        <w:t>T</w:t>
      </w:r>
      <w:r w:rsidR="009A296E" w:rsidRPr="00557DFD">
        <w:rPr>
          <w:lang w:val="sk-SK"/>
        </w:rPr>
        <w:t xml:space="preserve"> oblasti ako jediná v rámci krajín V4 a úplne jediná v rámci všetkých študijných programov</w:t>
      </w:r>
      <w:r w:rsidR="0085363F" w:rsidRPr="00557DFD">
        <w:rPr>
          <w:lang w:val="sk-SK"/>
        </w:rPr>
        <w:t xml:space="preserve"> </w:t>
      </w:r>
      <w:r w:rsidR="009A296E" w:rsidRPr="00557DFD">
        <w:rPr>
          <w:lang w:val="sk-SK"/>
        </w:rPr>
        <w:t>v rámci Slovenska, Česka a Poľska.</w:t>
      </w:r>
      <w:r w:rsidR="002D3C11" w:rsidRPr="00557DFD">
        <w:rPr>
          <w:lang w:val="sk-SK"/>
        </w:rPr>
        <w:t xml:space="preserve"> Z dlhodobého hľadiska je situácia na trhu pre zamestnávateľov z pohľadu absolventov technických univerzít veľmi nepriaznivá a je predpoklad, že do roku 2020 bude len na Slovensku chýbať viac ako 20 000 IKT odborníkov, pričom v </w:t>
      </w:r>
      <w:r w:rsidR="002D3C11" w:rsidRPr="00557DFD">
        <w:rPr>
          <w:lang w:val="sk-SK"/>
        </w:rPr>
        <w:lastRenderedPageBreak/>
        <w:t>celej Európskej únii je to viac ako 500 000 IKT špecialistov a</w:t>
      </w:r>
      <w:r w:rsidR="0085363F" w:rsidRPr="00557DFD">
        <w:rPr>
          <w:lang w:val="sk-SK"/>
        </w:rPr>
        <w:t xml:space="preserve"> tisícky </w:t>
      </w:r>
      <w:r w:rsidR="002D3C11" w:rsidRPr="00557DFD">
        <w:rPr>
          <w:lang w:val="sk-SK"/>
        </w:rPr>
        <w:t xml:space="preserve">ďalších odborníkov – absolventov technických univerzít. </w:t>
      </w:r>
    </w:p>
    <w:p w:rsidR="00CD356C" w:rsidRPr="00557DFD" w:rsidRDefault="0085363F" w:rsidP="0086774B">
      <w:pPr>
        <w:pStyle w:val="Odsekzoznamu"/>
        <w:numPr>
          <w:ilvl w:val="0"/>
          <w:numId w:val="10"/>
        </w:numPr>
        <w:ind w:left="0" w:firstLine="0"/>
        <w:jc w:val="both"/>
        <w:rPr>
          <w:b/>
          <w:lang w:val="sk-SK"/>
        </w:rPr>
      </w:pPr>
      <w:r w:rsidRPr="00557DFD">
        <w:rPr>
          <w:b/>
          <w:lang w:val="sk-SK"/>
        </w:rPr>
        <w:t>Š</w:t>
      </w:r>
      <w:r w:rsidR="002D3C11" w:rsidRPr="00557DFD">
        <w:rPr>
          <w:b/>
          <w:lang w:val="sk-SK"/>
        </w:rPr>
        <w:t>tudenti</w:t>
      </w:r>
      <w:r w:rsidR="00CD356C" w:rsidRPr="00557DFD">
        <w:rPr>
          <w:b/>
          <w:lang w:val="sk-SK"/>
        </w:rPr>
        <w:t xml:space="preserve">, ktorí neúspešne ukončia 1. rok </w:t>
      </w:r>
      <w:r w:rsidR="002D3C11" w:rsidRPr="00557DFD">
        <w:rPr>
          <w:b/>
          <w:lang w:val="sk-SK"/>
        </w:rPr>
        <w:t xml:space="preserve">bakalárskeho </w:t>
      </w:r>
      <w:r w:rsidR="00CD356C" w:rsidRPr="00557DFD">
        <w:rPr>
          <w:b/>
          <w:lang w:val="sk-SK"/>
        </w:rPr>
        <w:t>štúdia</w:t>
      </w:r>
    </w:p>
    <w:p w:rsidR="00AD624D" w:rsidRPr="00557DFD" w:rsidRDefault="00BE1E84" w:rsidP="0085363F">
      <w:pPr>
        <w:pStyle w:val="Odsekzoznamu"/>
        <w:ind w:left="0"/>
        <w:jc w:val="both"/>
        <w:rPr>
          <w:lang w:val="sk-SK"/>
        </w:rPr>
      </w:pPr>
      <w:r w:rsidRPr="00557DFD">
        <w:rPr>
          <w:lang w:val="sk-SK"/>
        </w:rPr>
        <w:t xml:space="preserve">STU poskytuje tradičné kvalitné technické vzdelávanie orientované na prípravu najmä absolventov </w:t>
      </w:r>
      <w:r w:rsidR="00964726" w:rsidRPr="00557DFD">
        <w:rPr>
          <w:lang w:val="sk-SK"/>
        </w:rPr>
        <w:t xml:space="preserve">študijných programov </w:t>
      </w:r>
      <w:r w:rsidRPr="00557DFD">
        <w:rPr>
          <w:lang w:val="sk-SK"/>
        </w:rPr>
        <w:t xml:space="preserve">2. </w:t>
      </w:r>
      <w:r w:rsidR="002D3C11" w:rsidRPr="00557DFD">
        <w:rPr>
          <w:lang w:val="sk-SK"/>
        </w:rPr>
        <w:t xml:space="preserve">a 3. </w:t>
      </w:r>
      <w:r w:rsidRPr="00557DFD">
        <w:rPr>
          <w:lang w:val="sk-SK"/>
        </w:rPr>
        <w:t>stupňa vysokoškolského štúdia</w:t>
      </w:r>
      <w:r w:rsidR="00964726" w:rsidRPr="00557DFD">
        <w:rPr>
          <w:lang w:val="sk-SK"/>
        </w:rPr>
        <w:t xml:space="preserve"> (ďalej len „inžinierskych študijných programov“</w:t>
      </w:r>
      <w:r w:rsidR="002D3C11" w:rsidRPr="00557DFD">
        <w:rPr>
          <w:lang w:val="sk-SK"/>
        </w:rPr>
        <w:t xml:space="preserve"> a „doktorandských študijných programov“</w:t>
      </w:r>
      <w:r w:rsidR="00964726" w:rsidRPr="00557DFD">
        <w:rPr>
          <w:lang w:val="sk-SK"/>
        </w:rPr>
        <w:t>)</w:t>
      </w:r>
      <w:r w:rsidRPr="00557DFD">
        <w:rPr>
          <w:lang w:val="sk-SK"/>
        </w:rPr>
        <w:t xml:space="preserve"> uplatniteľných vo všetkých oblastiach národného hospodárstva, pričom je snahou dosiahnuť, aby najlepší absolventi </w:t>
      </w:r>
      <w:r w:rsidR="002D3C11" w:rsidRPr="00557DFD">
        <w:rPr>
          <w:lang w:val="sk-SK"/>
        </w:rPr>
        <w:t xml:space="preserve">inžinierskych študijných programov </w:t>
      </w:r>
      <w:r w:rsidRPr="00557DFD">
        <w:rPr>
          <w:lang w:val="sk-SK"/>
        </w:rPr>
        <w:t>pokračovali v 3. stupni vysokoškolského štúdia a</w:t>
      </w:r>
      <w:r w:rsidR="00A51082" w:rsidRPr="00557DFD">
        <w:rPr>
          <w:lang w:val="sk-SK"/>
        </w:rPr>
        <w:t> </w:t>
      </w:r>
      <w:r w:rsidRPr="00557DFD">
        <w:rPr>
          <w:lang w:val="sk-SK"/>
        </w:rPr>
        <w:t>podieľali</w:t>
      </w:r>
      <w:r w:rsidR="00A51082" w:rsidRPr="00557DFD">
        <w:rPr>
          <w:lang w:val="sk-SK"/>
        </w:rPr>
        <w:t xml:space="preserve"> sa</w:t>
      </w:r>
      <w:r w:rsidRPr="00557DFD">
        <w:rPr>
          <w:lang w:val="sk-SK"/>
        </w:rPr>
        <w:t xml:space="preserve"> na medzinárodne uznávaných výskumných aktivitách nielen v oblasti základného ale i aplikovaného výskumu. Tomu je prispôsobené zameranie </w:t>
      </w:r>
      <w:r w:rsidR="00964726" w:rsidRPr="00557DFD">
        <w:rPr>
          <w:lang w:val="sk-SK"/>
        </w:rPr>
        <w:t xml:space="preserve">bakalárskych </w:t>
      </w:r>
      <w:r w:rsidRPr="00557DFD">
        <w:rPr>
          <w:lang w:val="sk-SK"/>
        </w:rPr>
        <w:t xml:space="preserve">študijných programov, </w:t>
      </w:r>
      <w:r w:rsidR="00964726" w:rsidRPr="00557DFD">
        <w:rPr>
          <w:lang w:val="sk-SK"/>
        </w:rPr>
        <w:t xml:space="preserve">v ktorých </w:t>
      </w:r>
      <w:r w:rsidRPr="00557DFD">
        <w:rPr>
          <w:lang w:val="sk-SK"/>
        </w:rPr>
        <w:t xml:space="preserve"> je cieľom poskytnúť študentom kvalitný teoretický základ </w:t>
      </w:r>
      <w:r w:rsidR="00C76D6E" w:rsidRPr="00557DFD">
        <w:rPr>
          <w:lang w:val="sk-SK"/>
        </w:rPr>
        <w:t>z</w:t>
      </w:r>
      <w:r w:rsidR="00964726" w:rsidRPr="00557DFD">
        <w:rPr>
          <w:lang w:val="sk-SK"/>
        </w:rPr>
        <w:t> </w:t>
      </w:r>
      <w:r w:rsidRPr="00557DFD">
        <w:rPr>
          <w:lang w:val="sk-SK"/>
        </w:rPr>
        <w:t xml:space="preserve">prírodných vied, na ktorom je možné založiť ďalšie </w:t>
      </w:r>
      <w:r w:rsidR="00C76D6E" w:rsidRPr="00557DFD">
        <w:rPr>
          <w:lang w:val="sk-SK"/>
        </w:rPr>
        <w:t xml:space="preserve">technické </w:t>
      </w:r>
      <w:r w:rsidR="0085363F" w:rsidRPr="00557DFD">
        <w:rPr>
          <w:lang w:val="sk-SK"/>
        </w:rPr>
        <w:t xml:space="preserve">štúdium. </w:t>
      </w:r>
      <w:r w:rsidRPr="00557DFD">
        <w:rPr>
          <w:lang w:val="sk-SK"/>
        </w:rPr>
        <w:t>Zabezpečenie tohto cieľa si v</w:t>
      </w:r>
      <w:r w:rsidR="0085363F" w:rsidRPr="00557DFD">
        <w:rPr>
          <w:lang w:val="sk-SK"/>
        </w:rPr>
        <w:t> </w:t>
      </w:r>
      <w:r w:rsidRPr="00557DFD">
        <w:rPr>
          <w:lang w:val="sk-SK"/>
        </w:rPr>
        <w:t xml:space="preserve">ostatných rokoch vyžiadalo zvýšenie rozsahu výučby </w:t>
      </w:r>
      <w:r w:rsidR="00762C47" w:rsidRPr="00557DFD">
        <w:rPr>
          <w:lang w:val="sk-SK"/>
        </w:rPr>
        <w:t xml:space="preserve">predmetov teoretického základu, nakoľko znižovanie rozsahu výučby matematiky a prírodovedných predmetov na stredných školách vedie k výchove stredoškolsky vzdelaných absolventov nedostatočne pripravených na úspešné zvládnutie štúdia na vysokých školách s technickým zameraním, pričom práve absolventi týchto vysokých škôl nachádzajú uplatnenie v praxi. </w:t>
      </w:r>
      <w:r w:rsidR="00C76D6E" w:rsidRPr="00557DFD">
        <w:rPr>
          <w:lang w:val="sk-SK"/>
        </w:rPr>
        <w:t>Vzhľadom na neuspokojivú vedomostnú úroveň prichádzajúcich uchádzačov o bakalárske štúdium z matematiky, fyziky</w:t>
      </w:r>
      <w:r w:rsidR="002D3C11" w:rsidRPr="00557DFD">
        <w:rPr>
          <w:lang w:val="sk-SK"/>
        </w:rPr>
        <w:t xml:space="preserve">, </w:t>
      </w:r>
      <w:r w:rsidR="00C76D6E" w:rsidRPr="00557DFD">
        <w:rPr>
          <w:lang w:val="sk-SK"/>
        </w:rPr>
        <w:t>chémie</w:t>
      </w:r>
      <w:r w:rsidR="002D3C11" w:rsidRPr="00557DFD">
        <w:rPr>
          <w:lang w:val="sk-SK"/>
        </w:rPr>
        <w:t xml:space="preserve"> a informatiky</w:t>
      </w:r>
      <w:r w:rsidR="00C76D6E" w:rsidRPr="00557DFD">
        <w:rPr>
          <w:lang w:val="sk-SK"/>
        </w:rPr>
        <w:t xml:space="preserve">, STU </w:t>
      </w:r>
      <w:r w:rsidR="00F5663E" w:rsidRPr="00557DFD">
        <w:rPr>
          <w:lang w:val="sk-SK"/>
        </w:rPr>
        <w:t xml:space="preserve">poskytuje </w:t>
      </w:r>
      <w:r w:rsidR="00964726" w:rsidRPr="00557DFD">
        <w:rPr>
          <w:lang w:val="sk-SK"/>
        </w:rPr>
        <w:t>7</w:t>
      </w:r>
      <w:r w:rsidR="00C76D6E" w:rsidRPr="00557DFD">
        <w:rPr>
          <w:lang w:val="sk-SK"/>
        </w:rPr>
        <w:t xml:space="preserve"> </w:t>
      </w:r>
      <w:r w:rsidR="00964726" w:rsidRPr="00557DFD">
        <w:rPr>
          <w:lang w:val="sk-SK"/>
        </w:rPr>
        <w:t>štvor</w:t>
      </w:r>
      <w:r w:rsidR="00C76D6E" w:rsidRPr="00557DFD">
        <w:rPr>
          <w:lang w:val="sk-SK"/>
        </w:rPr>
        <w:t xml:space="preserve">ročných konverzných bakalárskych študijných programov, pričom tento počet by bolo potrebné zvýšiť o ďalšie konverzné študijné programy. </w:t>
      </w:r>
      <w:r w:rsidR="006700FD" w:rsidRPr="00557DFD">
        <w:rPr>
          <w:lang w:val="sk-SK"/>
        </w:rPr>
        <w:t>O nepripravenosti absolventov stredných škôl na štúdium študijných programov na technických univerzitách svedčí i veľký počet študentov, ktorí neúspešne končia prvý rok štúdia už po zimnom a potom aj po letnom semestri.</w:t>
      </w:r>
      <w:r w:rsidR="00964726" w:rsidRPr="00557DFD">
        <w:rPr>
          <w:lang w:val="sk-SK"/>
        </w:rPr>
        <w:t xml:space="preserve"> Celkovo v ak. roku 2017/2018 neúspešne ukončilo štúdium po zimnom semestri 36 % zo študentov zapísaných na štúdium do 1. ročníka a po letnom semestri ďalších 12 % študentov. </w:t>
      </w:r>
      <w:r w:rsidR="005E2CE6" w:rsidRPr="00557DFD">
        <w:rPr>
          <w:lang w:val="sk-SK"/>
        </w:rPr>
        <w:t>Aj keď</w:t>
      </w:r>
      <w:r w:rsidR="00C76D6E" w:rsidRPr="00557DFD">
        <w:rPr>
          <w:lang w:val="sk-SK"/>
        </w:rPr>
        <w:t xml:space="preserve"> uskutočňované bakalárske študijné programy sú primárne zamerané na získanie teoretických základov potrebných pre pokračovanie v inžinierskom štúdiu (akademicky orientované), ic</w:t>
      </w:r>
      <w:r w:rsidR="0085363F" w:rsidRPr="00557DFD">
        <w:rPr>
          <w:lang w:val="sk-SK"/>
        </w:rPr>
        <w:t xml:space="preserve">h obsah (technologický základ, </w:t>
      </w:r>
      <w:r w:rsidR="00C76D6E" w:rsidRPr="00557DFD">
        <w:rPr>
          <w:lang w:val="sk-SK"/>
        </w:rPr>
        <w:t xml:space="preserve">laboratórne zručnosti) umožňuje ich absolventom </w:t>
      </w:r>
      <w:r w:rsidR="0085363F" w:rsidRPr="00557DFD">
        <w:rPr>
          <w:lang w:val="sk-SK"/>
        </w:rPr>
        <w:t>už</w:t>
      </w:r>
      <w:r w:rsidR="005E2CE6" w:rsidRPr="00557DFD">
        <w:rPr>
          <w:lang w:val="sk-SK"/>
        </w:rPr>
        <w:t xml:space="preserve"> </w:t>
      </w:r>
      <w:r w:rsidR="00C76D6E" w:rsidRPr="00557DFD">
        <w:rPr>
          <w:lang w:val="sk-SK"/>
        </w:rPr>
        <w:t xml:space="preserve">po skončení prvého stupňa nájsť si úspešne uplatnenie v praxi. </w:t>
      </w:r>
      <w:r w:rsidR="00ED2EA4" w:rsidRPr="00557DFD">
        <w:rPr>
          <w:lang w:val="sk-SK"/>
        </w:rPr>
        <w:t>Napriek tomu z</w:t>
      </w:r>
      <w:r w:rsidR="00C76D6E" w:rsidRPr="00557DFD">
        <w:rPr>
          <w:lang w:val="sk-SK"/>
        </w:rPr>
        <w:t xml:space="preserve">a ostatné 3 akademické roky </w:t>
      </w:r>
      <w:r w:rsidR="007F0139" w:rsidRPr="00557DFD">
        <w:rPr>
          <w:lang w:val="sk-SK"/>
        </w:rPr>
        <w:t xml:space="preserve">pokračovalo </w:t>
      </w:r>
      <w:r w:rsidR="00AD624D" w:rsidRPr="00557DFD">
        <w:rPr>
          <w:lang w:val="sk-SK"/>
        </w:rPr>
        <w:t xml:space="preserve">v štúdiu inžinierskych študijných programov v priemere </w:t>
      </w:r>
      <w:r w:rsidR="0078248E" w:rsidRPr="00557DFD">
        <w:rPr>
          <w:lang w:val="sk-SK"/>
        </w:rPr>
        <w:t>cca</w:t>
      </w:r>
      <w:r w:rsidR="007F0139" w:rsidRPr="00557DFD">
        <w:rPr>
          <w:lang w:val="sk-SK"/>
        </w:rPr>
        <w:t xml:space="preserve"> </w:t>
      </w:r>
      <w:r w:rsidR="00AD624D" w:rsidRPr="00557DFD">
        <w:rPr>
          <w:lang w:val="sk-SK"/>
        </w:rPr>
        <w:t>91</w:t>
      </w:r>
      <w:r w:rsidR="007F0139" w:rsidRPr="00557DFD">
        <w:rPr>
          <w:lang w:val="sk-SK"/>
        </w:rPr>
        <w:t> </w:t>
      </w:r>
      <w:r w:rsidR="00C76D6E" w:rsidRPr="00557DFD">
        <w:rPr>
          <w:lang w:val="sk-SK"/>
        </w:rPr>
        <w:t xml:space="preserve">% absolventov </w:t>
      </w:r>
      <w:r w:rsidR="00AD624D" w:rsidRPr="00557DFD">
        <w:rPr>
          <w:lang w:val="sk-SK"/>
        </w:rPr>
        <w:t xml:space="preserve">bakalárskych študijných programov. Ostatní absolventi sa buď zaradili do praxe alebo pokračovali v štúdiu na iných vysokých školách. </w:t>
      </w:r>
    </w:p>
    <w:p w:rsidR="007F0139" w:rsidRPr="00557DFD" w:rsidRDefault="007F0139" w:rsidP="00A246A8">
      <w:pPr>
        <w:pStyle w:val="Odsekzoznamu"/>
        <w:ind w:left="0"/>
        <w:jc w:val="both"/>
        <w:rPr>
          <w:lang w:val="sk-SK"/>
        </w:rPr>
      </w:pPr>
    </w:p>
    <w:p w:rsidR="00CD356C" w:rsidRPr="00557DFD" w:rsidRDefault="0085363F" w:rsidP="002E7383">
      <w:pPr>
        <w:pStyle w:val="Odsekzoznamu"/>
        <w:numPr>
          <w:ilvl w:val="0"/>
          <w:numId w:val="10"/>
        </w:numPr>
        <w:ind w:left="0" w:firstLine="0"/>
        <w:jc w:val="both"/>
        <w:rPr>
          <w:b/>
          <w:lang w:val="sk-SK"/>
        </w:rPr>
      </w:pPr>
      <w:r w:rsidRPr="00557DFD">
        <w:rPr>
          <w:b/>
          <w:lang w:val="sk-SK"/>
        </w:rPr>
        <w:t>Úroveň a</w:t>
      </w:r>
      <w:r w:rsidR="00686D87" w:rsidRPr="00557DFD">
        <w:rPr>
          <w:b/>
          <w:lang w:val="sk-SK"/>
        </w:rPr>
        <w:t>bsolvent</w:t>
      </w:r>
      <w:r w:rsidRPr="00557DFD">
        <w:rPr>
          <w:b/>
          <w:lang w:val="sk-SK"/>
        </w:rPr>
        <w:t>ov</w:t>
      </w:r>
      <w:r w:rsidR="00686D87" w:rsidRPr="00557DFD">
        <w:rPr>
          <w:b/>
          <w:lang w:val="sk-SK"/>
        </w:rPr>
        <w:t xml:space="preserve"> študijných</w:t>
      </w:r>
      <w:r w:rsidR="00CD356C" w:rsidRPr="00557DFD">
        <w:rPr>
          <w:b/>
          <w:lang w:val="sk-SK"/>
        </w:rPr>
        <w:t xml:space="preserve"> </w:t>
      </w:r>
      <w:r w:rsidR="00686D87" w:rsidRPr="00557DFD">
        <w:rPr>
          <w:b/>
          <w:lang w:val="sk-SK"/>
        </w:rPr>
        <w:t>programov</w:t>
      </w:r>
      <w:r w:rsidR="002E7383" w:rsidRPr="00557DFD">
        <w:rPr>
          <w:b/>
          <w:lang w:val="sk-SK"/>
        </w:rPr>
        <w:t xml:space="preserve"> </w:t>
      </w:r>
      <w:r w:rsidR="007F0139" w:rsidRPr="00557DFD">
        <w:rPr>
          <w:b/>
          <w:lang w:val="sk-SK"/>
        </w:rPr>
        <w:t>a nedostatočný počet absolventov pre zabezpečenie kvalitného výskumu</w:t>
      </w:r>
    </w:p>
    <w:p w:rsidR="007F0139" w:rsidRPr="00557DFD" w:rsidRDefault="00F5663E" w:rsidP="00596E0C">
      <w:pPr>
        <w:pStyle w:val="Odsekzoznamu"/>
        <w:ind w:left="0"/>
        <w:jc w:val="both"/>
        <w:rPr>
          <w:lang w:val="sk-SK"/>
        </w:rPr>
      </w:pPr>
      <w:r w:rsidRPr="00557DFD">
        <w:rPr>
          <w:lang w:val="sk-SK"/>
        </w:rPr>
        <w:t xml:space="preserve">STU uskutočňuje veľký počet </w:t>
      </w:r>
      <w:r w:rsidR="007F0139" w:rsidRPr="00557DFD">
        <w:rPr>
          <w:lang w:val="sk-SK"/>
        </w:rPr>
        <w:t xml:space="preserve">technických </w:t>
      </w:r>
      <w:r w:rsidRPr="00557DFD">
        <w:rPr>
          <w:lang w:val="sk-SK"/>
        </w:rPr>
        <w:t>študijných programov</w:t>
      </w:r>
      <w:r w:rsidR="007F0139" w:rsidRPr="00557DFD">
        <w:rPr>
          <w:lang w:val="sk-SK"/>
        </w:rPr>
        <w:t>, ktorých absolventi patria k tým absolventom</w:t>
      </w:r>
      <w:r w:rsidRPr="00557DFD">
        <w:rPr>
          <w:lang w:val="sk-SK"/>
        </w:rPr>
        <w:t>, po ktorých je veľký dopyt na trhu práce, ba ich počet je nedostatočný. STU je dlhodobo jednou z univerzít, ktorej absolventi patria k najmenej nezamestnaným absolventom</w:t>
      </w:r>
      <w:r w:rsidR="007F0139" w:rsidRPr="00557DFD">
        <w:rPr>
          <w:lang w:val="sk-SK"/>
        </w:rPr>
        <w:t xml:space="preserve"> (obr. 1). </w:t>
      </w:r>
      <w:r w:rsidR="00596E0C" w:rsidRPr="00557DFD">
        <w:rPr>
          <w:lang w:val="sk-SK"/>
        </w:rPr>
        <w:t xml:space="preserve">Napriek tomu je tu potreba zvýšenia úrovne absolventov </w:t>
      </w:r>
      <w:r w:rsidR="007F0139" w:rsidRPr="00557DFD">
        <w:rPr>
          <w:lang w:val="sk-SK"/>
        </w:rPr>
        <w:t>študijných programov</w:t>
      </w:r>
      <w:r w:rsidR="00596E0C" w:rsidRPr="00557DFD">
        <w:rPr>
          <w:lang w:val="sk-SK"/>
        </w:rPr>
        <w:t xml:space="preserve"> všetkých troch stupňov vysokoškolského štúdia a výchovy dostatočného počtu absolventov pre zabezpečenie kvalitného výskumu. </w:t>
      </w:r>
      <w:r w:rsidR="002928DC" w:rsidRPr="00557DFD">
        <w:rPr>
          <w:lang w:val="sk-SK"/>
        </w:rPr>
        <w:t>Kvôli tomu je potrebné o</w:t>
      </w:r>
      <w:r w:rsidRPr="00557DFD">
        <w:rPr>
          <w:lang w:val="sk-SK"/>
        </w:rPr>
        <w:t>ptimalizovať kvalifikačnú štruktúru zamestnancov univerzity</w:t>
      </w:r>
      <w:r w:rsidR="002928DC" w:rsidRPr="00557DFD">
        <w:rPr>
          <w:lang w:val="sk-SK"/>
        </w:rPr>
        <w:t xml:space="preserve"> a zabezpečiť dostatočný počet učiteľov pôsobiacich v študijných programoch</w:t>
      </w:r>
      <w:r w:rsidRPr="00557DFD">
        <w:rPr>
          <w:lang w:val="sk-SK"/>
        </w:rPr>
        <w:t xml:space="preserve">. </w:t>
      </w:r>
    </w:p>
    <w:p w:rsidR="00C8174D" w:rsidRPr="00557DFD" w:rsidRDefault="00C8174D" w:rsidP="00F01A78">
      <w:pPr>
        <w:pStyle w:val="Odsekzoznamu"/>
        <w:ind w:left="0"/>
        <w:jc w:val="both"/>
        <w:rPr>
          <w:lang w:val="sk-SK"/>
        </w:rPr>
      </w:pPr>
      <w:r w:rsidRPr="00557DFD">
        <w:rPr>
          <w:lang w:val="sk-SK"/>
        </w:rPr>
        <w:t xml:space="preserve">STU je univerzitou, ktorá je a má ambíciu zostať výskumnou univerzitou, ktorá je významným a atraktívnym partnerom s medzinárodne uznanými výstupmi pre zahraničné univerzity. Kvôli tomu je </w:t>
      </w:r>
      <w:r w:rsidRPr="00557DFD">
        <w:rPr>
          <w:lang w:val="sk-SK"/>
        </w:rPr>
        <w:lastRenderedPageBreak/>
        <w:t xml:space="preserve">nevyhnutné zatraktívniť tretí stupeň vysokoškolského vzdelávania, aby najlepší absolventi 2. stupňa vysokoškolského štúdia mali záujem pokračovať v 3. stupni štúdia. Preto je cieľom aj naďalej zachovať a posilňovať výskumný charakter štúdia a kvality výskumu študentov na všetkých troch stupňoch štúdia, ale hlavne na 2. a 3. stupni štúdia a zvýšiť nároky </w:t>
      </w:r>
      <w:r w:rsidR="0078248E" w:rsidRPr="00557DFD">
        <w:rPr>
          <w:lang w:val="sk-SK"/>
        </w:rPr>
        <w:t>n</w:t>
      </w:r>
      <w:r w:rsidRPr="00557DFD">
        <w:rPr>
          <w:lang w:val="sk-SK"/>
        </w:rPr>
        <w:t>a 2. a 3. stupni štúdia. Takýto systém vzdelávania vyselektuje prakticky orientovaných absolventov 1. stupňa štúdia pre prax.</w:t>
      </w:r>
    </w:p>
    <w:p w:rsidR="007F0139" w:rsidRPr="00557DFD" w:rsidRDefault="007F0139" w:rsidP="00A246A8">
      <w:pPr>
        <w:tabs>
          <w:tab w:val="left" w:pos="9356"/>
        </w:tabs>
        <w:jc w:val="center"/>
        <w:rPr>
          <w:bCs/>
          <w:iCs/>
          <w:lang w:val="sk-SK" w:eastAsia="sk-SK"/>
        </w:rPr>
      </w:pPr>
      <w:r w:rsidRPr="00557DFD">
        <w:rPr>
          <w:noProof/>
          <w:lang w:val="sk-SK" w:eastAsia="sk-SK"/>
        </w:rPr>
        <w:drawing>
          <wp:inline distT="0" distB="0" distL="0" distR="0">
            <wp:extent cx="5128592" cy="3085107"/>
            <wp:effectExtent l="1905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0139" w:rsidRPr="00557DFD" w:rsidRDefault="007F0139" w:rsidP="00A246A8">
      <w:pPr>
        <w:tabs>
          <w:tab w:val="left" w:pos="9356"/>
        </w:tabs>
        <w:rPr>
          <w:lang w:val="sk-SK"/>
        </w:rPr>
      </w:pPr>
      <w:bookmarkStart w:id="1" w:name="_Ref534932083"/>
      <w:bookmarkStart w:id="2" w:name="_Toc534724804"/>
      <w:bookmarkStart w:id="3" w:name="_Ref534932073"/>
      <w:r w:rsidRPr="00557DFD">
        <w:rPr>
          <w:bCs/>
          <w:iCs/>
          <w:lang w:val="sk-SK" w:eastAsia="sk-SK"/>
        </w:rPr>
        <w:t xml:space="preserve">Obr. </w:t>
      </w:r>
      <w:r w:rsidR="001D0881" w:rsidRPr="00557DFD">
        <w:rPr>
          <w:lang w:val="sk-SK"/>
        </w:rPr>
        <w:fldChar w:fldCharType="begin"/>
      </w:r>
      <w:r w:rsidRPr="00557DFD">
        <w:rPr>
          <w:lang w:val="sk-SK"/>
        </w:rPr>
        <w:instrText xml:space="preserve"> SEQ Graf_č. \* ARABIC </w:instrText>
      </w:r>
      <w:r w:rsidR="001D0881" w:rsidRPr="00557DFD">
        <w:rPr>
          <w:lang w:val="sk-SK"/>
        </w:rPr>
        <w:fldChar w:fldCharType="separate"/>
      </w:r>
      <w:r w:rsidR="00E85353" w:rsidRPr="00557DFD">
        <w:rPr>
          <w:noProof/>
          <w:lang w:val="sk-SK"/>
        </w:rPr>
        <w:t>1</w:t>
      </w:r>
      <w:r w:rsidR="001D0881" w:rsidRPr="00557DFD">
        <w:rPr>
          <w:lang w:val="sk-SK"/>
        </w:rPr>
        <w:fldChar w:fldCharType="end"/>
      </w:r>
      <w:bookmarkEnd w:id="1"/>
      <w:r w:rsidRPr="00557DFD">
        <w:rPr>
          <w:bCs/>
          <w:iCs/>
          <w:lang w:val="sk-SK" w:eastAsia="sk-SK"/>
        </w:rPr>
        <w:t>: Percentuálne vyjadrenie počtu nezamestnaných absolventov verejných vysokých škôl v SR v roku 2018</w:t>
      </w:r>
      <w:bookmarkEnd w:id="2"/>
      <w:bookmarkEnd w:id="3"/>
      <w:r w:rsidRPr="00557DFD">
        <w:rPr>
          <w:bCs/>
          <w:iCs/>
          <w:lang w:val="sk-SK" w:eastAsia="sk-SK"/>
        </w:rPr>
        <w:t xml:space="preserve"> ( </w:t>
      </w:r>
      <w:r w:rsidRPr="00557DFD">
        <w:rPr>
          <w:rFonts w:eastAsia="Times New Roman"/>
          <w:bCs/>
          <w:color w:val="000000"/>
          <w:lang w:val="sk-SK" w:eastAsia="sk-SK"/>
        </w:rPr>
        <w:t xml:space="preserve">Zdroj: </w:t>
      </w:r>
      <w:hyperlink r:id="rId11" w:history="1">
        <w:r w:rsidRPr="00557DFD">
          <w:rPr>
            <w:rStyle w:val="Hypertextovprepojenie"/>
            <w:rFonts w:eastAsia="Times New Roman"/>
            <w:lang w:val="sk-SK" w:eastAsia="sk-SK"/>
          </w:rPr>
          <w:t>http://www.cvtisr.sk/</w:t>
        </w:r>
      </w:hyperlink>
      <w:r w:rsidR="00C8174D" w:rsidRPr="00557DFD">
        <w:rPr>
          <w:lang w:val="sk-SK"/>
        </w:rPr>
        <w:t xml:space="preserve">, </w:t>
      </w:r>
      <w:hyperlink r:id="rId12" w:history="1">
        <w:r w:rsidRPr="00557DFD">
          <w:rPr>
            <w:rStyle w:val="Hypertextovprepojenie"/>
            <w:rFonts w:eastAsia="Times New Roman"/>
            <w:lang w:val="sk-SK" w:eastAsia="sk-SK"/>
          </w:rPr>
          <w:t>https://www.upsvr.gov.sk/statistiky/</w:t>
        </w:r>
      </w:hyperlink>
      <w:r w:rsidR="00C8174D" w:rsidRPr="00557DFD">
        <w:rPr>
          <w:lang w:val="sk-SK"/>
        </w:rPr>
        <w:t>)</w:t>
      </w:r>
    </w:p>
    <w:p w:rsidR="00CD356C" w:rsidRPr="00557DFD" w:rsidRDefault="00C8174D" w:rsidP="0086774B">
      <w:pPr>
        <w:pStyle w:val="Odsekzoznamu"/>
        <w:numPr>
          <w:ilvl w:val="0"/>
          <w:numId w:val="10"/>
        </w:numPr>
        <w:ind w:left="0" w:firstLine="0"/>
        <w:jc w:val="both"/>
        <w:rPr>
          <w:b/>
          <w:lang w:val="sk-SK"/>
        </w:rPr>
      </w:pPr>
      <w:r w:rsidRPr="00557DFD">
        <w:rPr>
          <w:b/>
          <w:lang w:val="sk-SK"/>
        </w:rPr>
        <w:t>P</w:t>
      </w:r>
      <w:r w:rsidR="00E10366" w:rsidRPr="00557DFD">
        <w:rPr>
          <w:b/>
          <w:lang w:val="sk-SK"/>
        </w:rPr>
        <w:t>rispôsobenie obsahu vzdelávania a kompetencií absolventov prioritám EU a SR a perspektívnym trendom</w:t>
      </w:r>
      <w:r w:rsidRPr="00557DFD">
        <w:rPr>
          <w:b/>
          <w:lang w:val="sk-SK"/>
        </w:rPr>
        <w:t xml:space="preserve">, </w:t>
      </w:r>
      <w:r w:rsidR="00DD044C" w:rsidRPr="00557DFD">
        <w:rPr>
          <w:b/>
          <w:lang w:val="sk-SK"/>
        </w:rPr>
        <w:t xml:space="preserve">zvýšenie kvality vzdelávania, </w:t>
      </w:r>
      <w:r w:rsidRPr="00557DFD">
        <w:rPr>
          <w:b/>
          <w:lang w:val="sk-SK"/>
        </w:rPr>
        <w:t xml:space="preserve">zvýšenie </w:t>
      </w:r>
      <w:proofErr w:type="spellStart"/>
      <w:r w:rsidRPr="00557DFD">
        <w:rPr>
          <w:b/>
          <w:lang w:val="sk-SK"/>
        </w:rPr>
        <w:t>inte</w:t>
      </w:r>
      <w:r w:rsidR="00B93577" w:rsidRPr="00557DFD">
        <w:rPr>
          <w:b/>
          <w:lang w:val="sk-SK"/>
        </w:rPr>
        <w:t>rdisciplinarity</w:t>
      </w:r>
      <w:proofErr w:type="spellEnd"/>
    </w:p>
    <w:p w:rsidR="006700FD" w:rsidRPr="00557DFD" w:rsidRDefault="009F3FEB" w:rsidP="00A7179B">
      <w:pPr>
        <w:pStyle w:val="Odsekzoznamu"/>
        <w:ind w:left="0"/>
        <w:jc w:val="both"/>
        <w:rPr>
          <w:lang w:val="sk-SK"/>
        </w:rPr>
      </w:pPr>
      <w:r w:rsidRPr="00557DFD">
        <w:rPr>
          <w:lang w:val="sk-SK"/>
        </w:rPr>
        <w:t xml:space="preserve">STU je univerzitou, ktorá má ambície byť európskou univerzitou aj v kontexte vzdelávania a aj v kontexte výskumu. Preto má ambíciu prispôsobiť obsah vzdelávania a kompetencií absolventov prioritám EU a SR a perspektívnym trendom. </w:t>
      </w:r>
      <w:r w:rsidR="00324606" w:rsidRPr="00557DFD">
        <w:rPr>
          <w:lang w:val="sk-SK"/>
        </w:rPr>
        <w:t xml:space="preserve">Hoci má </w:t>
      </w:r>
      <w:r w:rsidR="00CE7F27" w:rsidRPr="00557DFD">
        <w:rPr>
          <w:lang w:val="sk-SK"/>
        </w:rPr>
        <w:t xml:space="preserve">STU </w:t>
      </w:r>
      <w:r w:rsidR="00324606" w:rsidRPr="00557DFD">
        <w:rPr>
          <w:lang w:val="sk-SK"/>
        </w:rPr>
        <w:t>akred</w:t>
      </w:r>
      <w:r w:rsidR="0078248E" w:rsidRPr="00557DFD">
        <w:rPr>
          <w:lang w:val="sk-SK"/>
        </w:rPr>
        <w:t>it</w:t>
      </w:r>
      <w:r w:rsidR="00324606" w:rsidRPr="00557DFD">
        <w:rPr>
          <w:lang w:val="sk-SK"/>
        </w:rPr>
        <w:t xml:space="preserve">ovaný </w:t>
      </w:r>
      <w:r w:rsidR="00687A08" w:rsidRPr="00557DFD">
        <w:rPr>
          <w:lang w:val="sk-SK"/>
        </w:rPr>
        <w:t xml:space="preserve">dostatočný </w:t>
      </w:r>
      <w:r w:rsidR="00324606" w:rsidRPr="00557DFD">
        <w:rPr>
          <w:lang w:val="sk-SK"/>
        </w:rPr>
        <w:t>počet študijných programov, v</w:t>
      </w:r>
      <w:r w:rsidRPr="00557DFD">
        <w:rPr>
          <w:lang w:val="sk-SK"/>
        </w:rPr>
        <w:t> budúcom období sa bude snažiť o</w:t>
      </w:r>
      <w:r w:rsidR="00C8174D" w:rsidRPr="00557DFD">
        <w:rPr>
          <w:lang w:val="sk-SK"/>
        </w:rPr>
        <w:t> akreditáciu nových študijných programov v súlade s prioritami EU a SR a</w:t>
      </w:r>
      <w:r w:rsidR="00CE7F27" w:rsidRPr="00557DFD">
        <w:rPr>
          <w:lang w:val="sk-SK"/>
        </w:rPr>
        <w:t xml:space="preserve"> o </w:t>
      </w:r>
      <w:r w:rsidRPr="00557DFD">
        <w:rPr>
          <w:lang w:val="sk-SK"/>
        </w:rPr>
        <w:t xml:space="preserve">zvýšenie </w:t>
      </w:r>
      <w:proofErr w:type="spellStart"/>
      <w:r w:rsidRPr="00557DFD">
        <w:rPr>
          <w:lang w:val="sk-SK"/>
        </w:rPr>
        <w:t>interdisciplinarity</w:t>
      </w:r>
      <w:proofErr w:type="spellEnd"/>
      <w:r w:rsidRPr="00557DFD">
        <w:rPr>
          <w:lang w:val="sk-SK"/>
        </w:rPr>
        <w:t xml:space="preserve"> a </w:t>
      </w:r>
      <w:proofErr w:type="spellStart"/>
      <w:r w:rsidRPr="00557DFD">
        <w:rPr>
          <w:lang w:val="sk-SK"/>
        </w:rPr>
        <w:t>multidisciplinarity</w:t>
      </w:r>
      <w:proofErr w:type="spellEnd"/>
      <w:r w:rsidRPr="00557DFD">
        <w:rPr>
          <w:lang w:val="sk-SK"/>
        </w:rPr>
        <w:t xml:space="preserve"> </w:t>
      </w:r>
      <w:r w:rsidR="00C8174D" w:rsidRPr="00557DFD">
        <w:rPr>
          <w:lang w:val="sk-SK"/>
        </w:rPr>
        <w:t xml:space="preserve">prípravou akreditácie medziodborových </w:t>
      </w:r>
      <w:r w:rsidRPr="00557DFD">
        <w:rPr>
          <w:lang w:val="sk-SK"/>
        </w:rPr>
        <w:t>študijných</w:t>
      </w:r>
      <w:r w:rsidR="00C8174D" w:rsidRPr="00557DFD">
        <w:rPr>
          <w:lang w:val="sk-SK"/>
        </w:rPr>
        <w:t xml:space="preserve"> programov</w:t>
      </w:r>
      <w:r w:rsidR="00324606" w:rsidRPr="00557DFD">
        <w:rPr>
          <w:lang w:val="sk-SK"/>
        </w:rPr>
        <w:t xml:space="preserve">, ktorých počet v súčasnosti nie je veľký. </w:t>
      </w:r>
      <w:r w:rsidR="00E6151A" w:rsidRPr="00557DFD">
        <w:rPr>
          <w:lang w:val="sk-SK"/>
        </w:rPr>
        <w:t>Tento fakt je tiež dôvodom na optimalizáciu kvalifikačnej štruktúry zamestnancov univerzity a zabezpečenie dostatočn</w:t>
      </w:r>
      <w:r w:rsidR="00324606" w:rsidRPr="00557DFD">
        <w:rPr>
          <w:lang w:val="sk-SK"/>
        </w:rPr>
        <w:t>ého</w:t>
      </w:r>
      <w:r w:rsidR="00E6151A" w:rsidRPr="00557DFD">
        <w:rPr>
          <w:lang w:val="sk-SK"/>
        </w:rPr>
        <w:t xml:space="preserve"> poč</w:t>
      </w:r>
      <w:r w:rsidR="005E2CE6" w:rsidRPr="00557DFD">
        <w:rPr>
          <w:lang w:val="sk-SK"/>
        </w:rPr>
        <w:t>tu</w:t>
      </w:r>
      <w:r w:rsidR="00E6151A" w:rsidRPr="00557DFD">
        <w:rPr>
          <w:lang w:val="sk-SK"/>
        </w:rPr>
        <w:t xml:space="preserve"> učiteľov pôsobiacich v študijných programoch atraktívnych pre zamestnávateľov.</w:t>
      </w:r>
    </w:p>
    <w:p w:rsidR="00F00847" w:rsidRPr="00557DFD" w:rsidRDefault="00F00847" w:rsidP="00A246A8">
      <w:pPr>
        <w:pStyle w:val="Odsekzoznamu"/>
        <w:ind w:left="0"/>
        <w:jc w:val="both"/>
        <w:rPr>
          <w:lang w:val="sk-SK"/>
        </w:rPr>
      </w:pPr>
    </w:p>
    <w:p w:rsidR="00E6151A" w:rsidRPr="00557DFD" w:rsidRDefault="006D7812" w:rsidP="00762616">
      <w:pPr>
        <w:pStyle w:val="Odsekzoznamu"/>
        <w:numPr>
          <w:ilvl w:val="0"/>
          <w:numId w:val="10"/>
        </w:numPr>
        <w:ind w:left="0" w:firstLine="0"/>
        <w:jc w:val="both"/>
        <w:rPr>
          <w:b/>
          <w:lang w:val="sk-SK"/>
        </w:rPr>
      </w:pPr>
      <w:r w:rsidRPr="00557DFD">
        <w:rPr>
          <w:b/>
          <w:lang w:val="sk-SK"/>
        </w:rPr>
        <w:t>Príprava absolventov</w:t>
      </w:r>
      <w:r w:rsidR="00762616" w:rsidRPr="00557DFD">
        <w:rPr>
          <w:b/>
          <w:lang w:val="sk-SK"/>
        </w:rPr>
        <w:t xml:space="preserve"> konkurencieschopných v medzinárodnom kontexte, </w:t>
      </w:r>
      <w:r w:rsidR="00B93577" w:rsidRPr="00557DFD">
        <w:rPr>
          <w:b/>
          <w:lang w:val="sk-SK"/>
        </w:rPr>
        <w:t>internacionalizácia štúdia</w:t>
      </w:r>
    </w:p>
    <w:p w:rsidR="00F5663E" w:rsidRPr="00557DFD" w:rsidRDefault="00E6151A" w:rsidP="00262EAF">
      <w:pPr>
        <w:pStyle w:val="Odsekzoznamu"/>
        <w:ind w:left="0"/>
        <w:jc w:val="both"/>
        <w:rPr>
          <w:lang w:val="sk-SK"/>
        </w:rPr>
      </w:pPr>
      <w:r w:rsidRPr="00557DFD">
        <w:rPr>
          <w:lang w:val="sk-SK"/>
        </w:rPr>
        <w:t>STU v súlade s a</w:t>
      </w:r>
      <w:r w:rsidR="00801985" w:rsidRPr="00557DFD">
        <w:rPr>
          <w:lang w:val="sk-SK"/>
        </w:rPr>
        <w:t>m</w:t>
      </w:r>
      <w:r w:rsidRPr="00557DFD">
        <w:rPr>
          <w:lang w:val="sk-SK"/>
        </w:rPr>
        <w:t>bíciou byť význam</w:t>
      </w:r>
      <w:r w:rsidR="00801985" w:rsidRPr="00557DFD">
        <w:rPr>
          <w:lang w:val="sk-SK"/>
        </w:rPr>
        <w:t>n</w:t>
      </w:r>
      <w:r w:rsidRPr="00557DFD">
        <w:rPr>
          <w:lang w:val="sk-SK"/>
        </w:rPr>
        <w:t>ou európskou uni</w:t>
      </w:r>
      <w:r w:rsidR="00801985" w:rsidRPr="00557DFD">
        <w:rPr>
          <w:lang w:val="sk-SK"/>
        </w:rPr>
        <w:t>verzitou má ambíciu pripravovať absolventov</w:t>
      </w:r>
      <w:r w:rsidR="00762616" w:rsidRPr="00557DFD">
        <w:rPr>
          <w:lang w:val="sk-SK"/>
        </w:rPr>
        <w:t xml:space="preserve"> konkurencieschopných v medzinárodnom kontexte a uplatniteľných na</w:t>
      </w:r>
      <w:r w:rsidR="00230231" w:rsidRPr="00557DFD">
        <w:rPr>
          <w:lang w:val="sk-SK"/>
        </w:rPr>
        <w:t xml:space="preserve"> súčasn</w:t>
      </w:r>
      <w:r w:rsidR="00762616" w:rsidRPr="00557DFD">
        <w:rPr>
          <w:lang w:val="sk-SK"/>
        </w:rPr>
        <w:t>om</w:t>
      </w:r>
      <w:r w:rsidR="00230231" w:rsidRPr="00557DFD">
        <w:rPr>
          <w:lang w:val="sk-SK"/>
        </w:rPr>
        <w:t xml:space="preserve"> trh práce, ktorý je orientovaný na prácu v medzinárodnom prostredí</w:t>
      </w:r>
      <w:r w:rsidR="00762616" w:rsidRPr="00557DFD">
        <w:rPr>
          <w:lang w:val="sk-SK"/>
        </w:rPr>
        <w:t>. Zároveň má ambície</w:t>
      </w:r>
      <w:r w:rsidR="00801985" w:rsidRPr="00557DFD">
        <w:rPr>
          <w:lang w:val="sk-SK"/>
        </w:rPr>
        <w:t xml:space="preserve"> zvýšiť internacionalizáciu štúdia</w:t>
      </w:r>
      <w:r w:rsidR="00230231" w:rsidRPr="00557DFD">
        <w:rPr>
          <w:lang w:val="sk-SK"/>
        </w:rPr>
        <w:t xml:space="preserve">, </w:t>
      </w:r>
      <w:r w:rsidR="00230231" w:rsidRPr="00557DFD">
        <w:rPr>
          <w:lang w:val="sk-SK"/>
        </w:rPr>
        <w:lastRenderedPageBreak/>
        <w:t>ktorá je dôležitým nástrojom pre</w:t>
      </w:r>
      <w:r w:rsidR="00262EAF" w:rsidRPr="00557DFD">
        <w:rPr>
          <w:lang w:val="sk-SK"/>
        </w:rPr>
        <w:t xml:space="preserve"> zvýšenie konkurencieschopnosti v medzinárodnom kontexte a </w:t>
      </w:r>
      <w:r w:rsidR="00230231" w:rsidRPr="00557DFD">
        <w:rPr>
          <w:lang w:val="sk-SK"/>
        </w:rPr>
        <w:t>nadobudnutie vedomostí a zručností pre uplatnenie sa absolventov v medzinárodnom pracovnom prostredí</w:t>
      </w:r>
      <w:r w:rsidR="00801985" w:rsidRPr="00557DFD">
        <w:rPr>
          <w:lang w:val="sk-SK"/>
        </w:rPr>
        <w:t xml:space="preserve">. </w:t>
      </w:r>
      <w:r w:rsidR="00F5663E" w:rsidRPr="00557DFD">
        <w:rPr>
          <w:lang w:val="sk-SK"/>
        </w:rPr>
        <w:t xml:space="preserve">Pre posilnenie internacionalizácie štúdia </w:t>
      </w:r>
      <w:r w:rsidR="00801985" w:rsidRPr="00557DFD">
        <w:rPr>
          <w:lang w:val="sk-SK"/>
        </w:rPr>
        <w:t xml:space="preserve">je potrebné zvýšiť </w:t>
      </w:r>
      <w:r w:rsidR="00F5663E" w:rsidRPr="00557DFD">
        <w:rPr>
          <w:lang w:val="sk-SK"/>
        </w:rPr>
        <w:t>počet zahraničných študentov študujúcich v slovenskom ale predovšetký</w:t>
      </w:r>
      <w:r w:rsidR="00801985" w:rsidRPr="00557DFD">
        <w:rPr>
          <w:lang w:val="sk-SK"/>
        </w:rPr>
        <w:t>m</w:t>
      </w:r>
      <w:r w:rsidR="00F5663E" w:rsidRPr="00557DFD">
        <w:rPr>
          <w:lang w:val="sk-SK"/>
        </w:rPr>
        <w:t xml:space="preserve"> v anglickom jazyku</w:t>
      </w:r>
      <w:r w:rsidR="0078248E" w:rsidRPr="00557DFD">
        <w:rPr>
          <w:lang w:val="sk-SK"/>
        </w:rPr>
        <w:t xml:space="preserve">, a to prioritne na </w:t>
      </w:r>
      <w:r w:rsidR="00230231" w:rsidRPr="00557DFD">
        <w:rPr>
          <w:lang w:val="sk-SK"/>
        </w:rPr>
        <w:t xml:space="preserve">2. a </w:t>
      </w:r>
      <w:r w:rsidR="0078248E" w:rsidRPr="00557DFD">
        <w:rPr>
          <w:lang w:val="sk-SK"/>
        </w:rPr>
        <w:t>3. stupni vysokoškolského štúdia</w:t>
      </w:r>
      <w:r w:rsidR="00F5663E" w:rsidRPr="00557DFD">
        <w:rPr>
          <w:lang w:val="sk-SK"/>
        </w:rPr>
        <w:t xml:space="preserve">. </w:t>
      </w:r>
      <w:r w:rsidR="009F3FEB" w:rsidRPr="00557DFD">
        <w:rPr>
          <w:lang w:val="sk-SK"/>
        </w:rPr>
        <w:t>Počet zahraničných študentov na STU je v súčasnosti nedostatočný</w:t>
      </w:r>
      <w:r w:rsidR="00801985" w:rsidRPr="00557DFD">
        <w:rPr>
          <w:lang w:val="sk-SK"/>
        </w:rPr>
        <w:t xml:space="preserve"> a predstavuje len 3,3 % z celkového počtu študentov. </w:t>
      </w:r>
      <w:r w:rsidR="0078248E" w:rsidRPr="00557DFD">
        <w:rPr>
          <w:lang w:val="sk-SK"/>
        </w:rPr>
        <w:t xml:space="preserve">Podobná situácia </w:t>
      </w:r>
      <w:r w:rsidR="00687A08" w:rsidRPr="00557DFD">
        <w:rPr>
          <w:lang w:val="sk-SK"/>
        </w:rPr>
        <w:t xml:space="preserve">je </w:t>
      </w:r>
      <w:r w:rsidR="0078248E" w:rsidRPr="00557DFD">
        <w:rPr>
          <w:lang w:val="sk-SK"/>
        </w:rPr>
        <w:t xml:space="preserve">v mobilitách študentov, keď v ak. roku vycestovalo na mobility len </w:t>
      </w:r>
      <w:r w:rsidR="00A51082" w:rsidRPr="00557DFD">
        <w:rPr>
          <w:lang w:val="sk-SK"/>
        </w:rPr>
        <w:t xml:space="preserve">318 študentov, t.j. </w:t>
      </w:r>
      <w:r w:rsidR="002B218B" w:rsidRPr="00557DFD">
        <w:rPr>
          <w:lang w:val="sk-SK"/>
        </w:rPr>
        <w:t>2,7 % študentov</w:t>
      </w:r>
      <w:r w:rsidR="00A51082" w:rsidRPr="00557DFD">
        <w:rPr>
          <w:lang w:val="sk-SK"/>
        </w:rPr>
        <w:t xml:space="preserve">, </w:t>
      </w:r>
      <w:r w:rsidR="002B218B" w:rsidRPr="00557DFD">
        <w:rPr>
          <w:lang w:val="sk-SK"/>
        </w:rPr>
        <w:t xml:space="preserve"> a</w:t>
      </w:r>
      <w:r w:rsidR="00687A08" w:rsidRPr="00557DFD">
        <w:rPr>
          <w:lang w:val="sk-SK"/>
        </w:rPr>
        <w:t xml:space="preserve"> STU </w:t>
      </w:r>
      <w:r w:rsidR="002B218B" w:rsidRPr="00557DFD">
        <w:rPr>
          <w:lang w:val="sk-SK"/>
        </w:rPr>
        <w:t xml:space="preserve">prijala </w:t>
      </w:r>
      <w:r w:rsidR="00A51082" w:rsidRPr="00557DFD">
        <w:rPr>
          <w:lang w:val="sk-SK"/>
        </w:rPr>
        <w:t>223</w:t>
      </w:r>
      <w:r w:rsidR="002B218B" w:rsidRPr="00557DFD">
        <w:rPr>
          <w:lang w:val="sk-SK"/>
        </w:rPr>
        <w:t xml:space="preserve"> študentov. Hoci je trend stúpajúci, je potrebné vytvoriť lepšie podmienky študento</w:t>
      </w:r>
      <w:r w:rsidR="00CC34B6" w:rsidRPr="00557DFD">
        <w:rPr>
          <w:lang w:val="sk-SK"/>
        </w:rPr>
        <w:t>m</w:t>
      </w:r>
      <w:r w:rsidR="002B218B" w:rsidRPr="00557DFD">
        <w:rPr>
          <w:lang w:val="sk-SK"/>
        </w:rPr>
        <w:t xml:space="preserve"> pre vycestovani</w:t>
      </w:r>
      <w:r w:rsidR="00687A08" w:rsidRPr="00557DFD">
        <w:rPr>
          <w:lang w:val="sk-SK"/>
        </w:rPr>
        <w:t>e</w:t>
      </w:r>
      <w:r w:rsidR="002B218B" w:rsidRPr="00557DFD">
        <w:rPr>
          <w:lang w:val="sk-SK"/>
        </w:rPr>
        <w:t xml:space="preserve"> súvisiace s jazykovou prípravou a rovnako treba zabezpečiť výučbu celých študijných programov v anglickom jazyku. Aj preto</w:t>
      </w:r>
      <w:r w:rsidR="009F3FEB" w:rsidRPr="00557DFD">
        <w:rPr>
          <w:lang w:val="sk-SK"/>
        </w:rPr>
        <w:t xml:space="preserve"> </w:t>
      </w:r>
      <w:r w:rsidR="002B218B" w:rsidRPr="00557DFD">
        <w:rPr>
          <w:lang w:val="sk-SK"/>
        </w:rPr>
        <w:t>je nevyhnutné zabezpečiť</w:t>
      </w:r>
      <w:r w:rsidR="009F3FEB" w:rsidRPr="00557DFD">
        <w:rPr>
          <w:lang w:val="sk-SK"/>
        </w:rPr>
        <w:t xml:space="preserve"> účasť </w:t>
      </w:r>
      <w:r w:rsidR="00801985" w:rsidRPr="00557DFD">
        <w:rPr>
          <w:lang w:val="sk-SK"/>
        </w:rPr>
        <w:t xml:space="preserve">učiteľov a </w:t>
      </w:r>
      <w:r w:rsidR="009F3FEB" w:rsidRPr="00557DFD">
        <w:rPr>
          <w:lang w:val="sk-SK"/>
        </w:rPr>
        <w:t>odborníkov zo zahraničia v pedagogickom procese. K</w:t>
      </w:r>
      <w:r w:rsidR="00262EAF" w:rsidRPr="00557DFD">
        <w:rPr>
          <w:lang w:val="sk-SK"/>
        </w:rPr>
        <w:t> </w:t>
      </w:r>
      <w:r w:rsidR="009F3FEB" w:rsidRPr="00557DFD">
        <w:rPr>
          <w:lang w:val="sk-SK"/>
        </w:rPr>
        <w:t>z</w:t>
      </w:r>
      <w:r w:rsidR="00F5663E" w:rsidRPr="00557DFD">
        <w:rPr>
          <w:lang w:val="sk-SK"/>
        </w:rPr>
        <w:t>výšeni</w:t>
      </w:r>
      <w:r w:rsidR="009F3FEB" w:rsidRPr="00557DFD">
        <w:rPr>
          <w:lang w:val="sk-SK"/>
        </w:rPr>
        <w:t>u</w:t>
      </w:r>
      <w:r w:rsidR="00F5663E" w:rsidRPr="00557DFD">
        <w:rPr>
          <w:lang w:val="sk-SK"/>
        </w:rPr>
        <w:t xml:space="preserve"> internacionalizácie štúdia </w:t>
      </w:r>
      <w:r w:rsidR="009F3FEB" w:rsidRPr="00557DFD">
        <w:rPr>
          <w:lang w:val="sk-SK"/>
        </w:rPr>
        <w:t xml:space="preserve">je potrebné </w:t>
      </w:r>
      <w:r w:rsidR="00432A32" w:rsidRPr="00557DFD">
        <w:rPr>
          <w:lang w:val="sk-SK"/>
        </w:rPr>
        <w:t xml:space="preserve">začať poskytovať vzdelávanie v študijných programoch </w:t>
      </w:r>
      <w:r w:rsidR="00801985" w:rsidRPr="00557DFD">
        <w:rPr>
          <w:lang w:val="sk-SK"/>
        </w:rPr>
        <w:t>v anglickom jazyku a</w:t>
      </w:r>
      <w:r w:rsidR="00432A32" w:rsidRPr="00557DFD">
        <w:rPr>
          <w:lang w:val="sk-SK"/>
        </w:rPr>
        <w:t xml:space="preserve"> na niektorých súčastiach univerzity akreditovať </w:t>
      </w:r>
      <w:r w:rsidR="00F5663E" w:rsidRPr="00557DFD">
        <w:rPr>
          <w:lang w:val="sk-SK"/>
        </w:rPr>
        <w:t>študijn</w:t>
      </w:r>
      <w:r w:rsidR="00432A32" w:rsidRPr="00557DFD">
        <w:rPr>
          <w:lang w:val="sk-SK"/>
        </w:rPr>
        <w:t>é</w:t>
      </w:r>
      <w:r w:rsidR="00F5663E" w:rsidRPr="00557DFD">
        <w:rPr>
          <w:lang w:val="sk-SK"/>
        </w:rPr>
        <w:t xml:space="preserve"> program</w:t>
      </w:r>
      <w:r w:rsidR="00432A32" w:rsidRPr="00557DFD">
        <w:rPr>
          <w:lang w:val="sk-SK"/>
        </w:rPr>
        <w:t>y</w:t>
      </w:r>
      <w:r w:rsidR="00F5663E" w:rsidRPr="00557DFD">
        <w:rPr>
          <w:lang w:val="sk-SK"/>
        </w:rPr>
        <w:t xml:space="preserve"> poskytovan</w:t>
      </w:r>
      <w:r w:rsidR="00432A32" w:rsidRPr="00557DFD">
        <w:rPr>
          <w:lang w:val="sk-SK"/>
        </w:rPr>
        <w:t>é</w:t>
      </w:r>
      <w:r w:rsidR="00F5663E" w:rsidRPr="00557DFD">
        <w:rPr>
          <w:lang w:val="sk-SK"/>
        </w:rPr>
        <w:t xml:space="preserve"> v anglickom jazyku s potenciálom pritiahnuť kvalitných zahr</w:t>
      </w:r>
      <w:r w:rsidR="00EB4F3D" w:rsidRPr="00557DFD">
        <w:rPr>
          <w:lang w:val="sk-SK"/>
        </w:rPr>
        <w:t>aničných aj domácich uchádzačov.</w:t>
      </w:r>
      <w:r w:rsidR="00F5663E" w:rsidRPr="00557DFD">
        <w:rPr>
          <w:lang w:val="sk-SK"/>
        </w:rPr>
        <w:t xml:space="preserve"> </w:t>
      </w:r>
      <w:r w:rsidR="00EB4F3D" w:rsidRPr="00557DFD">
        <w:rPr>
          <w:lang w:val="sk-SK"/>
        </w:rPr>
        <w:t>Prijímacie konanie</w:t>
      </w:r>
      <w:r w:rsidR="00262EAF" w:rsidRPr="00557DFD">
        <w:rPr>
          <w:lang w:val="sk-SK"/>
        </w:rPr>
        <w:t xml:space="preserve"> a nástup na štúdium</w:t>
      </w:r>
      <w:r w:rsidR="00EB4F3D" w:rsidRPr="00557DFD">
        <w:rPr>
          <w:lang w:val="sk-SK"/>
        </w:rPr>
        <w:t xml:space="preserve"> treba v súlade s platnou legislatívou v maximálnej miere zjednodušiť z pohľadu zahraničných uchádzačov. </w:t>
      </w:r>
      <w:r w:rsidR="00432A32" w:rsidRPr="00557DFD">
        <w:rPr>
          <w:lang w:val="sk-SK"/>
        </w:rPr>
        <w:t xml:space="preserve">S tým je spojená </w:t>
      </w:r>
      <w:r w:rsidR="00324606" w:rsidRPr="00557DFD">
        <w:rPr>
          <w:lang w:val="sk-SK"/>
        </w:rPr>
        <w:t xml:space="preserve">potreba preorientovať </w:t>
      </w:r>
      <w:r w:rsidR="00432A32" w:rsidRPr="00557DFD">
        <w:rPr>
          <w:lang w:val="sk-SK"/>
        </w:rPr>
        <w:t>intenzívn</w:t>
      </w:r>
      <w:r w:rsidR="00324606" w:rsidRPr="00557DFD">
        <w:rPr>
          <w:lang w:val="sk-SK"/>
        </w:rPr>
        <w:t>u</w:t>
      </w:r>
      <w:r w:rsidR="00432A32" w:rsidRPr="00557DFD">
        <w:rPr>
          <w:lang w:val="sk-SK"/>
        </w:rPr>
        <w:t xml:space="preserve"> propagáci</w:t>
      </w:r>
      <w:r w:rsidR="00324606" w:rsidRPr="00557DFD">
        <w:rPr>
          <w:lang w:val="sk-SK"/>
        </w:rPr>
        <w:t>u</w:t>
      </w:r>
      <w:r w:rsidR="00432A32" w:rsidRPr="00557DFD">
        <w:rPr>
          <w:lang w:val="sk-SK"/>
        </w:rPr>
        <w:t xml:space="preserve"> štúdia </w:t>
      </w:r>
      <w:r w:rsidR="00324606" w:rsidRPr="00557DFD">
        <w:rPr>
          <w:lang w:val="sk-SK"/>
        </w:rPr>
        <w:t>z domáceho prostredia na prostredie medzinárodné</w:t>
      </w:r>
      <w:r w:rsidR="00432A32" w:rsidRPr="00557DFD">
        <w:rPr>
          <w:lang w:val="sk-SK"/>
        </w:rPr>
        <w:t>. Zároveň je potrebné vytvoriť podmienky, aby aspoň časti štúdia boli zabezpečované učiteľmi a odborníkmi pôsobiacimi n</w:t>
      </w:r>
      <w:r w:rsidR="002B218B" w:rsidRPr="00557DFD">
        <w:rPr>
          <w:lang w:val="sk-SK"/>
        </w:rPr>
        <w:t xml:space="preserve">a zahraničných vysokých školách a aby študenti rozsiahlejšie časti svojho štúdia absolvovali v zahraničí. Pomôže tomu akreditácia spoločných doktorandských študijných programov, ktoré bude STU zabezpečovať v spolupráci so zahraničnými univerzitami, a to najmä v 2. a 3. stupni štúdia.  </w:t>
      </w:r>
    </w:p>
    <w:p w:rsidR="002B218B" w:rsidRPr="00557DFD" w:rsidRDefault="002B218B" w:rsidP="002B218B">
      <w:pPr>
        <w:pStyle w:val="Odsekzoznamu"/>
        <w:ind w:left="0"/>
        <w:jc w:val="both"/>
        <w:rPr>
          <w:lang w:val="sk-SK"/>
        </w:rPr>
      </w:pPr>
    </w:p>
    <w:p w:rsidR="006D7812" w:rsidRPr="00557DFD" w:rsidRDefault="009C1D95" w:rsidP="009C1D95">
      <w:pPr>
        <w:pStyle w:val="Odsekzoznamu"/>
        <w:numPr>
          <w:ilvl w:val="0"/>
          <w:numId w:val="10"/>
        </w:numPr>
        <w:ind w:left="0" w:firstLine="0"/>
        <w:jc w:val="both"/>
        <w:rPr>
          <w:b/>
          <w:lang w:val="sk-SK"/>
        </w:rPr>
      </w:pPr>
      <w:r w:rsidRPr="00557DFD">
        <w:rPr>
          <w:b/>
          <w:lang w:val="sk-SK"/>
        </w:rPr>
        <w:t>Skvalitnenie p</w:t>
      </w:r>
      <w:r w:rsidR="006D7812" w:rsidRPr="00557DFD">
        <w:rPr>
          <w:b/>
          <w:lang w:val="sk-SK"/>
        </w:rPr>
        <w:t>ríprav</w:t>
      </w:r>
      <w:r w:rsidRPr="00557DFD">
        <w:rPr>
          <w:b/>
          <w:lang w:val="sk-SK"/>
        </w:rPr>
        <w:t>y</w:t>
      </w:r>
      <w:r w:rsidR="006D7812" w:rsidRPr="00557DFD">
        <w:rPr>
          <w:b/>
          <w:lang w:val="sk-SK"/>
        </w:rPr>
        <w:t xml:space="preserve"> absolventov </w:t>
      </w:r>
      <w:r w:rsidR="00230231" w:rsidRPr="00557DFD">
        <w:rPr>
          <w:b/>
          <w:lang w:val="sk-SK"/>
        </w:rPr>
        <w:t xml:space="preserve">všetkých 3 stupňov vysokoškolského vzdelávania </w:t>
      </w:r>
      <w:r w:rsidR="006D7812" w:rsidRPr="00557DFD">
        <w:rPr>
          <w:b/>
          <w:lang w:val="sk-SK"/>
        </w:rPr>
        <w:t>pre prax</w:t>
      </w:r>
    </w:p>
    <w:p w:rsidR="006700FD" w:rsidRPr="00557DFD" w:rsidRDefault="00432A32" w:rsidP="00262EAF">
      <w:pPr>
        <w:pStyle w:val="Odsekzoznamu"/>
        <w:ind w:left="0"/>
        <w:jc w:val="both"/>
        <w:rPr>
          <w:lang w:val="sk-SK"/>
        </w:rPr>
      </w:pPr>
      <w:r w:rsidRPr="00557DFD">
        <w:rPr>
          <w:lang w:val="sk-SK"/>
        </w:rPr>
        <w:t>P</w:t>
      </w:r>
      <w:r w:rsidR="00F5663E" w:rsidRPr="00557DFD">
        <w:rPr>
          <w:lang w:val="sk-SK"/>
        </w:rPr>
        <w:t xml:space="preserve">re </w:t>
      </w:r>
      <w:r w:rsidR="009C1D95" w:rsidRPr="00557DFD">
        <w:rPr>
          <w:lang w:val="sk-SK"/>
        </w:rPr>
        <w:t xml:space="preserve">skvalitnenie </w:t>
      </w:r>
      <w:r w:rsidR="00F5663E" w:rsidRPr="00557DFD">
        <w:rPr>
          <w:lang w:val="sk-SK"/>
        </w:rPr>
        <w:t>prípravy absolventov</w:t>
      </w:r>
      <w:r w:rsidR="00262EAF" w:rsidRPr="00557DFD">
        <w:rPr>
          <w:lang w:val="sk-SK"/>
        </w:rPr>
        <w:t xml:space="preserve"> všetkých 3 stupňov vysokoškolského vzdelávania</w:t>
      </w:r>
      <w:r w:rsidR="00F5663E" w:rsidRPr="00557DFD">
        <w:rPr>
          <w:lang w:val="sk-SK"/>
        </w:rPr>
        <w:t xml:space="preserve"> pre prax </w:t>
      </w:r>
      <w:r w:rsidR="000012A7" w:rsidRPr="00557DFD">
        <w:rPr>
          <w:lang w:val="sk-SK"/>
        </w:rPr>
        <w:t>je</w:t>
      </w:r>
      <w:r w:rsidR="00F5663E" w:rsidRPr="00557DFD">
        <w:rPr>
          <w:lang w:val="sk-SK"/>
        </w:rPr>
        <w:t xml:space="preserve"> </w:t>
      </w:r>
      <w:r w:rsidR="009F3FEB" w:rsidRPr="00557DFD">
        <w:rPr>
          <w:lang w:val="sk-SK"/>
        </w:rPr>
        <w:t xml:space="preserve">dôležité </w:t>
      </w:r>
      <w:r w:rsidR="009C1D95" w:rsidRPr="00557DFD">
        <w:rPr>
          <w:lang w:val="sk-SK"/>
        </w:rPr>
        <w:t xml:space="preserve">ešte </w:t>
      </w:r>
      <w:r w:rsidR="00262EAF" w:rsidRPr="00557DFD">
        <w:rPr>
          <w:lang w:val="sk-SK"/>
        </w:rPr>
        <w:t>výšenie</w:t>
      </w:r>
      <w:r w:rsidR="009C1D95" w:rsidRPr="00557DFD">
        <w:rPr>
          <w:lang w:val="sk-SK"/>
        </w:rPr>
        <w:t xml:space="preserve"> </w:t>
      </w:r>
      <w:r w:rsidR="009F3FEB" w:rsidRPr="00557DFD">
        <w:rPr>
          <w:lang w:val="sk-SK"/>
        </w:rPr>
        <w:t>prehĺbeni</w:t>
      </w:r>
      <w:r w:rsidR="00262EAF" w:rsidRPr="00557DFD">
        <w:rPr>
          <w:lang w:val="sk-SK"/>
        </w:rPr>
        <w:t>a</w:t>
      </w:r>
      <w:r w:rsidR="009F3FEB" w:rsidRPr="00557DFD">
        <w:rPr>
          <w:lang w:val="sk-SK"/>
        </w:rPr>
        <w:t xml:space="preserve"> </w:t>
      </w:r>
      <w:r w:rsidR="00F5663E" w:rsidRPr="00557DFD">
        <w:rPr>
          <w:lang w:val="sk-SK"/>
        </w:rPr>
        <w:t>spoluprác</w:t>
      </w:r>
      <w:r w:rsidRPr="00557DFD">
        <w:rPr>
          <w:lang w:val="sk-SK"/>
        </w:rPr>
        <w:t>e</w:t>
      </w:r>
      <w:r w:rsidR="00F5663E" w:rsidRPr="00557DFD">
        <w:rPr>
          <w:lang w:val="sk-SK"/>
        </w:rPr>
        <w:t xml:space="preserve"> s praxou a</w:t>
      </w:r>
      <w:r w:rsidR="00262EAF" w:rsidRPr="00557DFD">
        <w:rPr>
          <w:lang w:val="sk-SK"/>
        </w:rPr>
        <w:t xml:space="preserve"> ešte väčšie </w:t>
      </w:r>
      <w:r w:rsidR="00F5663E" w:rsidRPr="00557DFD">
        <w:rPr>
          <w:lang w:val="sk-SK"/>
        </w:rPr>
        <w:t>posiln</w:t>
      </w:r>
      <w:r w:rsidR="009F3FEB" w:rsidRPr="00557DFD">
        <w:rPr>
          <w:lang w:val="sk-SK"/>
        </w:rPr>
        <w:t>enie</w:t>
      </w:r>
      <w:r w:rsidR="00CC34B6" w:rsidRPr="00557DFD">
        <w:rPr>
          <w:lang w:val="sk-SK"/>
        </w:rPr>
        <w:t xml:space="preserve"> prepojenia</w:t>
      </w:r>
      <w:r w:rsidR="009F3FEB" w:rsidRPr="00557DFD">
        <w:rPr>
          <w:lang w:val="sk-SK"/>
        </w:rPr>
        <w:t xml:space="preserve"> vzdelávania </w:t>
      </w:r>
      <w:r w:rsidR="00262EAF" w:rsidRPr="00557DFD">
        <w:rPr>
          <w:lang w:val="sk-SK"/>
        </w:rPr>
        <w:t>s p</w:t>
      </w:r>
      <w:r w:rsidR="00F5663E" w:rsidRPr="00557DFD">
        <w:rPr>
          <w:lang w:val="sk-SK"/>
        </w:rPr>
        <w:t xml:space="preserve">riemyslom. Pre uplatnenie absolventov </w:t>
      </w:r>
      <w:r w:rsidR="00230231" w:rsidRPr="00557DFD">
        <w:rPr>
          <w:lang w:val="sk-SK"/>
        </w:rPr>
        <w:t xml:space="preserve">všetkých troch stupňov vysokoškolského </w:t>
      </w:r>
      <w:r w:rsidR="00F5663E" w:rsidRPr="00557DFD">
        <w:rPr>
          <w:lang w:val="sk-SK"/>
        </w:rPr>
        <w:t xml:space="preserve">štúdia v praxi je nevyhnutné zabezpečiť vo vzdelávacom procese </w:t>
      </w:r>
      <w:r w:rsidR="00230231" w:rsidRPr="00557DFD">
        <w:rPr>
          <w:lang w:val="sk-SK"/>
        </w:rPr>
        <w:t xml:space="preserve">ešte </w:t>
      </w:r>
      <w:r w:rsidR="00F5663E" w:rsidRPr="00557DFD">
        <w:rPr>
          <w:lang w:val="sk-SK"/>
        </w:rPr>
        <w:t>väčšiu prepojenosť teoretického vzdelávania s praktickým vzdelávaním a s praxou. Možností je niekoľko</w:t>
      </w:r>
      <w:r w:rsidR="00230231" w:rsidRPr="00557DFD">
        <w:rPr>
          <w:lang w:val="sk-SK"/>
        </w:rPr>
        <w:t xml:space="preserve"> a mnohé z nich STU už v súčasnosti realizuje. Napriek tomu je tu ešte priestor na </w:t>
      </w:r>
      <w:r w:rsidR="00F5663E" w:rsidRPr="00557DFD">
        <w:rPr>
          <w:lang w:val="sk-SK"/>
        </w:rPr>
        <w:t xml:space="preserve">prehĺbenie spolupráce s praxou vo vzdelávacom procese formou priameho prizývania </w:t>
      </w:r>
      <w:r w:rsidR="00230231" w:rsidRPr="00557DFD">
        <w:rPr>
          <w:lang w:val="sk-SK"/>
        </w:rPr>
        <w:t>väčši</w:t>
      </w:r>
      <w:r w:rsidR="00262EAF" w:rsidRPr="00557DFD">
        <w:rPr>
          <w:lang w:val="sk-SK"/>
        </w:rPr>
        <w:t>e</w:t>
      </w:r>
      <w:r w:rsidR="00230231" w:rsidRPr="00557DFD">
        <w:rPr>
          <w:lang w:val="sk-SK"/>
        </w:rPr>
        <w:t xml:space="preserve">ho počtu </w:t>
      </w:r>
      <w:r w:rsidR="00F5663E" w:rsidRPr="00557DFD">
        <w:rPr>
          <w:lang w:val="sk-SK"/>
        </w:rPr>
        <w:t xml:space="preserve">odborníkov z praxe na zapojenie sa do vzdelávacieho procesu, orientovaním </w:t>
      </w:r>
      <w:r w:rsidR="00230231" w:rsidRPr="00557DFD">
        <w:rPr>
          <w:lang w:val="sk-SK"/>
        </w:rPr>
        <w:t xml:space="preserve">väčšieho počtu </w:t>
      </w:r>
      <w:r w:rsidR="00F5663E" w:rsidRPr="00557DFD">
        <w:rPr>
          <w:lang w:val="sk-SK"/>
        </w:rPr>
        <w:t xml:space="preserve">tém záverečných prác na problémy praxe, zapojením </w:t>
      </w:r>
      <w:r w:rsidR="00230231" w:rsidRPr="00557DFD">
        <w:rPr>
          <w:lang w:val="sk-SK"/>
        </w:rPr>
        <w:t xml:space="preserve">väčšieho počtu </w:t>
      </w:r>
      <w:r w:rsidR="00F5663E" w:rsidRPr="00557DFD">
        <w:rPr>
          <w:lang w:val="sk-SK"/>
        </w:rPr>
        <w:t xml:space="preserve">odborníkov z praxe do vedenia alebo konzultovania záverečných prác. Ďalšou možnosťou je príprava akreditácie profesijne orientovaných študijných programov. </w:t>
      </w:r>
      <w:r w:rsidRPr="00557DFD">
        <w:rPr>
          <w:lang w:val="sk-SK"/>
        </w:rPr>
        <w:t>V súčasnosti takýto študijný program zabe</w:t>
      </w:r>
      <w:r w:rsidR="00230231" w:rsidRPr="00557DFD">
        <w:rPr>
          <w:lang w:val="sk-SK"/>
        </w:rPr>
        <w:t>zpečuje Strojnícka fakulta STU</w:t>
      </w:r>
      <w:r w:rsidR="00754AE4" w:rsidRPr="00557DFD">
        <w:rPr>
          <w:lang w:val="sk-SK"/>
        </w:rPr>
        <w:t>.</w:t>
      </w:r>
    </w:p>
    <w:p w:rsidR="00710E19" w:rsidRDefault="00710E19">
      <w:pPr>
        <w:rPr>
          <w:lang w:val="sk-SK"/>
        </w:rPr>
      </w:pPr>
      <w:r>
        <w:rPr>
          <w:lang w:val="sk-SK"/>
        </w:rPr>
        <w:br w:type="page"/>
      </w:r>
    </w:p>
    <w:p w:rsidR="00F23F82" w:rsidRPr="00557DFD" w:rsidRDefault="002A083E" w:rsidP="00A246A8">
      <w:pPr>
        <w:jc w:val="both"/>
        <w:rPr>
          <w:b/>
          <w:caps/>
          <w:lang w:val="sk-SK"/>
        </w:rPr>
      </w:pPr>
      <w:r w:rsidRPr="00557DFD">
        <w:rPr>
          <w:b/>
          <w:caps/>
          <w:lang w:val="sk-SK"/>
        </w:rPr>
        <w:lastRenderedPageBreak/>
        <w:t xml:space="preserve">II. </w:t>
      </w:r>
      <w:r w:rsidR="00F23F82" w:rsidRPr="00557DFD">
        <w:rPr>
          <w:b/>
          <w:caps/>
          <w:lang w:val="sk-SK"/>
        </w:rPr>
        <w:t>Cieľový stav do roku 2022</w:t>
      </w:r>
    </w:p>
    <w:p w:rsidR="00085310" w:rsidRPr="00557DFD" w:rsidRDefault="00085310" w:rsidP="00A246A8">
      <w:pPr>
        <w:jc w:val="both"/>
        <w:rPr>
          <w:lang w:val="sk-SK"/>
        </w:rPr>
      </w:pPr>
      <w:r w:rsidRPr="00557DFD">
        <w:rPr>
          <w:lang w:val="sk-SK"/>
        </w:rPr>
        <w:t>Na základe analýzy východiskového</w:t>
      </w:r>
      <w:r w:rsidR="004B7CEA" w:rsidRPr="00557DFD">
        <w:rPr>
          <w:lang w:val="sk-SK"/>
        </w:rPr>
        <w:t xml:space="preserve"> </w:t>
      </w:r>
      <w:r w:rsidRPr="00557DFD">
        <w:rPr>
          <w:lang w:val="sk-SK"/>
        </w:rPr>
        <w:t>stavu a priorít STU vo vzdelávaní sa predpokladá, že v priebehu rokov 2019-2021 sa pomocou štrukturálnych zmien dosiahn</w:t>
      </w:r>
      <w:r w:rsidR="001E2362" w:rsidRPr="00557DFD">
        <w:rPr>
          <w:lang w:val="sk-SK"/>
        </w:rPr>
        <w:t>e viacero cieľov.</w:t>
      </w:r>
    </w:p>
    <w:p w:rsidR="00CD356C" w:rsidRPr="00557DFD" w:rsidRDefault="00CD356C" w:rsidP="00A246A8">
      <w:pPr>
        <w:pStyle w:val="Odsekzoznamu"/>
        <w:numPr>
          <w:ilvl w:val="0"/>
          <w:numId w:val="4"/>
        </w:numPr>
        <w:ind w:left="0" w:firstLine="0"/>
        <w:jc w:val="both"/>
        <w:rPr>
          <w:b/>
          <w:lang w:val="sk-SK"/>
        </w:rPr>
      </w:pPr>
      <w:r w:rsidRPr="00557DFD">
        <w:rPr>
          <w:b/>
          <w:lang w:val="sk-SK"/>
        </w:rPr>
        <w:t xml:space="preserve">Zníženie počtu študentov, ktorí neúspešne ukončia 1. rok </w:t>
      </w:r>
      <w:r w:rsidR="00754AE4" w:rsidRPr="00557DFD">
        <w:rPr>
          <w:b/>
          <w:lang w:val="sk-SK"/>
        </w:rPr>
        <w:t xml:space="preserve">bakalárskeho </w:t>
      </w:r>
      <w:r w:rsidRPr="00557DFD">
        <w:rPr>
          <w:b/>
          <w:lang w:val="sk-SK"/>
        </w:rPr>
        <w:t>štúdia</w:t>
      </w:r>
    </w:p>
    <w:p w:rsidR="001E2362" w:rsidRPr="00557DFD" w:rsidRDefault="001E2362" w:rsidP="00754AE4">
      <w:pPr>
        <w:pStyle w:val="Odsekzoznamu"/>
        <w:ind w:left="0"/>
        <w:jc w:val="both"/>
        <w:rPr>
          <w:lang w:val="sk-SK"/>
        </w:rPr>
      </w:pPr>
      <w:r w:rsidRPr="00557DFD">
        <w:rPr>
          <w:lang w:val="sk-SK"/>
        </w:rPr>
        <w:t xml:space="preserve">Vďaka realizovaným systémovým opatreniam bez zníženia nárokov na vedomosti sa zníži počet študentov, ktorí neúspešne ukončia 1. rok štúdia na STU. </w:t>
      </w:r>
      <w:r w:rsidR="004B7CEA" w:rsidRPr="00557DFD">
        <w:rPr>
          <w:lang w:val="sk-SK"/>
        </w:rPr>
        <w:t xml:space="preserve">Systémové opatrenia sa budú týkať </w:t>
      </w:r>
      <w:r w:rsidR="005A517C" w:rsidRPr="00557DFD">
        <w:rPr>
          <w:lang w:val="sk-SK"/>
        </w:rPr>
        <w:t>akreditácie ďalších konverzných bakalárskych študijných programov, kde prvý rok štúdia bude slúžiť na vyrovnanie vedomostí študentov prichádzajúcich z rôznych typov stredných škôl a na doplnenie vedomostí najmä z matematiky, fyziky</w:t>
      </w:r>
      <w:r w:rsidR="00754AE4" w:rsidRPr="00557DFD">
        <w:rPr>
          <w:lang w:val="sk-SK"/>
        </w:rPr>
        <w:t xml:space="preserve">, </w:t>
      </w:r>
      <w:r w:rsidR="005A517C" w:rsidRPr="00557DFD">
        <w:rPr>
          <w:lang w:val="sk-SK"/>
        </w:rPr>
        <w:t>chémie</w:t>
      </w:r>
      <w:r w:rsidR="00754AE4" w:rsidRPr="00557DFD">
        <w:rPr>
          <w:lang w:val="sk-SK"/>
        </w:rPr>
        <w:t xml:space="preserve"> a informatiky</w:t>
      </w:r>
      <w:r w:rsidR="005A517C" w:rsidRPr="00557DFD">
        <w:rPr>
          <w:lang w:val="sk-SK"/>
        </w:rPr>
        <w:t>, ktoré absolvent strednej školy potrebuje na úspešné zvládnutie štúdia technického zamerania. STU bude p</w:t>
      </w:r>
      <w:r w:rsidR="00426AEC" w:rsidRPr="00557DFD">
        <w:rPr>
          <w:lang w:val="sk-SK"/>
        </w:rPr>
        <w:t>odpor</w:t>
      </w:r>
      <w:r w:rsidR="005A517C" w:rsidRPr="00557DFD">
        <w:rPr>
          <w:lang w:val="sk-SK"/>
        </w:rPr>
        <w:t>ovať</w:t>
      </w:r>
      <w:r w:rsidR="00426AEC" w:rsidRPr="00557DFD">
        <w:rPr>
          <w:lang w:val="sk-SK"/>
        </w:rPr>
        <w:t xml:space="preserve"> adaptáci</w:t>
      </w:r>
      <w:r w:rsidR="005A517C" w:rsidRPr="00557DFD">
        <w:rPr>
          <w:lang w:val="sk-SK"/>
        </w:rPr>
        <w:t>u</w:t>
      </w:r>
      <w:r w:rsidR="00426AEC" w:rsidRPr="00557DFD">
        <w:rPr>
          <w:lang w:val="sk-SK"/>
        </w:rPr>
        <w:t xml:space="preserve"> a integráci</w:t>
      </w:r>
      <w:r w:rsidR="005A517C" w:rsidRPr="00557DFD">
        <w:rPr>
          <w:lang w:val="sk-SK"/>
        </w:rPr>
        <w:t>u</w:t>
      </w:r>
      <w:r w:rsidR="00426AEC" w:rsidRPr="00557DFD">
        <w:rPr>
          <w:lang w:val="sk-SK"/>
        </w:rPr>
        <w:t xml:space="preserve"> </w:t>
      </w:r>
      <w:proofErr w:type="spellStart"/>
      <w:r w:rsidR="00426AEC" w:rsidRPr="00557DFD">
        <w:rPr>
          <w:lang w:val="sk-SK"/>
        </w:rPr>
        <w:t>novonastúpených</w:t>
      </w:r>
      <w:proofErr w:type="spellEnd"/>
      <w:r w:rsidR="00426AEC" w:rsidRPr="00557DFD">
        <w:rPr>
          <w:lang w:val="sk-SK"/>
        </w:rPr>
        <w:t xml:space="preserve"> študentov na vysokoškolské </w:t>
      </w:r>
      <w:r w:rsidR="005A517C" w:rsidRPr="00557DFD">
        <w:rPr>
          <w:lang w:val="sk-SK"/>
        </w:rPr>
        <w:t xml:space="preserve">štúdium formou študentského </w:t>
      </w:r>
      <w:proofErr w:type="spellStart"/>
      <w:r w:rsidR="005A517C" w:rsidRPr="00557DFD">
        <w:rPr>
          <w:lang w:val="sk-SK"/>
        </w:rPr>
        <w:t>koučingu</w:t>
      </w:r>
      <w:proofErr w:type="spellEnd"/>
      <w:r w:rsidR="005A517C" w:rsidRPr="00557DFD">
        <w:rPr>
          <w:lang w:val="sk-SK"/>
        </w:rPr>
        <w:t xml:space="preserve"> a i</w:t>
      </w:r>
      <w:r w:rsidR="00426AEC" w:rsidRPr="00557DFD">
        <w:rPr>
          <w:lang w:val="sk-SK"/>
        </w:rPr>
        <w:t>ndividualizáci</w:t>
      </w:r>
      <w:r w:rsidR="005A517C" w:rsidRPr="00557DFD">
        <w:rPr>
          <w:lang w:val="sk-SK"/>
        </w:rPr>
        <w:t xml:space="preserve">ou štúdia tak, aby </w:t>
      </w:r>
      <w:r w:rsidR="00276C8F" w:rsidRPr="00557DFD">
        <w:rPr>
          <w:lang w:val="sk-SK"/>
        </w:rPr>
        <w:t xml:space="preserve">sa priblížil počet študentov pripadajúcich na učiteľa na jednotlivých súčastiach univerzity. Do vyučovacieho procesu za zavedú moderné formy výučby založené na využití moderných IKT, </w:t>
      </w:r>
      <w:proofErr w:type="spellStart"/>
      <w:r w:rsidR="00276C8F" w:rsidRPr="00557DFD">
        <w:rPr>
          <w:lang w:val="sk-SK"/>
        </w:rPr>
        <w:t>e-learning</w:t>
      </w:r>
      <w:r w:rsidR="00262EAF" w:rsidRPr="00557DFD">
        <w:rPr>
          <w:lang w:val="sk-SK"/>
        </w:rPr>
        <w:t>u</w:t>
      </w:r>
      <w:proofErr w:type="spellEnd"/>
      <w:r w:rsidR="00262EAF" w:rsidRPr="00557DFD">
        <w:rPr>
          <w:lang w:val="sk-SK"/>
        </w:rPr>
        <w:t xml:space="preserve">, </w:t>
      </w:r>
      <w:proofErr w:type="spellStart"/>
      <w:r w:rsidR="00262EAF" w:rsidRPr="00557DFD">
        <w:rPr>
          <w:lang w:val="sk-SK"/>
        </w:rPr>
        <w:t>videoprednášok</w:t>
      </w:r>
      <w:proofErr w:type="spellEnd"/>
      <w:r w:rsidR="00262EAF" w:rsidRPr="00557DFD">
        <w:rPr>
          <w:lang w:val="sk-SK"/>
        </w:rPr>
        <w:t>, doplnené o diskusie, prezentácie a projekty študentov</w:t>
      </w:r>
      <w:r w:rsidR="00276C8F" w:rsidRPr="00557DFD">
        <w:rPr>
          <w:lang w:val="sk-SK"/>
        </w:rPr>
        <w:t>.</w:t>
      </w:r>
      <w:r w:rsidR="00CB302C" w:rsidRPr="00557DFD">
        <w:rPr>
          <w:lang w:val="sk-SK"/>
        </w:rPr>
        <w:t xml:space="preserve"> </w:t>
      </w:r>
      <w:r w:rsidR="00324606" w:rsidRPr="00557DFD">
        <w:rPr>
          <w:lang w:val="sk-SK"/>
        </w:rPr>
        <w:t>Postupne sa začnú zavádzať do praxe kritér</w:t>
      </w:r>
      <w:r w:rsidR="002B218B" w:rsidRPr="00557DFD">
        <w:rPr>
          <w:lang w:val="sk-SK"/>
        </w:rPr>
        <w:t>iá na zvý</w:t>
      </w:r>
      <w:r w:rsidR="00324606" w:rsidRPr="00557DFD">
        <w:rPr>
          <w:lang w:val="sk-SK"/>
        </w:rPr>
        <w:t>šenie kvality uchádzačov prijímaných na štúdium vybraných študijných programov.</w:t>
      </w:r>
      <w:r w:rsidR="00276C8F" w:rsidRPr="00557DFD">
        <w:rPr>
          <w:lang w:val="sk-SK"/>
        </w:rPr>
        <w:t xml:space="preserve"> </w:t>
      </w:r>
    </w:p>
    <w:p w:rsidR="00CD356C" w:rsidRPr="00557DFD" w:rsidRDefault="00CD356C" w:rsidP="00A246A8">
      <w:pPr>
        <w:pStyle w:val="Odsekzoznamu"/>
        <w:ind w:left="0"/>
        <w:jc w:val="both"/>
        <w:rPr>
          <w:lang w:val="sk-SK"/>
        </w:rPr>
      </w:pPr>
    </w:p>
    <w:p w:rsidR="00CD356C" w:rsidRPr="00557DFD" w:rsidRDefault="00CD356C" w:rsidP="002E7383">
      <w:pPr>
        <w:pStyle w:val="Odsekzoznamu"/>
        <w:numPr>
          <w:ilvl w:val="0"/>
          <w:numId w:val="4"/>
        </w:numPr>
        <w:ind w:left="0" w:firstLine="0"/>
        <w:jc w:val="both"/>
        <w:rPr>
          <w:b/>
          <w:lang w:val="sk-SK"/>
        </w:rPr>
      </w:pPr>
      <w:r w:rsidRPr="00557DFD">
        <w:rPr>
          <w:b/>
          <w:lang w:val="sk-SK"/>
        </w:rPr>
        <w:t xml:space="preserve">Zvýšenie </w:t>
      </w:r>
      <w:r w:rsidR="00754AE4" w:rsidRPr="00557DFD">
        <w:rPr>
          <w:b/>
          <w:lang w:val="sk-SK"/>
        </w:rPr>
        <w:t xml:space="preserve">úrovne </w:t>
      </w:r>
      <w:r w:rsidRPr="00557DFD">
        <w:rPr>
          <w:b/>
          <w:lang w:val="sk-SK"/>
        </w:rPr>
        <w:t>absolventov študijných programov</w:t>
      </w:r>
      <w:r w:rsidR="002E7383" w:rsidRPr="00557DFD">
        <w:rPr>
          <w:b/>
          <w:lang w:val="sk-SK"/>
        </w:rPr>
        <w:t xml:space="preserve"> </w:t>
      </w:r>
      <w:r w:rsidR="00276C8F" w:rsidRPr="00557DFD">
        <w:rPr>
          <w:b/>
          <w:lang w:val="sk-SK"/>
        </w:rPr>
        <w:t>a zvýšenie počtu absolventov pre zabezpečenie kvalitného výskumu</w:t>
      </w:r>
    </w:p>
    <w:p w:rsidR="00426AEC" w:rsidRPr="00557DFD" w:rsidRDefault="00324606" w:rsidP="00754AE4">
      <w:pPr>
        <w:pStyle w:val="Odsekzoznamu"/>
        <w:ind w:left="0"/>
        <w:jc w:val="both"/>
        <w:rPr>
          <w:lang w:val="sk-SK"/>
        </w:rPr>
      </w:pPr>
      <w:r w:rsidRPr="00557DFD">
        <w:rPr>
          <w:lang w:val="sk-SK"/>
        </w:rPr>
        <w:t xml:space="preserve">V priebehu rokov 2019-2021 budú realizované opatrenia tak, aby sa </w:t>
      </w:r>
      <w:r w:rsidR="00A80822" w:rsidRPr="00557DFD">
        <w:rPr>
          <w:lang w:val="sk-SK"/>
        </w:rPr>
        <w:t xml:space="preserve">postupne </w:t>
      </w:r>
      <w:r w:rsidRPr="00557DFD">
        <w:rPr>
          <w:lang w:val="sk-SK"/>
        </w:rPr>
        <w:t>z</w:t>
      </w:r>
      <w:r w:rsidR="00426AEC" w:rsidRPr="00557DFD">
        <w:rPr>
          <w:lang w:val="sk-SK"/>
        </w:rPr>
        <w:t>výš</w:t>
      </w:r>
      <w:r w:rsidRPr="00557DFD">
        <w:rPr>
          <w:lang w:val="sk-SK"/>
        </w:rPr>
        <w:t>il</w:t>
      </w:r>
      <w:r w:rsidR="00754AE4" w:rsidRPr="00557DFD">
        <w:rPr>
          <w:lang w:val="sk-SK"/>
        </w:rPr>
        <w:t>a úroveň</w:t>
      </w:r>
      <w:r w:rsidRPr="00557DFD">
        <w:rPr>
          <w:lang w:val="sk-SK"/>
        </w:rPr>
        <w:t xml:space="preserve"> </w:t>
      </w:r>
      <w:r w:rsidR="00426AEC" w:rsidRPr="00557DFD">
        <w:rPr>
          <w:lang w:val="sk-SK"/>
        </w:rPr>
        <w:t xml:space="preserve">absolventov </w:t>
      </w:r>
      <w:r w:rsidR="00754AE4" w:rsidRPr="00557DFD">
        <w:rPr>
          <w:lang w:val="sk-SK"/>
        </w:rPr>
        <w:t xml:space="preserve">všetkých troch </w:t>
      </w:r>
      <w:r w:rsidR="00426AEC" w:rsidRPr="00557DFD">
        <w:rPr>
          <w:lang w:val="sk-SK"/>
        </w:rPr>
        <w:t>stupň</w:t>
      </w:r>
      <w:r w:rsidR="00754AE4" w:rsidRPr="00557DFD">
        <w:rPr>
          <w:lang w:val="sk-SK"/>
        </w:rPr>
        <w:t>ov</w:t>
      </w:r>
      <w:r w:rsidR="00426AEC" w:rsidRPr="00557DFD">
        <w:rPr>
          <w:lang w:val="sk-SK"/>
        </w:rPr>
        <w:t xml:space="preserve"> vysokoškolského štúdia technicky orientovaných študijných programov</w:t>
      </w:r>
      <w:r w:rsidR="00276C8F" w:rsidRPr="00557DFD">
        <w:rPr>
          <w:lang w:val="sk-SK"/>
        </w:rPr>
        <w:t xml:space="preserve">, ktorí </w:t>
      </w:r>
      <w:r w:rsidR="00426AEC" w:rsidRPr="00557DFD">
        <w:rPr>
          <w:lang w:val="sk-SK"/>
        </w:rPr>
        <w:t xml:space="preserve">chýbajú na trhu práce. </w:t>
      </w:r>
      <w:r w:rsidR="00A80822" w:rsidRPr="00557DFD">
        <w:rPr>
          <w:lang w:val="sk-SK"/>
        </w:rPr>
        <w:t>Aktivity budú zamerané na intenzívnu propagáciu štúdia pre prax zaujímavých študijných programov. Zrealizuje sa o</w:t>
      </w:r>
      <w:r w:rsidR="00276C8F" w:rsidRPr="00557DFD">
        <w:rPr>
          <w:lang w:val="sk-SK"/>
        </w:rPr>
        <w:t>ptimalizácia kvalifikačnej štruktúry zamestnancov univerzity a zabezpečenie dostatočného počtu učiteľov pôsobiacich v študijných programoch at</w:t>
      </w:r>
      <w:r w:rsidR="00A80822" w:rsidRPr="00557DFD">
        <w:rPr>
          <w:lang w:val="sk-SK"/>
        </w:rPr>
        <w:t xml:space="preserve">raktívnych pre zamestnávateľov. </w:t>
      </w:r>
      <w:r w:rsidR="00754AE4" w:rsidRPr="00557DFD">
        <w:rPr>
          <w:lang w:val="sk-SK"/>
        </w:rPr>
        <w:t>Ďalším zvyšovaním z</w:t>
      </w:r>
      <w:r w:rsidR="00A80822" w:rsidRPr="00557DFD">
        <w:rPr>
          <w:lang w:val="sk-SK"/>
        </w:rPr>
        <w:t>apojen</w:t>
      </w:r>
      <w:r w:rsidR="00754AE4" w:rsidRPr="00557DFD">
        <w:rPr>
          <w:lang w:val="sk-SK"/>
        </w:rPr>
        <w:t>ia</w:t>
      </w:r>
      <w:r w:rsidR="00A80822" w:rsidRPr="00557DFD">
        <w:rPr>
          <w:lang w:val="sk-SK"/>
        </w:rPr>
        <w:t xml:space="preserve"> študentov do študentskej vedeckej činnosti sa p</w:t>
      </w:r>
      <w:r w:rsidR="00276C8F" w:rsidRPr="00557DFD">
        <w:rPr>
          <w:lang w:val="sk-SK"/>
        </w:rPr>
        <w:t>osiln</w:t>
      </w:r>
      <w:r w:rsidR="00A80822" w:rsidRPr="00557DFD">
        <w:rPr>
          <w:lang w:val="sk-SK"/>
        </w:rPr>
        <w:t>í</w:t>
      </w:r>
      <w:r w:rsidR="00276C8F" w:rsidRPr="00557DFD">
        <w:rPr>
          <w:lang w:val="sk-SK"/>
        </w:rPr>
        <w:t xml:space="preserve"> výskumn</w:t>
      </w:r>
      <w:r w:rsidR="005C4FE8" w:rsidRPr="00557DFD">
        <w:rPr>
          <w:lang w:val="sk-SK"/>
        </w:rPr>
        <w:t>ý</w:t>
      </w:r>
      <w:r w:rsidR="00276C8F" w:rsidRPr="00557DFD">
        <w:rPr>
          <w:lang w:val="sk-SK"/>
        </w:rPr>
        <w:t xml:space="preserve"> charakter štúdia a kvalit</w:t>
      </w:r>
      <w:r w:rsidR="00A80822" w:rsidRPr="00557DFD">
        <w:rPr>
          <w:lang w:val="sk-SK"/>
        </w:rPr>
        <w:t>a</w:t>
      </w:r>
      <w:r w:rsidR="00276C8F" w:rsidRPr="00557DFD">
        <w:rPr>
          <w:lang w:val="sk-SK"/>
        </w:rPr>
        <w:t xml:space="preserve"> výskumu študentov, a to najmä na 2. a 3. stupni vysokoškolského štúdia. </w:t>
      </w:r>
      <w:r w:rsidR="00A80822" w:rsidRPr="00557DFD">
        <w:rPr>
          <w:lang w:val="sk-SK"/>
        </w:rPr>
        <w:t xml:space="preserve">Dosiahne sa účasť väčšieho počtu študentov na študentských vedeckých konferenciách </w:t>
      </w:r>
      <w:r w:rsidR="000768AC" w:rsidRPr="00557DFD">
        <w:rPr>
          <w:lang w:val="sk-SK"/>
        </w:rPr>
        <w:t xml:space="preserve">i ďalších vedeckých a odborných podujatiach </w:t>
      </w:r>
      <w:r w:rsidR="00A80822" w:rsidRPr="00557DFD">
        <w:rPr>
          <w:lang w:val="sk-SK"/>
        </w:rPr>
        <w:t>na STU i mimo STU</w:t>
      </w:r>
      <w:r w:rsidR="00754AE4" w:rsidRPr="00557DFD">
        <w:rPr>
          <w:lang w:val="sk-SK"/>
        </w:rPr>
        <w:t xml:space="preserve"> a zvýši sa kvalita prezentovaných prác s výsledkami, ktoré môžu byť medzinárodne uznané a prezentované v medzinárodnom prostredí</w:t>
      </w:r>
      <w:r w:rsidR="00A80822" w:rsidRPr="00557DFD">
        <w:rPr>
          <w:lang w:val="sk-SK"/>
        </w:rPr>
        <w:t>.</w:t>
      </w:r>
      <w:r w:rsidR="00754AE4" w:rsidRPr="00557DFD">
        <w:rPr>
          <w:lang w:val="sk-SK"/>
        </w:rPr>
        <w:t xml:space="preserve"> </w:t>
      </w:r>
      <w:r w:rsidR="00A80822" w:rsidRPr="00557DFD">
        <w:rPr>
          <w:lang w:val="sk-SK"/>
        </w:rPr>
        <w:t>Dosiahne sa z</w:t>
      </w:r>
      <w:r w:rsidR="00426AEC" w:rsidRPr="00557DFD">
        <w:rPr>
          <w:lang w:val="sk-SK"/>
        </w:rPr>
        <w:t>atraktívnenie tretieho stupňa vzdelávania</w:t>
      </w:r>
      <w:r w:rsidR="00276C8F" w:rsidRPr="00557DFD">
        <w:rPr>
          <w:lang w:val="sk-SK"/>
        </w:rPr>
        <w:t xml:space="preserve"> a zvýšenie počtu študentov nastupujúcich na štúdium doktorandských študijných programov</w:t>
      </w:r>
      <w:r w:rsidR="00A80822" w:rsidRPr="00557DFD">
        <w:rPr>
          <w:lang w:val="sk-SK"/>
        </w:rPr>
        <w:t xml:space="preserve"> vytvorením dobrých pracovných podmienok doktorandov a ich zapojen</w:t>
      </w:r>
      <w:r w:rsidR="001E7117" w:rsidRPr="00557DFD">
        <w:rPr>
          <w:lang w:val="sk-SK"/>
        </w:rPr>
        <w:t>ím</w:t>
      </w:r>
      <w:r w:rsidR="00A80822" w:rsidRPr="00557DFD">
        <w:rPr>
          <w:lang w:val="sk-SK"/>
        </w:rPr>
        <w:t xml:space="preserve"> do riešenia medzinárodných výskumných projektov.</w:t>
      </w:r>
      <w:r w:rsidR="00426AEC" w:rsidRPr="00557DFD">
        <w:rPr>
          <w:lang w:val="sk-SK"/>
        </w:rPr>
        <w:t xml:space="preserve"> Nastav</w:t>
      </w:r>
      <w:r w:rsidR="00A80822" w:rsidRPr="00557DFD">
        <w:rPr>
          <w:lang w:val="sk-SK"/>
        </w:rPr>
        <w:t xml:space="preserve">ia sa </w:t>
      </w:r>
      <w:r w:rsidR="00426AEC" w:rsidRPr="00557DFD">
        <w:rPr>
          <w:lang w:val="sk-SK"/>
        </w:rPr>
        <w:t>kvalitatívn</w:t>
      </w:r>
      <w:r w:rsidR="00A80822" w:rsidRPr="00557DFD">
        <w:rPr>
          <w:lang w:val="sk-SK"/>
        </w:rPr>
        <w:t>e</w:t>
      </w:r>
      <w:r w:rsidR="00426AEC" w:rsidRPr="00557DFD">
        <w:rPr>
          <w:lang w:val="sk-SK"/>
        </w:rPr>
        <w:t xml:space="preserve"> kritéri</w:t>
      </w:r>
      <w:r w:rsidR="00A80822" w:rsidRPr="00557DFD">
        <w:rPr>
          <w:lang w:val="sk-SK"/>
        </w:rPr>
        <w:t>á</w:t>
      </w:r>
      <w:r w:rsidR="00B93577" w:rsidRPr="00557DFD">
        <w:rPr>
          <w:lang w:val="sk-SK"/>
        </w:rPr>
        <w:t xml:space="preserve"> pre vyselektovanie študentov pre pokračovanie v štúdiu inžinierskych a doktorandských študijných programov</w:t>
      </w:r>
      <w:r w:rsidR="00426AEC" w:rsidRPr="00557DFD">
        <w:rPr>
          <w:lang w:val="sk-SK"/>
        </w:rPr>
        <w:t>.</w:t>
      </w:r>
    </w:p>
    <w:p w:rsidR="006D7812" w:rsidRPr="00557DFD" w:rsidRDefault="006D7812" w:rsidP="00A246A8">
      <w:pPr>
        <w:pStyle w:val="Odsekzoznamu"/>
        <w:ind w:left="0"/>
        <w:jc w:val="both"/>
        <w:rPr>
          <w:lang w:val="sk-SK"/>
        </w:rPr>
      </w:pPr>
    </w:p>
    <w:p w:rsidR="00E10366" w:rsidRPr="00557DFD" w:rsidRDefault="00B93577" w:rsidP="00A246A8">
      <w:pPr>
        <w:pStyle w:val="Odsekzoznamu"/>
        <w:numPr>
          <w:ilvl w:val="0"/>
          <w:numId w:val="4"/>
        </w:numPr>
        <w:ind w:left="0" w:firstLine="0"/>
        <w:jc w:val="both"/>
        <w:rPr>
          <w:b/>
          <w:lang w:val="sk-SK"/>
        </w:rPr>
      </w:pPr>
      <w:r w:rsidRPr="00557DFD">
        <w:rPr>
          <w:b/>
          <w:lang w:val="sk-SK"/>
        </w:rPr>
        <w:t xml:space="preserve">Prispôsobenie obsahu vzdelávania a kompetencií absolventov prioritám EU a SR a perspektívnym trendom, </w:t>
      </w:r>
      <w:r w:rsidR="002B218B" w:rsidRPr="00557DFD">
        <w:rPr>
          <w:b/>
          <w:lang w:val="sk-SK"/>
        </w:rPr>
        <w:t xml:space="preserve">zvýšenie kvality vzdelávania, </w:t>
      </w:r>
      <w:r w:rsidRPr="00557DFD">
        <w:rPr>
          <w:b/>
          <w:lang w:val="sk-SK"/>
        </w:rPr>
        <w:t xml:space="preserve">zvýšenie </w:t>
      </w:r>
      <w:proofErr w:type="spellStart"/>
      <w:r w:rsidRPr="00557DFD">
        <w:rPr>
          <w:b/>
          <w:lang w:val="sk-SK"/>
        </w:rPr>
        <w:t>interdisciplinarity</w:t>
      </w:r>
      <w:proofErr w:type="spellEnd"/>
      <w:r w:rsidRPr="00557DFD">
        <w:rPr>
          <w:b/>
          <w:lang w:val="sk-SK"/>
        </w:rPr>
        <w:t xml:space="preserve"> </w:t>
      </w:r>
    </w:p>
    <w:p w:rsidR="00426AEC" w:rsidRPr="00557DFD" w:rsidRDefault="00A80822" w:rsidP="00752DA7">
      <w:pPr>
        <w:pStyle w:val="Odsekzoznamu"/>
        <w:ind w:left="0"/>
        <w:jc w:val="both"/>
        <w:rPr>
          <w:lang w:val="sk-SK"/>
        </w:rPr>
      </w:pPr>
      <w:r w:rsidRPr="00557DFD">
        <w:rPr>
          <w:lang w:val="sk-SK"/>
        </w:rPr>
        <w:t>Pripraví a zrealizuje sa a</w:t>
      </w:r>
      <w:r w:rsidR="00B93577" w:rsidRPr="00557DFD">
        <w:rPr>
          <w:lang w:val="sk-SK"/>
        </w:rPr>
        <w:t xml:space="preserve">kreditácia nových medziodborových študijných programov v spolupráci fakúlt STU atraktívnych pre zamestnávateľov. </w:t>
      </w:r>
      <w:r w:rsidR="00687A08" w:rsidRPr="00557DFD">
        <w:rPr>
          <w:lang w:val="sk-SK"/>
        </w:rPr>
        <w:t>Zrealizuje sa modernizácia vzdelávacieho procesu, vybavenia laboratórií pre študentov a ďalšej infraštruktúry potrebnej pre skvalitnenie vzdelávania</w:t>
      </w:r>
      <w:r w:rsidR="00752DA7" w:rsidRPr="00557DFD">
        <w:rPr>
          <w:lang w:val="sk-SK"/>
        </w:rPr>
        <w:t xml:space="preserve"> a prispôsobenie obsahu vzdelávania a kompetencií absolventov prioritám EU a SR a perspektívnym trendom</w:t>
      </w:r>
      <w:r w:rsidR="00687A08" w:rsidRPr="00557DFD">
        <w:rPr>
          <w:lang w:val="sk-SK"/>
        </w:rPr>
        <w:t xml:space="preserve">. </w:t>
      </w:r>
      <w:r w:rsidRPr="00557DFD">
        <w:rPr>
          <w:lang w:val="sk-SK"/>
        </w:rPr>
        <w:t xml:space="preserve">Zrealizuje sa </w:t>
      </w:r>
      <w:r w:rsidRPr="00557DFD">
        <w:rPr>
          <w:lang w:val="sk-SK"/>
        </w:rPr>
        <w:lastRenderedPageBreak/>
        <w:t>optimalizácia kvalifikačnej štruktúry zamestnancov univerzity a zabezpečenie dostatočného p</w:t>
      </w:r>
      <w:r w:rsidR="00687A08" w:rsidRPr="00557DFD">
        <w:rPr>
          <w:lang w:val="sk-SK"/>
        </w:rPr>
        <w:t xml:space="preserve">očtu učiteľov pôsobiacich </w:t>
      </w:r>
      <w:r w:rsidRPr="00557DFD">
        <w:rPr>
          <w:lang w:val="sk-SK"/>
        </w:rPr>
        <w:t>v</w:t>
      </w:r>
      <w:r w:rsidR="00687A08" w:rsidRPr="00557DFD">
        <w:rPr>
          <w:lang w:val="sk-SK"/>
        </w:rPr>
        <w:t> </w:t>
      </w:r>
      <w:proofErr w:type="spellStart"/>
      <w:r w:rsidR="00687A08" w:rsidRPr="00557DFD">
        <w:rPr>
          <w:lang w:val="sk-SK"/>
        </w:rPr>
        <w:t>novo</w:t>
      </w:r>
      <w:r w:rsidRPr="00557DFD">
        <w:rPr>
          <w:lang w:val="sk-SK"/>
        </w:rPr>
        <w:t>akreditovaných</w:t>
      </w:r>
      <w:proofErr w:type="spellEnd"/>
      <w:r w:rsidRPr="00557DFD">
        <w:rPr>
          <w:lang w:val="sk-SK"/>
        </w:rPr>
        <w:t xml:space="preserve"> </w:t>
      </w:r>
      <w:r w:rsidR="00B93577" w:rsidRPr="00557DFD">
        <w:rPr>
          <w:lang w:val="sk-SK"/>
        </w:rPr>
        <w:t>medziodborových študijných programoch.</w:t>
      </w:r>
    </w:p>
    <w:p w:rsidR="006D7812" w:rsidRPr="00557DFD" w:rsidRDefault="006D7812" w:rsidP="00A246A8">
      <w:pPr>
        <w:pStyle w:val="Odsekzoznamu"/>
        <w:ind w:left="0"/>
        <w:jc w:val="both"/>
        <w:rPr>
          <w:lang w:val="sk-SK"/>
        </w:rPr>
      </w:pPr>
    </w:p>
    <w:p w:rsidR="00B93577" w:rsidRPr="00557DFD" w:rsidRDefault="00B93577" w:rsidP="00262EAF">
      <w:pPr>
        <w:pStyle w:val="Odsekzoznamu"/>
        <w:numPr>
          <w:ilvl w:val="0"/>
          <w:numId w:val="4"/>
        </w:numPr>
        <w:ind w:left="0" w:firstLine="0"/>
        <w:jc w:val="both"/>
        <w:rPr>
          <w:b/>
          <w:lang w:val="sk-SK"/>
        </w:rPr>
      </w:pPr>
      <w:r w:rsidRPr="00557DFD">
        <w:rPr>
          <w:b/>
          <w:lang w:val="sk-SK"/>
        </w:rPr>
        <w:t xml:space="preserve">Príprava absolventov </w:t>
      </w:r>
      <w:r w:rsidR="00262EAF" w:rsidRPr="00557DFD">
        <w:rPr>
          <w:b/>
          <w:lang w:val="sk-SK"/>
        </w:rPr>
        <w:t>konkurencieschopných v medzinárodnom kontexte</w:t>
      </w:r>
      <w:r w:rsidRPr="00557DFD">
        <w:rPr>
          <w:b/>
          <w:lang w:val="sk-SK"/>
        </w:rPr>
        <w:t>, internacionalizácia štúdia</w:t>
      </w:r>
    </w:p>
    <w:p w:rsidR="00426AEC" w:rsidRPr="00557DFD" w:rsidRDefault="009C1D95" w:rsidP="004C1653">
      <w:pPr>
        <w:pStyle w:val="Odsekzoznamu"/>
        <w:ind w:left="0"/>
        <w:jc w:val="both"/>
        <w:rPr>
          <w:lang w:val="sk-SK"/>
        </w:rPr>
      </w:pPr>
      <w:r w:rsidRPr="00557DFD">
        <w:rPr>
          <w:lang w:val="sk-SK"/>
        </w:rPr>
        <w:t xml:space="preserve">Príprave absolventov </w:t>
      </w:r>
      <w:r w:rsidR="00232F9B" w:rsidRPr="00557DFD">
        <w:rPr>
          <w:lang w:val="sk-SK"/>
        </w:rPr>
        <w:t xml:space="preserve">konkurencieschopných v medzinárodnom kontexte </w:t>
      </w:r>
      <w:r w:rsidRPr="00557DFD">
        <w:rPr>
          <w:lang w:val="sk-SK"/>
        </w:rPr>
        <w:t xml:space="preserve">napomôže internacionalizácia štúdia. </w:t>
      </w:r>
      <w:r w:rsidR="001E2362" w:rsidRPr="00557DFD">
        <w:rPr>
          <w:lang w:val="sk-SK"/>
        </w:rPr>
        <w:t>Pre posilnenie internacionalizácie štúdia sa zvýši počet zahraničných študentov študujúcich v</w:t>
      </w:r>
      <w:r w:rsidR="00B93577" w:rsidRPr="00557DFD">
        <w:rPr>
          <w:lang w:val="sk-SK"/>
        </w:rPr>
        <w:t> </w:t>
      </w:r>
      <w:r w:rsidR="001E2362" w:rsidRPr="00557DFD">
        <w:rPr>
          <w:lang w:val="sk-SK"/>
        </w:rPr>
        <w:t>slovenskom</w:t>
      </w:r>
      <w:r w:rsidR="00B93577" w:rsidRPr="00557DFD">
        <w:rPr>
          <w:lang w:val="sk-SK"/>
        </w:rPr>
        <w:t xml:space="preserve"> a počet študentov študujúcich v </w:t>
      </w:r>
      <w:r w:rsidR="001E2362" w:rsidRPr="00557DFD">
        <w:rPr>
          <w:lang w:val="sk-SK"/>
        </w:rPr>
        <w:t>anglickom jazyku.</w:t>
      </w:r>
      <w:r w:rsidR="00426AEC" w:rsidRPr="00557DFD">
        <w:rPr>
          <w:lang w:val="sk-SK"/>
        </w:rPr>
        <w:t xml:space="preserve"> </w:t>
      </w:r>
      <w:r w:rsidR="00EB4F3D" w:rsidRPr="00557DFD">
        <w:rPr>
          <w:lang w:val="sk-SK"/>
        </w:rPr>
        <w:t>STU začne poskytovať výučbu celých študijných programov v anglickom jazyku. Prijímacie konanie</w:t>
      </w:r>
      <w:r w:rsidRPr="00557DFD">
        <w:rPr>
          <w:lang w:val="sk-SK"/>
        </w:rPr>
        <w:t xml:space="preserve"> a nástup na štúdium </w:t>
      </w:r>
      <w:r w:rsidR="00EB4F3D" w:rsidRPr="00557DFD">
        <w:rPr>
          <w:lang w:val="sk-SK"/>
        </w:rPr>
        <w:t>bude v súlade s platnou legislatívou v maximálnej miere zjednodušen</w:t>
      </w:r>
      <w:r w:rsidRPr="00557DFD">
        <w:rPr>
          <w:lang w:val="sk-SK"/>
        </w:rPr>
        <w:t>ý</w:t>
      </w:r>
      <w:r w:rsidR="00EB4F3D" w:rsidRPr="00557DFD">
        <w:rPr>
          <w:lang w:val="sk-SK"/>
        </w:rPr>
        <w:t xml:space="preserve"> z</w:t>
      </w:r>
      <w:r w:rsidR="004C1653" w:rsidRPr="00557DFD">
        <w:rPr>
          <w:lang w:val="sk-SK"/>
        </w:rPr>
        <w:t> </w:t>
      </w:r>
      <w:r w:rsidR="00EB4F3D" w:rsidRPr="00557DFD">
        <w:rPr>
          <w:lang w:val="sk-SK"/>
        </w:rPr>
        <w:t>pohľadu zahraničných uchádzačov. Intenzívna propagáci</w:t>
      </w:r>
      <w:r w:rsidR="00F30183" w:rsidRPr="00557DFD">
        <w:rPr>
          <w:lang w:val="sk-SK"/>
        </w:rPr>
        <w:t>a</w:t>
      </w:r>
      <w:r w:rsidR="00EB4F3D" w:rsidRPr="00557DFD">
        <w:rPr>
          <w:lang w:val="sk-SK"/>
        </w:rPr>
        <w:t xml:space="preserve"> štúdia sa bude realizovať v</w:t>
      </w:r>
      <w:r w:rsidR="004C1653" w:rsidRPr="00557DFD">
        <w:rPr>
          <w:lang w:val="sk-SK"/>
        </w:rPr>
        <w:t> </w:t>
      </w:r>
      <w:r w:rsidR="00EB4F3D" w:rsidRPr="00557DFD">
        <w:rPr>
          <w:lang w:val="sk-SK"/>
        </w:rPr>
        <w:t xml:space="preserve">domácom </w:t>
      </w:r>
      <w:r w:rsidR="00950B1A" w:rsidRPr="00557DFD">
        <w:rPr>
          <w:lang w:val="sk-SK"/>
        </w:rPr>
        <w:t xml:space="preserve"> a aj </w:t>
      </w:r>
      <w:r w:rsidR="00EB4F3D" w:rsidRPr="00557DFD">
        <w:rPr>
          <w:lang w:val="sk-SK"/>
        </w:rPr>
        <w:t>medzinárodn</w:t>
      </w:r>
      <w:r w:rsidR="00950B1A" w:rsidRPr="00557DFD">
        <w:rPr>
          <w:lang w:val="sk-SK"/>
        </w:rPr>
        <w:t>om prostredí</w:t>
      </w:r>
      <w:r w:rsidR="00EB4F3D" w:rsidRPr="00557DFD">
        <w:rPr>
          <w:lang w:val="sk-SK"/>
        </w:rPr>
        <w:t xml:space="preserve">. </w:t>
      </w:r>
      <w:r w:rsidR="00B93577" w:rsidRPr="00557DFD">
        <w:rPr>
          <w:lang w:val="sk-SK"/>
        </w:rPr>
        <w:t xml:space="preserve">STU </w:t>
      </w:r>
      <w:r w:rsidR="00A80822" w:rsidRPr="00557DFD">
        <w:rPr>
          <w:lang w:val="sk-SK"/>
        </w:rPr>
        <w:t xml:space="preserve">pripraví na akreditáciu </w:t>
      </w:r>
      <w:r w:rsidR="00B93577" w:rsidRPr="00557DFD">
        <w:rPr>
          <w:lang w:val="sk-SK"/>
        </w:rPr>
        <w:t>nové spoločné študijné programy zabezpečované v spoluprá</w:t>
      </w:r>
      <w:r w:rsidR="00EB4F3D" w:rsidRPr="00557DFD">
        <w:rPr>
          <w:lang w:val="sk-SK"/>
        </w:rPr>
        <w:t xml:space="preserve">ci so zahraničnými univerzitami, a to najmä pre 2. a 3. stupeň vysokoškolského štúdia. </w:t>
      </w:r>
      <w:r w:rsidR="00B93577" w:rsidRPr="00557DFD">
        <w:rPr>
          <w:lang w:val="sk-SK"/>
        </w:rPr>
        <w:t xml:space="preserve"> Do vzdelávacieho procesu budú zapojení učitelia a odborníci zo zahraničných univerzít. </w:t>
      </w:r>
      <w:r w:rsidR="00426AEC" w:rsidRPr="00557DFD">
        <w:rPr>
          <w:lang w:val="sk-SK"/>
        </w:rPr>
        <w:t xml:space="preserve"> </w:t>
      </w:r>
    </w:p>
    <w:p w:rsidR="006D7812" w:rsidRPr="00557DFD" w:rsidRDefault="006D7812" w:rsidP="00A246A8">
      <w:pPr>
        <w:pStyle w:val="Odsekzoznamu"/>
        <w:ind w:left="0"/>
        <w:jc w:val="both"/>
        <w:rPr>
          <w:lang w:val="sk-SK"/>
        </w:rPr>
      </w:pPr>
    </w:p>
    <w:p w:rsidR="00CD356C" w:rsidRPr="00557DFD" w:rsidRDefault="009C1D95" w:rsidP="00A246A8">
      <w:pPr>
        <w:pStyle w:val="Odsekzoznamu"/>
        <w:numPr>
          <w:ilvl w:val="0"/>
          <w:numId w:val="4"/>
        </w:numPr>
        <w:ind w:left="0" w:firstLine="0"/>
        <w:jc w:val="both"/>
        <w:rPr>
          <w:b/>
          <w:lang w:val="sk-SK"/>
        </w:rPr>
      </w:pPr>
      <w:r w:rsidRPr="00557DFD">
        <w:rPr>
          <w:b/>
          <w:lang w:val="sk-SK"/>
        </w:rPr>
        <w:t>Skvalitnenie prípravy absolventov všetkých 3 stupňov vysokoškolského vzdelávania pre prax</w:t>
      </w:r>
    </w:p>
    <w:p w:rsidR="00426AEC" w:rsidRPr="00557DFD" w:rsidRDefault="001E2362" w:rsidP="004C1653">
      <w:pPr>
        <w:pStyle w:val="Odsekzoznamu"/>
        <w:ind w:left="0"/>
        <w:jc w:val="both"/>
        <w:rPr>
          <w:lang w:val="sk-SK"/>
        </w:rPr>
      </w:pPr>
      <w:r w:rsidRPr="00557DFD">
        <w:rPr>
          <w:lang w:val="sk-SK"/>
        </w:rPr>
        <w:t xml:space="preserve">Pre </w:t>
      </w:r>
      <w:r w:rsidR="009C1D95" w:rsidRPr="00557DFD">
        <w:rPr>
          <w:lang w:val="sk-SK"/>
        </w:rPr>
        <w:t xml:space="preserve">skvalitnenie </w:t>
      </w:r>
      <w:r w:rsidRPr="00557DFD">
        <w:rPr>
          <w:lang w:val="sk-SK"/>
        </w:rPr>
        <w:t xml:space="preserve">prípravy absolventov pre prax sa </w:t>
      </w:r>
      <w:r w:rsidR="009C1D95" w:rsidRPr="00557DFD">
        <w:rPr>
          <w:lang w:val="sk-SK"/>
        </w:rPr>
        <w:t xml:space="preserve">ešte väčšmi </w:t>
      </w:r>
      <w:r w:rsidRPr="00557DFD">
        <w:rPr>
          <w:lang w:val="sk-SK"/>
        </w:rPr>
        <w:t xml:space="preserve">prehĺbi spolupráca </w:t>
      </w:r>
      <w:r w:rsidR="006F5945" w:rsidRPr="00557DFD">
        <w:rPr>
          <w:lang w:val="sk-SK"/>
        </w:rPr>
        <w:t>s</w:t>
      </w:r>
      <w:r w:rsidR="00085310" w:rsidRPr="00557DFD">
        <w:rPr>
          <w:lang w:val="sk-SK"/>
        </w:rPr>
        <w:t> </w:t>
      </w:r>
      <w:r w:rsidR="006F5945" w:rsidRPr="00557DFD">
        <w:rPr>
          <w:lang w:val="sk-SK"/>
        </w:rPr>
        <w:t>praxou</w:t>
      </w:r>
      <w:r w:rsidR="00085310" w:rsidRPr="00557DFD">
        <w:rPr>
          <w:lang w:val="sk-SK"/>
        </w:rPr>
        <w:t xml:space="preserve"> a</w:t>
      </w:r>
      <w:r w:rsidR="00426AEC" w:rsidRPr="00557DFD">
        <w:rPr>
          <w:lang w:val="sk-SK"/>
        </w:rPr>
        <w:t> </w:t>
      </w:r>
      <w:r w:rsidR="001C1433" w:rsidRPr="00557DFD">
        <w:rPr>
          <w:lang w:val="sk-SK"/>
        </w:rPr>
        <w:t>posiln</w:t>
      </w:r>
      <w:r w:rsidR="00426AEC" w:rsidRPr="00557DFD">
        <w:rPr>
          <w:lang w:val="sk-SK"/>
        </w:rPr>
        <w:t xml:space="preserve">í sa </w:t>
      </w:r>
      <w:r w:rsidR="001C1433" w:rsidRPr="00557DFD">
        <w:rPr>
          <w:lang w:val="sk-SK"/>
        </w:rPr>
        <w:t>prepojeni</w:t>
      </w:r>
      <w:r w:rsidR="00426AEC" w:rsidRPr="00557DFD">
        <w:rPr>
          <w:lang w:val="sk-SK"/>
        </w:rPr>
        <w:t>e</w:t>
      </w:r>
      <w:r w:rsidR="001C1433" w:rsidRPr="00557DFD">
        <w:rPr>
          <w:lang w:val="sk-SK"/>
        </w:rPr>
        <w:t xml:space="preserve"> s priemyslom vo vzdelávaní</w:t>
      </w:r>
      <w:r w:rsidR="00B93577" w:rsidRPr="00557DFD">
        <w:rPr>
          <w:lang w:val="sk-SK"/>
        </w:rPr>
        <w:t xml:space="preserve"> </w:t>
      </w:r>
      <w:r w:rsidR="00A80822" w:rsidRPr="00557DFD">
        <w:rPr>
          <w:lang w:val="sk-SK"/>
        </w:rPr>
        <w:t>viacerými</w:t>
      </w:r>
      <w:r w:rsidR="00B93577" w:rsidRPr="00557DFD">
        <w:rPr>
          <w:lang w:val="sk-SK"/>
        </w:rPr>
        <w:t xml:space="preserve"> formami</w:t>
      </w:r>
      <w:r w:rsidR="00752DA7" w:rsidRPr="00557DFD">
        <w:rPr>
          <w:lang w:val="sk-SK"/>
        </w:rPr>
        <w:t>, konkrétne napr. väčš</w:t>
      </w:r>
      <w:r w:rsidR="004C1653" w:rsidRPr="00557DFD">
        <w:rPr>
          <w:lang w:val="sk-SK"/>
        </w:rPr>
        <w:t>ím</w:t>
      </w:r>
      <w:r w:rsidR="00752DA7" w:rsidRPr="00557DFD">
        <w:rPr>
          <w:lang w:val="sk-SK"/>
        </w:rPr>
        <w:t xml:space="preserve"> zapojen</w:t>
      </w:r>
      <w:r w:rsidR="004C1653" w:rsidRPr="00557DFD">
        <w:rPr>
          <w:lang w:val="sk-SK"/>
        </w:rPr>
        <w:t>ím</w:t>
      </w:r>
      <w:r w:rsidR="00752DA7" w:rsidRPr="00557DFD">
        <w:rPr>
          <w:lang w:val="sk-SK"/>
        </w:rPr>
        <w:t xml:space="preserve"> stavebnej a geodetickej praxe do pedagogického procesu. </w:t>
      </w:r>
      <w:r w:rsidR="00B93577" w:rsidRPr="00557DFD">
        <w:rPr>
          <w:lang w:val="sk-SK"/>
        </w:rPr>
        <w:t xml:space="preserve">Do vzdelávacieho procesu budú </w:t>
      </w:r>
      <w:r w:rsidR="009C1D95" w:rsidRPr="00557DFD">
        <w:rPr>
          <w:lang w:val="sk-SK"/>
        </w:rPr>
        <w:t xml:space="preserve">ešte vo väčšej miere </w:t>
      </w:r>
      <w:r w:rsidR="00B93577" w:rsidRPr="00557DFD">
        <w:rPr>
          <w:lang w:val="sk-SK"/>
        </w:rPr>
        <w:t xml:space="preserve">zapojení odborníci z praxe </w:t>
      </w:r>
      <w:r w:rsidR="00745C88" w:rsidRPr="00557DFD">
        <w:rPr>
          <w:lang w:val="sk-SK"/>
        </w:rPr>
        <w:t>formou prednášok približujúcich študentom využitie teórie v praxi. O</w:t>
      </w:r>
      <w:r w:rsidR="00A80822" w:rsidRPr="00557DFD">
        <w:rPr>
          <w:lang w:val="sk-SK"/>
        </w:rPr>
        <w:t>dborníci</w:t>
      </w:r>
      <w:r w:rsidR="009943AE" w:rsidRPr="00557DFD">
        <w:rPr>
          <w:lang w:val="sk-SK"/>
        </w:rPr>
        <w:t xml:space="preserve"> z praxe </w:t>
      </w:r>
      <w:r w:rsidR="00745C88" w:rsidRPr="00557DFD">
        <w:rPr>
          <w:lang w:val="sk-SK"/>
        </w:rPr>
        <w:t xml:space="preserve">budú zapojení </w:t>
      </w:r>
      <w:r w:rsidR="009943AE" w:rsidRPr="00557DFD">
        <w:rPr>
          <w:lang w:val="sk-SK"/>
        </w:rPr>
        <w:t xml:space="preserve">do vedenia alebo konzultovania </w:t>
      </w:r>
      <w:r w:rsidR="009C1D95" w:rsidRPr="00557DFD">
        <w:rPr>
          <w:lang w:val="sk-SK"/>
        </w:rPr>
        <w:t xml:space="preserve">väčšieho počtu </w:t>
      </w:r>
      <w:r w:rsidR="009943AE" w:rsidRPr="00557DFD">
        <w:rPr>
          <w:lang w:val="sk-SK"/>
        </w:rPr>
        <w:t>záverečných prác</w:t>
      </w:r>
      <w:r w:rsidR="00426AEC" w:rsidRPr="00557DFD">
        <w:rPr>
          <w:lang w:val="sk-SK"/>
        </w:rPr>
        <w:t xml:space="preserve">. </w:t>
      </w:r>
      <w:r w:rsidR="00745C88" w:rsidRPr="00557DFD">
        <w:rPr>
          <w:lang w:val="sk-SK"/>
        </w:rPr>
        <w:t>Zvýši sa počet záverečných prác, ktoré budú zamerané na riešenie problémov praxe.</w:t>
      </w:r>
      <w:r w:rsidR="00A80822" w:rsidRPr="00557DFD">
        <w:rPr>
          <w:lang w:val="sk-SK"/>
        </w:rPr>
        <w:t xml:space="preserve"> Odborné praxe budú </w:t>
      </w:r>
      <w:r w:rsidR="009C1D95" w:rsidRPr="00557DFD">
        <w:rPr>
          <w:lang w:val="sk-SK"/>
        </w:rPr>
        <w:t xml:space="preserve">ešte vo väčšej miere </w:t>
      </w:r>
      <w:r w:rsidR="00A80822" w:rsidRPr="00557DFD">
        <w:rPr>
          <w:lang w:val="sk-SK"/>
        </w:rPr>
        <w:t xml:space="preserve">realizované v úzkej spolupráci s priemyselnými partnermi. </w:t>
      </w:r>
    </w:p>
    <w:p w:rsidR="002E7383" w:rsidRPr="00557DFD" w:rsidRDefault="002E7383">
      <w:pPr>
        <w:rPr>
          <w:lang w:val="sk-SK"/>
        </w:rPr>
      </w:pPr>
      <w:r w:rsidRPr="00557DFD">
        <w:rPr>
          <w:lang w:val="sk-SK"/>
        </w:rPr>
        <w:br w:type="page"/>
      </w:r>
    </w:p>
    <w:p w:rsidR="00F23F82" w:rsidRPr="00557DFD" w:rsidRDefault="002A083E" w:rsidP="00A246A8">
      <w:pPr>
        <w:jc w:val="both"/>
        <w:rPr>
          <w:b/>
          <w:caps/>
          <w:lang w:val="sk-SK"/>
        </w:rPr>
      </w:pPr>
      <w:r w:rsidRPr="00557DFD">
        <w:rPr>
          <w:b/>
          <w:caps/>
          <w:lang w:val="sk-SK"/>
        </w:rPr>
        <w:lastRenderedPageBreak/>
        <w:t xml:space="preserve">III. </w:t>
      </w:r>
      <w:r w:rsidR="006700FD" w:rsidRPr="00557DFD">
        <w:rPr>
          <w:b/>
          <w:caps/>
          <w:lang w:val="sk-SK"/>
        </w:rPr>
        <w:t>M</w:t>
      </w:r>
      <w:r w:rsidR="00F23F82" w:rsidRPr="00557DFD">
        <w:rPr>
          <w:b/>
          <w:caps/>
          <w:lang w:val="sk-SK"/>
        </w:rPr>
        <w:t>erateľné ukazovatele</w:t>
      </w:r>
    </w:p>
    <w:p w:rsidR="00FD31A3" w:rsidRPr="00557DFD" w:rsidRDefault="00FD31A3" w:rsidP="00A246A8">
      <w:pPr>
        <w:pStyle w:val="Odsekzoznamu"/>
        <w:numPr>
          <w:ilvl w:val="0"/>
          <w:numId w:val="6"/>
        </w:numPr>
        <w:ind w:left="0" w:firstLine="0"/>
        <w:jc w:val="both"/>
        <w:rPr>
          <w:b/>
          <w:lang w:val="sk-SK"/>
        </w:rPr>
      </w:pPr>
      <w:r w:rsidRPr="00557DFD">
        <w:rPr>
          <w:b/>
          <w:lang w:val="sk-SK"/>
        </w:rPr>
        <w:t>Merateľné ukazovatele</w:t>
      </w:r>
      <w:r w:rsidR="00E7039C" w:rsidRPr="00557DFD">
        <w:rPr>
          <w:b/>
          <w:lang w:val="sk-SK"/>
        </w:rPr>
        <w:t xml:space="preserve"> pre vyhodnotenie zníženi</w:t>
      </w:r>
      <w:r w:rsidR="00CB302C" w:rsidRPr="00557DFD">
        <w:rPr>
          <w:b/>
          <w:lang w:val="sk-SK"/>
        </w:rPr>
        <w:t>a</w:t>
      </w:r>
      <w:r w:rsidR="00E7039C" w:rsidRPr="00557DFD">
        <w:rPr>
          <w:b/>
          <w:lang w:val="sk-SK"/>
        </w:rPr>
        <w:t xml:space="preserve"> počtu neúspešne ukončených študentov 1. ročníka bakalárskeho štúdia</w:t>
      </w:r>
    </w:p>
    <w:tbl>
      <w:tblPr>
        <w:tblStyle w:val="Mriekatabuky"/>
        <w:tblW w:w="9786" w:type="dxa"/>
        <w:tblLook w:val="04A0" w:firstRow="1" w:lastRow="0" w:firstColumn="1" w:lastColumn="0" w:noHBand="0" w:noVBand="1"/>
      </w:tblPr>
      <w:tblGrid>
        <w:gridCol w:w="4535"/>
        <w:gridCol w:w="2654"/>
        <w:gridCol w:w="2597"/>
      </w:tblGrid>
      <w:tr w:rsidR="00752DA7" w:rsidRPr="00557DFD" w:rsidTr="00DA1FDF">
        <w:tc>
          <w:tcPr>
            <w:tcW w:w="4535" w:type="dxa"/>
          </w:tcPr>
          <w:p w:rsidR="00752DA7" w:rsidRPr="00557DFD" w:rsidRDefault="00752DA7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Merateľné ukazovatele dosiahnutia cieľov</w:t>
            </w:r>
          </w:p>
        </w:tc>
        <w:tc>
          <w:tcPr>
            <w:tcW w:w="2654" w:type="dxa"/>
          </w:tcPr>
          <w:p w:rsidR="00752DA7" w:rsidRPr="00557DFD" w:rsidRDefault="00752DA7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Číselná hodnota merateľného ukazovateľa</w:t>
            </w:r>
          </w:p>
          <w:p w:rsidR="00752DA7" w:rsidRPr="00557DFD" w:rsidRDefault="00752DA7" w:rsidP="00A246A8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2597" w:type="dxa"/>
          </w:tcPr>
          <w:p w:rsidR="00752DA7" w:rsidRPr="00557DFD" w:rsidRDefault="00752DA7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Zdroj </w:t>
            </w:r>
          </w:p>
          <w:p w:rsidR="00752DA7" w:rsidRPr="00557DFD" w:rsidRDefault="00752DA7" w:rsidP="00A246A8">
            <w:pPr>
              <w:jc w:val="both"/>
              <w:rPr>
                <w:lang w:val="sk-SK"/>
              </w:rPr>
            </w:pPr>
          </w:p>
        </w:tc>
      </w:tr>
      <w:tr w:rsidR="009C1D95" w:rsidRPr="00557DFD" w:rsidTr="00DA1FDF">
        <w:tc>
          <w:tcPr>
            <w:tcW w:w="4535" w:type="dxa"/>
          </w:tcPr>
          <w:p w:rsidR="009C1D95" w:rsidRPr="00557DFD" w:rsidRDefault="009C1D95" w:rsidP="004C1653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% poklesu neúspešne ukončených študentov v 1. </w:t>
            </w:r>
            <w:r w:rsidR="004C1653" w:rsidRPr="00557DFD">
              <w:rPr>
                <w:lang w:val="sk-SK"/>
              </w:rPr>
              <w:t>r</w:t>
            </w:r>
            <w:r w:rsidRPr="00557DFD">
              <w:rPr>
                <w:lang w:val="sk-SK"/>
              </w:rPr>
              <w:t>oku štúdi</w:t>
            </w:r>
            <w:r w:rsidR="004C1653" w:rsidRPr="00557DFD">
              <w:rPr>
                <w:lang w:val="sk-SK"/>
              </w:rPr>
              <w:t>a</w:t>
            </w:r>
            <w:r w:rsidRPr="00557DFD">
              <w:rPr>
                <w:lang w:val="sk-SK"/>
              </w:rPr>
              <w:t xml:space="preserve"> </w:t>
            </w:r>
          </w:p>
        </w:tc>
        <w:tc>
          <w:tcPr>
            <w:tcW w:w="2654" w:type="dxa"/>
          </w:tcPr>
          <w:p w:rsidR="009C1D95" w:rsidRPr="00557DFD" w:rsidRDefault="009C1D95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5%</w:t>
            </w:r>
          </w:p>
        </w:tc>
        <w:tc>
          <w:tcPr>
            <w:tcW w:w="2597" w:type="dxa"/>
          </w:tcPr>
          <w:p w:rsidR="009C1D95" w:rsidRPr="00557DFD" w:rsidRDefault="009C1D95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</w:t>
            </w:r>
          </w:p>
        </w:tc>
      </w:tr>
      <w:tr w:rsidR="00752DA7" w:rsidRPr="00557DFD" w:rsidTr="00DA1FDF">
        <w:tc>
          <w:tcPr>
            <w:tcW w:w="4535" w:type="dxa"/>
          </w:tcPr>
          <w:p w:rsidR="00752DA7" w:rsidRPr="00557DFD" w:rsidRDefault="00752DA7" w:rsidP="00DF4AA2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Počet nových konverzných študijných programov pripravených na akreditáciu</w:t>
            </w:r>
          </w:p>
        </w:tc>
        <w:tc>
          <w:tcPr>
            <w:tcW w:w="2654" w:type="dxa"/>
          </w:tcPr>
          <w:p w:rsidR="00752DA7" w:rsidRPr="00557DFD" w:rsidRDefault="004C1653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5</w:t>
            </w:r>
          </w:p>
        </w:tc>
        <w:tc>
          <w:tcPr>
            <w:tcW w:w="2597" w:type="dxa"/>
          </w:tcPr>
          <w:p w:rsidR="00752DA7" w:rsidRPr="00557DFD" w:rsidRDefault="00752DA7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Akreditačná agentúra</w:t>
            </w:r>
          </w:p>
        </w:tc>
      </w:tr>
      <w:tr w:rsidR="00752DA7" w:rsidRPr="00557DFD" w:rsidTr="00DA1FDF">
        <w:tc>
          <w:tcPr>
            <w:tcW w:w="4535" w:type="dxa"/>
          </w:tcPr>
          <w:p w:rsidR="00752DA7" w:rsidRPr="00557DFD" w:rsidRDefault="00752DA7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Počet študentov zabezpečujúcich študentský </w:t>
            </w:r>
            <w:proofErr w:type="spellStart"/>
            <w:r w:rsidRPr="00557DFD">
              <w:rPr>
                <w:lang w:val="sk-SK"/>
              </w:rPr>
              <w:t>koučing</w:t>
            </w:r>
            <w:proofErr w:type="spellEnd"/>
          </w:p>
        </w:tc>
        <w:tc>
          <w:tcPr>
            <w:tcW w:w="2654" w:type="dxa"/>
          </w:tcPr>
          <w:p w:rsidR="00752DA7" w:rsidRPr="00557DFD" w:rsidRDefault="004C1653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25/rok</w:t>
            </w:r>
          </w:p>
        </w:tc>
        <w:tc>
          <w:tcPr>
            <w:tcW w:w="2597" w:type="dxa"/>
          </w:tcPr>
          <w:p w:rsidR="00752DA7" w:rsidRPr="00557DFD" w:rsidRDefault="00752DA7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Študentské organizácie STU</w:t>
            </w:r>
          </w:p>
        </w:tc>
      </w:tr>
      <w:tr w:rsidR="00752DA7" w:rsidRPr="00557DFD" w:rsidTr="00DA1FDF">
        <w:tc>
          <w:tcPr>
            <w:tcW w:w="4535" w:type="dxa"/>
          </w:tcPr>
          <w:p w:rsidR="00752DA7" w:rsidRPr="00557DFD" w:rsidRDefault="00752DA7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Optimalizácia počtu študentov na 1 učiteľa  (individualizácia štúdia)</w:t>
            </w:r>
          </w:p>
        </w:tc>
        <w:tc>
          <w:tcPr>
            <w:tcW w:w="2654" w:type="dxa"/>
          </w:tcPr>
          <w:p w:rsidR="00752DA7" w:rsidRPr="00557DFD" w:rsidRDefault="004C1653" w:rsidP="004C1653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max 12 študentov / učiteľ</w:t>
            </w:r>
          </w:p>
        </w:tc>
        <w:tc>
          <w:tcPr>
            <w:tcW w:w="2597" w:type="dxa"/>
          </w:tcPr>
          <w:p w:rsidR="00752DA7" w:rsidRPr="00557DFD" w:rsidRDefault="00752DA7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  <w:tr w:rsidR="00752DA7" w:rsidRPr="00557DFD" w:rsidTr="00DA1FDF">
        <w:tc>
          <w:tcPr>
            <w:tcW w:w="4535" w:type="dxa"/>
          </w:tcPr>
          <w:p w:rsidR="00752DA7" w:rsidRPr="00557DFD" w:rsidRDefault="00752DA7" w:rsidP="00DF4AA2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% predmetov využívajúcich moderné formy vzdelávania (</w:t>
            </w:r>
            <w:proofErr w:type="spellStart"/>
            <w:r w:rsidRPr="00557DFD">
              <w:rPr>
                <w:lang w:val="sk-SK"/>
              </w:rPr>
              <w:t>e-learning</w:t>
            </w:r>
            <w:proofErr w:type="spellEnd"/>
            <w:r w:rsidRPr="00557DFD">
              <w:rPr>
                <w:lang w:val="sk-SK"/>
              </w:rPr>
              <w:t xml:space="preserve">, </w:t>
            </w:r>
            <w:proofErr w:type="spellStart"/>
            <w:r w:rsidRPr="00557DFD">
              <w:rPr>
                <w:lang w:val="sk-SK"/>
              </w:rPr>
              <w:t>videoprednášky</w:t>
            </w:r>
            <w:proofErr w:type="spellEnd"/>
            <w:r w:rsidR="00A825F9" w:rsidRPr="00557DFD">
              <w:rPr>
                <w:lang w:val="sk-SK"/>
              </w:rPr>
              <w:t>, diskusie, projektová práca, prezentácie</w:t>
            </w:r>
            <w:r w:rsidRPr="00557DFD">
              <w:rPr>
                <w:lang w:val="sk-SK"/>
              </w:rPr>
              <w:t>) zo všetkých predmetov</w:t>
            </w:r>
          </w:p>
        </w:tc>
        <w:tc>
          <w:tcPr>
            <w:tcW w:w="2654" w:type="dxa"/>
          </w:tcPr>
          <w:p w:rsidR="00752DA7" w:rsidRPr="00557DFD" w:rsidRDefault="004C1653" w:rsidP="004C1653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30</w:t>
            </w:r>
          </w:p>
        </w:tc>
        <w:tc>
          <w:tcPr>
            <w:tcW w:w="2597" w:type="dxa"/>
          </w:tcPr>
          <w:p w:rsidR="00752DA7" w:rsidRPr="00557DFD" w:rsidRDefault="00752DA7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  <w:tr w:rsidR="00752DA7" w:rsidRPr="00557DFD" w:rsidTr="00DA1FDF">
        <w:tc>
          <w:tcPr>
            <w:tcW w:w="4535" w:type="dxa"/>
          </w:tcPr>
          <w:p w:rsidR="00752DA7" w:rsidRPr="00557DFD" w:rsidRDefault="00752DA7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priemerný </w:t>
            </w:r>
            <w:proofErr w:type="spellStart"/>
            <w:r w:rsidRPr="00557DFD">
              <w:rPr>
                <w:lang w:val="sk-SK"/>
              </w:rPr>
              <w:t>percentil</w:t>
            </w:r>
            <w:proofErr w:type="spellEnd"/>
            <w:r w:rsidRPr="00557DFD">
              <w:rPr>
                <w:lang w:val="sk-SK"/>
              </w:rPr>
              <w:t xml:space="preserve"> z danej kohorty získaný nezávislou testovacou agentúrou / alebo štátnym orgánom</w:t>
            </w:r>
          </w:p>
        </w:tc>
        <w:tc>
          <w:tcPr>
            <w:tcW w:w="2654" w:type="dxa"/>
          </w:tcPr>
          <w:p w:rsidR="00752DA7" w:rsidRPr="00557DFD" w:rsidRDefault="00A825F9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50</w:t>
            </w:r>
            <w:r w:rsidR="004C1653" w:rsidRPr="00557DFD">
              <w:rPr>
                <w:lang w:val="sk-SK"/>
              </w:rPr>
              <w:t xml:space="preserve"> (FIIT)</w:t>
            </w:r>
          </w:p>
        </w:tc>
        <w:tc>
          <w:tcPr>
            <w:tcW w:w="2597" w:type="dxa"/>
          </w:tcPr>
          <w:p w:rsidR="00752DA7" w:rsidRPr="00557DFD" w:rsidRDefault="00752DA7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  <w:tr w:rsidR="009B3C80" w:rsidRPr="00557DFD" w:rsidTr="00DA1FDF">
        <w:tc>
          <w:tcPr>
            <w:tcW w:w="4535" w:type="dxa"/>
          </w:tcPr>
          <w:p w:rsidR="009B3C80" w:rsidRPr="00557DFD" w:rsidRDefault="009B3C80" w:rsidP="002D3C11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Počet vyučovaných hodín v 1. ročníku na doplnenie  chýbajúcich vedomostí (napr. z matematiky, fyziky ...)</w:t>
            </w:r>
          </w:p>
        </w:tc>
        <w:tc>
          <w:tcPr>
            <w:tcW w:w="2654" w:type="dxa"/>
          </w:tcPr>
          <w:p w:rsidR="009B3C80" w:rsidRPr="00557DFD" w:rsidRDefault="009B3C80" w:rsidP="002D3C11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4</w:t>
            </w:r>
            <w:r w:rsidR="004C1653" w:rsidRPr="00557DFD">
              <w:rPr>
                <w:lang w:val="sk-SK"/>
              </w:rPr>
              <w:t xml:space="preserve"> hod. </w:t>
            </w:r>
            <w:r w:rsidRPr="00557DFD">
              <w:rPr>
                <w:lang w:val="sk-SK"/>
              </w:rPr>
              <w:t>/týždeň</w:t>
            </w:r>
          </w:p>
        </w:tc>
        <w:tc>
          <w:tcPr>
            <w:tcW w:w="2597" w:type="dxa"/>
          </w:tcPr>
          <w:p w:rsidR="009B3C80" w:rsidRPr="00557DFD" w:rsidRDefault="004C1653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rozvrh STU</w:t>
            </w:r>
          </w:p>
        </w:tc>
      </w:tr>
    </w:tbl>
    <w:p w:rsidR="00A80350" w:rsidRPr="00557DFD" w:rsidRDefault="00A80350" w:rsidP="00A246A8">
      <w:pPr>
        <w:pStyle w:val="Odsekzoznamu"/>
        <w:ind w:left="0"/>
        <w:jc w:val="both"/>
        <w:rPr>
          <w:lang w:val="sk-SK"/>
        </w:rPr>
      </w:pPr>
    </w:p>
    <w:p w:rsidR="002933F0" w:rsidRPr="00557DFD" w:rsidRDefault="00CB302C" w:rsidP="002E7383">
      <w:pPr>
        <w:pStyle w:val="Odsekzoznamu"/>
        <w:numPr>
          <w:ilvl w:val="0"/>
          <w:numId w:val="6"/>
        </w:numPr>
        <w:ind w:left="0" w:firstLine="0"/>
        <w:jc w:val="both"/>
        <w:rPr>
          <w:b/>
          <w:lang w:val="sk-SK"/>
        </w:rPr>
      </w:pPr>
      <w:r w:rsidRPr="00557DFD">
        <w:rPr>
          <w:b/>
          <w:lang w:val="sk-SK"/>
        </w:rPr>
        <w:t>Merateľné ukazovatele z</w:t>
      </w:r>
      <w:r w:rsidR="002933F0" w:rsidRPr="00557DFD">
        <w:rPr>
          <w:b/>
          <w:lang w:val="sk-SK"/>
        </w:rPr>
        <w:t>výšeni</w:t>
      </w:r>
      <w:r w:rsidRPr="00557DFD">
        <w:rPr>
          <w:b/>
          <w:lang w:val="sk-SK"/>
        </w:rPr>
        <w:t>a</w:t>
      </w:r>
      <w:r w:rsidR="002933F0" w:rsidRPr="00557DFD">
        <w:rPr>
          <w:b/>
          <w:lang w:val="sk-SK"/>
        </w:rPr>
        <w:t xml:space="preserve"> </w:t>
      </w:r>
      <w:r w:rsidR="00A825F9" w:rsidRPr="00557DFD">
        <w:rPr>
          <w:b/>
          <w:lang w:val="sk-SK"/>
        </w:rPr>
        <w:t>úrovne</w:t>
      </w:r>
      <w:r w:rsidR="002933F0" w:rsidRPr="00557DFD">
        <w:rPr>
          <w:b/>
          <w:lang w:val="sk-SK"/>
        </w:rPr>
        <w:t xml:space="preserve"> absolventov študijných programov</w:t>
      </w:r>
      <w:r w:rsidR="002E7383" w:rsidRPr="00557DFD">
        <w:rPr>
          <w:b/>
          <w:lang w:val="sk-SK"/>
        </w:rPr>
        <w:br/>
      </w:r>
      <w:r w:rsidRPr="00557DFD">
        <w:rPr>
          <w:b/>
          <w:lang w:val="sk-SK"/>
        </w:rPr>
        <w:t>a zvýšenia počtu absolventov pre zabezpečenie kvalitného výskumu</w:t>
      </w:r>
    </w:p>
    <w:tbl>
      <w:tblPr>
        <w:tblStyle w:val="Mriekatabuky"/>
        <w:tblW w:w="9782" w:type="dxa"/>
        <w:tblLook w:val="04A0" w:firstRow="1" w:lastRow="0" w:firstColumn="1" w:lastColumn="0" w:noHBand="0" w:noVBand="1"/>
      </w:tblPr>
      <w:tblGrid>
        <w:gridCol w:w="4535"/>
        <w:gridCol w:w="2657"/>
        <w:gridCol w:w="2590"/>
      </w:tblGrid>
      <w:tr w:rsidR="00DA1FDF" w:rsidRPr="00557DFD" w:rsidTr="00DA1FDF">
        <w:tc>
          <w:tcPr>
            <w:tcW w:w="4535" w:type="dxa"/>
          </w:tcPr>
          <w:p w:rsidR="00DA1FDF" w:rsidRPr="00557DFD" w:rsidRDefault="00DA1FDF" w:rsidP="00C053FE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Merateľné ukazovatele dosiahnutia cieľov</w:t>
            </w:r>
          </w:p>
        </w:tc>
        <w:tc>
          <w:tcPr>
            <w:tcW w:w="2657" w:type="dxa"/>
          </w:tcPr>
          <w:p w:rsidR="00DA1FDF" w:rsidRPr="00557DFD" w:rsidRDefault="00DA1FDF" w:rsidP="004C1653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Číselná hodnota merateľného ukazovateľa</w:t>
            </w:r>
          </w:p>
        </w:tc>
        <w:tc>
          <w:tcPr>
            <w:tcW w:w="2590" w:type="dxa"/>
          </w:tcPr>
          <w:p w:rsidR="00DA1FDF" w:rsidRPr="00557DFD" w:rsidRDefault="00DA1FDF" w:rsidP="00C053FE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Zdroj </w:t>
            </w:r>
          </w:p>
          <w:p w:rsidR="00DA1FDF" w:rsidRPr="00557DFD" w:rsidRDefault="00DA1FDF" w:rsidP="00C053FE">
            <w:pPr>
              <w:jc w:val="both"/>
              <w:rPr>
                <w:lang w:val="sk-SK"/>
              </w:rPr>
            </w:pPr>
          </w:p>
        </w:tc>
      </w:tr>
      <w:tr w:rsidR="00DA1FDF" w:rsidRPr="00557DFD" w:rsidTr="00DA1FDF">
        <w:tc>
          <w:tcPr>
            <w:tcW w:w="4535" w:type="dxa"/>
          </w:tcPr>
          <w:p w:rsidR="00DA1FDF" w:rsidRPr="00557DFD" w:rsidRDefault="00DA1FDF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Nárast počtu študentov prihlásených  na študijné programy 3. stupňa</w:t>
            </w:r>
          </w:p>
        </w:tc>
        <w:tc>
          <w:tcPr>
            <w:tcW w:w="2657" w:type="dxa"/>
          </w:tcPr>
          <w:p w:rsidR="00DA1FDF" w:rsidRPr="00557DFD" w:rsidRDefault="004C1653" w:rsidP="009B3C80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5%</w:t>
            </w:r>
          </w:p>
        </w:tc>
        <w:tc>
          <w:tcPr>
            <w:tcW w:w="2590" w:type="dxa"/>
          </w:tcPr>
          <w:p w:rsidR="00DA1FDF" w:rsidRPr="00557DFD" w:rsidRDefault="00DA1FDF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  <w:tr w:rsidR="00DA1FDF" w:rsidRPr="00557DFD" w:rsidTr="00DA1FDF">
        <w:tc>
          <w:tcPr>
            <w:tcW w:w="4535" w:type="dxa"/>
          </w:tcPr>
          <w:p w:rsidR="00DA1FDF" w:rsidRPr="00557DFD" w:rsidRDefault="00DA1FDF" w:rsidP="00ED2EA4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Optimalizácia kvalifikačnej štruktúry učiteľov na STU – počet nových mladých OA, nových docentov a nových profesorov</w:t>
            </w:r>
          </w:p>
        </w:tc>
        <w:tc>
          <w:tcPr>
            <w:tcW w:w="2657" w:type="dxa"/>
          </w:tcPr>
          <w:p w:rsidR="004C1653" w:rsidRPr="00557DFD" w:rsidRDefault="004C1653" w:rsidP="009B3C80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5 </w:t>
            </w:r>
            <w:r w:rsidR="00CC34B6" w:rsidRPr="00557DFD">
              <w:rPr>
                <w:lang w:val="sk-SK"/>
              </w:rPr>
              <w:t>OA do 35 /</w:t>
            </w:r>
            <w:r w:rsidRPr="00557DFD">
              <w:rPr>
                <w:lang w:val="sk-SK"/>
              </w:rPr>
              <w:t xml:space="preserve"> rok</w:t>
            </w:r>
          </w:p>
          <w:p w:rsidR="004C1653" w:rsidRPr="00557DFD" w:rsidRDefault="004C1653" w:rsidP="009B3C80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5</w:t>
            </w:r>
            <w:r w:rsidR="00CC34B6" w:rsidRPr="00557DFD">
              <w:rPr>
                <w:lang w:val="sk-SK"/>
              </w:rPr>
              <w:t xml:space="preserve"> </w:t>
            </w:r>
            <w:proofErr w:type="spellStart"/>
            <w:r w:rsidR="00CC34B6" w:rsidRPr="00557DFD">
              <w:rPr>
                <w:lang w:val="sk-SK"/>
              </w:rPr>
              <w:t>doc</w:t>
            </w:r>
            <w:proofErr w:type="spellEnd"/>
            <w:r w:rsidR="00CC34B6" w:rsidRPr="00557DFD">
              <w:rPr>
                <w:lang w:val="sk-SK"/>
              </w:rPr>
              <w:t xml:space="preserve"> /</w:t>
            </w:r>
            <w:r w:rsidRPr="00557DFD">
              <w:rPr>
                <w:lang w:val="sk-SK"/>
              </w:rPr>
              <w:t xml:space="preserve"> rok</w:t>
            </w:r>
          </w:p>
          <w:p w:rsidR="00DA1FDF" w:rsidRPr="00557DFD" w:rsidRDefault="004C1653" w:rsidP="009B3C80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5 </w:t>
            </w:r>
            <w:proofErr w:type="spellStart"/>
            <w:r w:rsidRPr="00557DFD">
              <w:rPr>
                <w:lang w:val="sk-SK"/>
              </w:rPr>
              <w:t>prof</w:t>
            </w:r>
            <w:proofErr w:type="spellEnd"/>
            <w:r w:rsidRPr="00557DFD">
              <w:rPr>
                <w:lang w:val="sk-SK"/>
              </w:rPr>
              <w:t> / rok</w:t>
            </w:r>
          </w:p>
        </w:tc>
        <w:tc>
          <w:tcPr>
            <w:tcW w:w="2590" w:type="dxa"/>
          </w:tcPr>
          <w:p w:rsidR="00DA1FDF" w:rsidRPr="00557DFD" w:rsidRDefault="00DA1FDF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IS STU</w:t>
            </w:r>
          </w:p>
        </w:tc>
      </w:tr>
      <w:tr w:rsidR="00DA1FDF" w:rsidRPr="00557DFD" w:rsidTr="00DA1FDF">
        <w:tc>
          <w:tcPr>
            <w:tcW w:w="4535" w:type="dxa"/>
          </w:tcPr>
          <w:p w:rsidR="00DA1FDF" w:rsidRPr="00557DFD" w:rsidRDefault="00DA1FDF" w:rsidP="00ED2EA4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Nárast počtu študentov zúčastnených na študentských vedeckých konferenciách a odborných akciách na STU</w:t>
            </w:r>
          </w:p>
        </w:tc>
        <w:tc>
          <w:tcPr>
            <w:tcW w:w="2657" w:type="dxa"/>
          </w:tcPr>
          <w:p w:rsidR="00DA1FDF" w:rsidRPr="00557DFD" w:rsidRDefault="004C1653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5%</w:t>
            </w:r>
          </w:p>
          <w:p w:rsidR="00A825F9" w:rsidRPr="00557DFD" w:rsidRDefault="00A825F9" w:rsidP="00A246A8">
            <w:pPr>
              <w:jc w:val="both"/>
              <w:rPr>
                <w:lang w:val="sk-SK"/>
              </w:rPr>
            </w:pPr>
          </w:p>
        </w:tc>
        <w:tc>
          <w:tcPr>
            <w:tcW w:w="2590" w:type="dxa"/>
          </w:tcPr>
          <w:p w:rsidR="00DA1FDF" w:rsidRPr="00557DFD" w:rsidRDefault="004C1653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  <w:tr w:rsidR="00DA1FDF" w:rsidRPr="00557DFD" w:rsidTr="00DA1FDF">
        <w:tc>
          <w:tcPr>
            <w:tcW w:w="4535" w:type="dxa"/>
          </w:tcPr>
          <w:p w:rsidR="00DA1FDF" w:rsidRPr="00557DFD" w:rsidRDefault="00DA1FDF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Nárast počtu študentov zúčastnených na študentských vedeckých konferenciách a odborných akciách  mimo STU</w:t>
            </w:r>
          </w:p>
        </w:tc>
        <w:tc>
          <w:tcPr>
            <w:tcW w:w="2657" w:type="dxa"/>
          </w:tcPr>
          <w:p w:rsidR="004C1653" w:rsidRPr="00557DFD" w:rsidRDefault="004C1653" w:rsidP="004C1653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5%</w:t>
            </w:r>
          </w:p>
          <w:p w:rsidR="00DA1FDF" w:rsidRPr="00557DFD" w:rsidRDefault="00DA1FDF" w:rsidP="00A246A8">
            <w:pPr>
              <w:jc w:val="both"/>
              <w:rPr>
                <w:lang w:val="sk-SK"/>
              </w:rPr>
            </w:pPr>
          </w:p>
        </w:tc>
        <w:tc>
          <w:tcPr>
            <w:tcW w:w="2590" w:type="dxa"/>
          </w:tcPr>
          <w:p w:rsidR="00DA1FDF" w:rsidRPr="00557DFD" w:rsidRDefault="004C1653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  <w:tr w:rsidR="00EB78AB" w:rsidRPr="00557DFD" w:rsidTr="00DA1FDF">
        <w:tc>
          <w:tcPr>
            <w:tcW w:w="4535" w:type="dxa"/>
          </w:tcPr>
          <w:p w:rsidR="00EB78AB" w:rsidRPr="00557DFD" w:rsidRDefault="00EB78AB" w:rsidP="00CC34B6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Nárast počtu publikácií medzinárodnej úrovne kvality v spoluautorstve so študentmi všetkých troch stupňov</w:t>
            </w:r>
          </w:p>
        </w:tc>
        <w:tc>
          <w:tcPr>
            <w:tcW w:w="2657" w:type="dxa"/>
          </w:tcPr>
          <w:p w:rsidR="00EB78AB" w:rsidRPr="00557DFD" w:rsidRDefault="004C1653" w:rsidP="00CC34B6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5 %</w:t>
            </w:r>
          </w:p>
        </w:tc>
        <w:tc>
          <w:tcPr>
            <w:tcW w:w="2590" w:type="dxa"/>
          </w:tcPr>
          <w:p w:rsidR="00EB78AB" w:rsidRPr="00557DFD" w:rsidRDefault="00EB78AB" w:rsidP="00CC34B6">
            <w:pPr>
              <w:jc w:val="both"/>
              <w:rPr>
                <w:lang w:val="sk-SK"/>
              </w:rPr>
            </w:pPr>
            <w:proofErr w:type="spellStart"/>
            <w:r w:rsidRPr="00557DFD">
              <w:rPr>
                <w:lang w:val="sk-SK"/>
              </w:rPr>
              <w:t>WoS</w:t>
            </w:r>
            <w:proofErr w:type="spellEnd"/>
            <w:r w:rsidRPr="00557DFD">
              <w:rPr>
                <w:lang w:val="sk-SK"/>
              </w:rPr>
              <w:t xml:space="preserve">, </w:t>
            </w:r>
            <w:proofErr w:type="spellStart"/>
            <w:r w:rsidRPr="00557DFD">
              <w:rPr>
                <w:lang w:val="sk-SK"/>
              </w:rPr>
              <w:t>Scopus</w:t>
            </w:r>
            <w:proofErr w:type="spellEnd"/>
          </w:p>
        </w:tc>
      </w:tr>
    </w:tbl>
    <w:p w:rsidR="00F00847" w:rsidRPr="00557DFD" w:rsidRDefault="00F00847" w:rsidP="00A246A8">
      <w:pPr>
        <w:jc w:val="both"/>
        <w:rPr>
          <w:lang w:val="sk-SK"/>
        </w:rPr>
      </w:pPr>
    </w:p>
    <w:p w:rsidR="002933F0" w:rsidRPr="00557DFD" w:rsidRDefault="003255CE" w:rsidP="00ED2EA4">
      <w:pPr>
        <w:pStyle w:val="Odsekzoznamu"/>
        <w:numPr>
          <w:ilvl w:val="0"/>
          <w:numId w:val="6"/>
        </w:numPr>
        <w:ind w:left="0" w:firstLine="0"/>
        <w:jc w:val="both"/>
        <w:rPr>
          <w:b/>
          <w:lang w:val="sk-SK"/>
        </w:rPr>
      </w:pPr>
      <w:r w:rsidRPr="00557DFD">
        <w:rPr>
          <w:b/>
          <w:lang w:val="sk-SK"/>
        </w:rPr>
        <w:lastRenderedPageBreak/>
        <w:t>Merateľné ukazovatele prispôsobenia obsahu vzdelávania a kompetencií absolventov prioritám EU a SR a perspektívnym trendom</w:t>
      </w:r>
      <w:r w:rsidR="002B218B" w:rsidRPr="00557DFD">
        <w:rPr>
          <w:b/>
          <w:lang w:val="sk-SK"/>
        </w:rPr>
        <w:t>, zvýšeni</w:t>
      </w:r>
      <w:r w:rsidR="00ED2EA4" w:rsidRPr="00557DFD">
        <w:rPr>
          <w:b/>
          <w:lang w:val="sk-SK"/>
        </w:rPr>
        <w:t>a</w:t>
      </w:r>
      <w:r w:rsidR="002B218B" w:rsidRPr="00557DFD">
        <w:rPr>
          <w:b/>
          <w:lang w:val="sk-SK"/>
        </w:rPr>
        <w:t xml:space="preserve"> kvality vzdelávania</w:t>
      </w:r>
      <w:r w:rsidR="00ED2EA4" w:rsidRPr="00557DFD">
        <w:rPr>
          <w:b/>
          <w:lang w:val="sk-SK"/>
        </w:rPr>
        <w:t xml:space="preserve"> </w:t>
      </w:r>
      <w:r w:rsidRPr="00557DFD">
        <w:rPr>
          <w:b/>
          <w:lang w:val="sk-SK"/>
        </w:rPr>
        <w:t xml:space="preserve">a zvýšenia </w:t>
      </w:r>
      <w:proofErr w:type="spellStart"/>
      <w:r w:rsidRPr="00557DFD">
        <w:rPr>
          <w:b/>
          <w:lang w:val="sk-SK"/>
        </w:rPr>
        <w:t>interdisciplinarity</w:t>
      </w:r>
      <w:proofErr w:type="spellEnd"/>
    </w:p>
    <w:tbl>
      <w:tblPr>
        <w:tblStyle w:val="Mriekatabuky"/>
        <w:tblW w:w="9785" w:type="dxa"/>
        <w:tblLook w:val="04A0" w:firstRow="1" w:lastRow="0" w:firstColumn="1" w:lastColumn="0" w:noHBand="0" w:noVBand="1"/>
      </w:tblPr>
      <w:tblGrid>
        <w:gridCol w:w="4535"/>
        <w:gridCol w:w="2653"/>
        <w:gridCol w:w="2597"/>
      </w:tblGrid>
      <w:tr w:rsidR="00DA1FDF" w:rsidRPr="00557DFD" w:rsidTr="00DA1FDF">
        <w:tc>
          <w:tcPr>
            <w:tcW w:w="4535" w:type="dxa"/>
          </w:tcPr>
          <w:p w:rsidR="00DA1FDF" w:rsidRPr="00557DFD" w:rsidRDefault="00DA1FDF" w:rsidP="00C053FE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Merateľné ukazovatele dosiahnutia cieľov</w:t>
            </w:r>
          </w:p>
        </w:tc>
        <w:tc>
          <w:tcPr>
            <w:tcW w:w="2653" w:type="dxa"/>
          </w:tcPr>
          <w:p w:rsidR="00DA1FDF" w:rsidRPr="00557DFD" w:rsidRDefault="00DA1FDF" w:rsidP="00C053FE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Číselná hodnota merateľného ukazovateľa</w:t>
            </w:r>
          </w:p>
          <w:p w:rsidR="00DA1FDF" w:rsidRPr="00557DFD" w:rsidRDefault="00DA1FDF" w:rsidP="00C053FE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2597" w:type="dxa"/>
          </w:tcPr>
          <w:p w:rsidR="00DA1FDF" w:rsidRPr="00557DFD" w:rsidRDefault="00DA1FDF" w:rsidP="00C053FE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Zdroj </w:t>
            </w:r>
          </w:p>
          <w:p w:rsidR="00DA1FDF" w:rsidRPr="00557DFD" w:rsidRDefault="00DA1FDF" w:rsidP="00C053FE">
            <w:pPr>
              <w:jc w:val="both"/>
              <w:rPr>
                <w:lang w:val="sk-SK"/>
              </w:rPr>
            </w:pPr>
          </w:p>
        </w:tc>
      </w:tr>
      <w:tr w:rsidR="00DA1FDF" w:rsidRPr="00557DFD" w:rsidTr="00DA1FDF">
        <w:tc>
          <w:tcPr>
            <w:tcW w:w="4535" w:type="dxa"/>
          </w:tcPr>
          <w:p w:rsidR="00DA1FDF" w:rsidRPr="00557DFD" w:rsidRDefault="00DA1FDF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Počet medziodborových študijných programov pripravených na akreditáciu </w:t>
            </w:r>
          </w:p>
        </w:tc>
        <w:tc>
          <w:tcPr>
            <w:tcW w:w="2653" w:type="dxa"/>
          </w:tcPr>
          <w:p w:rsidR="00DA1FDF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1</w:t>
            </w:r>
          </w:p>
        </w:tc>
        <w:tc>
          <w:tcPr>
            <w:tcW w:w="2597" w:type="dxa"/>
          </w:tcPr>
          <w:p w:rsidR="00DA1FDF" w:rsidRPr="00557DFD" w:rsidRDefault="00DA1FDF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Akreditačná agentúra,</w:t>
            </w:r>
          </w:p>
          <w:p w:rsidR="00DA1FDF" w:rsidRPr="00557DFD" w:rsidRDefault="00DA1FDF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  <w:tr w:rsidR="00DA1FDF" w:rsidRPr="00557DFD" w:rsidTr="00DA1FDF">
        <w:tc>
          <w:tcPr>
            <w:tcW w:w="4535" w:type="dxa"/>
          </w:tcPr>
          <w:p w:rsidR="00DA1FDF" w:rsidRPr="00557DFD" w:rsidRDefault="00DA1FDF" w:rsidP="00C053FE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Počet inovovaných predmetov </w:t>
            </w:r>
          </w:p>
        </w:tc>
        <w:tc>
          <w:tcPr>
            <w:tcW w:w="2653" w:type="dxa"/>
          </w:tcPr>
          <w:p w:rsidR="00DA1FDF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10</w:t>
            </w:r>
          </w:p>
        </w:tc>
        <w:tc>
          <w:tcPr>
            <w:tcW w:w="2597" w:type="dxa"/>
          </w:tcPr>
          <w:p w:rsidR="00DA1FDF" w:rsidRPr="00557DFD" w:rsidRDefault="00DA1FDF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  <w:tr w:rsidR="00EB78AB" w:rsidRPr="00557DFD" w:rsidTr="00DA1FDF">
        <w:tc>
          <w:tcPr>
            <w:tcW w:w="4535" w:type="dxa"/>
          </w:tcPr>
          <w:p w:rsidR="00EB78AB" w:rsidRPr="00557DFD" w:rsidRDefault="00EB78AB" w:rsidP="00903602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Počet inovovaných </w:t>
            </w:r>
            <w:r w:rsidR="00903602" w:rsidRPr="00557DFD">
              <w:rPr>
                <w:lang w:val="sk-SK"/>
              </w:rPr>
              <w:t>laboratórií</w:t>
            </w:r>
          </w:p>
        </w:tc>
        <w:tc>
          <w:tcPr>
            <w:tcW w:w="2653" w:type="dxa"/>
          </w:tcPr>
          <w:p w:rsidR="00EB78AB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4</w:t>
            </w:r>
            <w:r w:rsidR="00A825F9" w:rsidRPr="00557DFD">
              <w:rPr>
                <w:lang w:val="sk-SK"/>
              </w:rPr>
              <w:t xml:space="preserve"> </w:t>
            </w:r>
          </w:p>
        </w:tc>
        <w:tc>
          <w:tcPr>
            <w:tcW w:w="2597" w:type="dxa"/>
          </w:tcPr>
          <w:p w:rsidR="00EB78AB" w:rsidRPr="00557DFD" w:rsidRDefault="00903602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Súčasti STU</w:t>
            </w:r>
          </w:p>
        </w:tc>
      </w:tr>
      <w:tr w:rsidR="00DA1FDF" w:rsidRPr="00557DFD" w:rsidTr="00DA1FDF">
        <w:tc>
          <w:tcPr>
            <w:tcW w:w="4535" w:type="dxa"/>
          </w:tcPr>
          <w:p w:rsidR="00DA1FDF" w:rsidRPr="00557DFD" w:rsidRDefault="00DA1FDF" w:rsidP="00C053FE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Počet učiteľov pôsobiacich v nových medziodborových študijných programoch</w:t>
            </w:r>
          </w:p>
        </w:tc>
        <w:tc>
          <w:tcPr>
            <w:tcW w:w="2653" w:type="dxa"/>
          </w:tcPr>
          <w:p w:rsidR="00DA1FDF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10</w:t>
            </w:r>
          </w:p>
        </w:tc>
        <w:tc>
          <w:tcPr>
            <w:tcW w:w="2597" w:type="dxa"/>
          </w:tcPr>
          <w:p w:rsidR="00DA1FDF" w:rsidRPr="00557DFD" w:rsidRDefault="00DA1FDF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  <w:tr w:rsidR="00DA1FDF" w:rsidRPr="00557DFD" w:rsidTr="00DA1FDF">
        <w:tc>
          <w:tcPr>
            <w:tcW w:w="4535" w:type="dxa"/>
          </w:tcPr>
          <w:p w:rsidR="00DA1FDF" w:rsidRPr="00557DFD" w:rsidRDefault="00DA1FDF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Počet nových predmetov v určenom smerovaní (pre FIIT STU na najbližšie obdobie informačná bezpečnosť a umelá inteligencia</w:t>
            </w:r>
          </w:p>
        </w:tc>
        <w:tc>
          <w:tcPr>
            <w:tcW w:w="2653" w:type="dxa"/>
          </w:tcPr>
          <w:p w:rsidR="00DA1FDF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3</w:t>
            </w:r>
          </w:p>
        </w:tc>
        <w:tc>
          <w:tcPr>
            <w:tcW w:w="2597" w:type="dxa"/>
          </w:tcPr>
          <w:p w:rsidR="00DA1FDF" w:rsidRPr="00557DFD" w:rsidRDefault="00DA1FDF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</w:tbl>
    <w:p w:rsidR="00686D87" w:rsidRPr="00557DFD" w:rsidRDefault="00686D87" w:rsidP="00A246A8">
      <w:pPr>
        <w:pStyle w:val="Odsekzoznamu"/>
        <w:ind w:left="0"/>
        <w:jc w:val="both"/>
        <w:rPr>
          <w:lang w:val="sk-SK"/>
        </w:rPr>
      </w:pPr>
    </w:p>
    <w:p w:rsidR="00686D87" w:rsidRPr="00557DFD" w:rsidRDefault="003255CE" w:rsidP="00A825F9">
      <w:pPr>
        <w:pStyle w:val="Odsekzoznamu"/>
        <w:numPr>
          <w:ilvl w:val="0"/>
          <w:numId w:val="6"/>
        </w:numPr>
        <w:ind w:left="0" w:firstLine="0"/>
        <w:jc w:val="both"/>
        <w:rPr>
          <w:b/>
          <w:lang w:val="sk-SK"/>
        </w:rPr>
      </w:pPr>
      <w:r w:rsidRPr="00557DFD">
        <w:rPr>
          <w:b/>
          <w:lang w:val="sk-SK"/>
        </w:rPr>
        <w:t xml:space="preserve">Merateľné ukazovatele prípravy absolventov </w:t>
      </w:r>
      <w:r w:rsidR="00A825F9" w:rsidRPr="00557DFD">
        <w:rPr>
          <w:b/>
          <w:lang w:val="sk-SK"/>
        </w:rPr>
        <w:t>konkurencieschopných v </w:t>
      </w:r>
      <w:r w:rsidRPr="00557DFD">
        <w:rPr>
          <w:b/>
          <w:lang w:val="sk-SK"/>
        </w:rPr>
        <w:t>medzinárodn</w:t>
      </w:r>
      <w:r w:rsidR="00A825F9" w:rsidRPr="00557DFD">
        <w:rPr>
          <w:b/>
          <w:lang w:val="sk-SK"/>
        </w:rPr>
        <w:t>om kontexte</w:t>
      </w:r>
      <w:r w:rsidRPr="00557DFD">
        <w:rPr>
          <w:b/>
          <w:lang w:val="sk-SK"/>
        </w:rPr>
        <w:t xml:space="preserve"> práce a internacionalizácie štúdia</w:t>
      </w:r>
    </w:p>
    <w:tbl>
      <w:tblPr>
        <w:tblStyle w:val="Mriekatabuky"/>
        <w:tblW w:w="9783" w:type="dxa"/>
        <w:tblLook w:val="04A0" w:firstRow="1" w:lastRow="0" w:firstColumn="1" w:lastColumn="0" w:noHBand="0" w:noVBand="1"/>
      </w:tblPr>
      <w:tblGrid>
        <w:gridCol w:w="4535"/>
        <w:gridCol w:w="2657"/>
        <w:gridCol w:w="2591"/>
      </w:tblGrid>
      <w:tr w:rsidR="00DA1FDF" w:rsidRPr="00557DFD" w:rsidTr="00DA1FDF">
        <w:tc>
          <w:tcPr>
            <w:tcW w:w="4535" w:type="dxa"/>
          </w:tcPr>
          <w:p w:rsidR="00DA1FDF" w:rsidRPr="00557DFD" w:rsidRDefault="00DA1FDF" w:rsidP="00C053FE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Merateľné ukazovatele dosiahnutia cieľov</w:t>
            </w:r>
          </w:p>
        </w:tc>
        <w:tc>
          <w:tcPr>
            <w:tcW w:w="2657" w:type="dxa"/>
          </w:tcPr>
          <w:p w:rsidR="00DA1FDF" w:rsidRPr="00557DFD" w:rsidRDefault="00DA1FDF" w:rsidP="0052429D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Číselná hodnota merateľného ukazovateľa</w:t>
            </w:r>
          </w:p>
        </w:tc>
        <w:tc>
          <w:tcPr>
            <w:tcW w:w="2591" w:type="dxa"/>
          </w:tcPr>
          <w:p w:rsidR="00DA1FDF" w:rsidRPr="00557DFD" w:rsidRDefault="00DA1FDF" w:rsidP="00C053FE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Zdroj </w:t>
            </w:r>
          </w:p>
          <w:p w:rsidR="00DA1FDF" w:rsidRPr="00557DFD" w:rsidRDefault="00DA1FDF" w:rsidP="00C053FE">
            <w:pPr>
              <w:jc w:val="both"/>
              <w:rPr>
                <w:lang w:val="sk-SK"/>
              </w:rPr>
            </w:pPr>
          </w:p>
        </w:tc>
      </w:tr>
      <w:tr w:rsidR="00DA1FDF" w:rsidRPr="00557DFD" w:rsidTr="00DA1FDF">
        <w:tc>
          <w:tcPr>
            <w:tcW w:w="4535" w:type="dxa"/>
          </w:tcPr>
          <w:p w:rsidR="00DA1FDF" w:rsidRPr="00557DFD" w:rsidRDefault="00DA1FDF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Počet </w:t>
            </w:r>
            <w:r w:rsidR="00EF3ABE" w:rsidRPr="00557DFD">
              <w:rPr>
                <w:lang w:val="sk-SK"/>
              </w:rPr>
              <w:t xml:space="preserve">nových </w:t>
            </w:r>
            <w:r w:rsidRPr="00557DFD">
              <w:rPr>
                <w:lang w:val="sk-SK"/>
              </w:rPr>
              <w:t xml:space="preserve">spoločných študijných programov </w:t>
            </w:r>
            <w:r w:rsidR="00EF3ABE" w:rsidRPr="00557DFD">
              <w:rPr>
                <w:lang w:val="sk-SK"/>
              </w:rPr>
              <w:t xml:space="preserve">zabezpečovaných v spolupráci </w:t>
            </w:r>
            <w:r w:rsidRPr="00557DFD">
              <w:rPr>
                <w:lang w:val="sk-SK"/>
              </w:rPr>
              <w:t>so zahraničnou VŠ</w:t>
            </w:r>
          </w:p>
        </w:tc>
        <w:tc>
          <w:tcPr>
            <w:tcW w:w="2657" w:type="dxa"/>
          </w:tcPr>
          <w:p w:rsidR="00DA1FDF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2</w:t>
            </w:r>
          </w:p>
        </w:tc>
        <w:tc>
          <w:tcPr>
            <w:tcW w:w="2591" w:type="dxa"/>
          </w:tcPr>
          <w:p w:rsidR="00DA1FDF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</w:t>
            </w:r>
          </w:p>
        </w:tc>
      </w:tr>
      <w:tr w:rsidR="00DA1FDF" w:rsidRPr="00557DFD" w:rsidTr="00DA1FDF">
        <w:tc>
          <w:tcPr>
            <w:tcW w:w="4535" w:type="dxa"/>
          </w:tcPr>
          <w:p w:rsidR="00DA1FDF" w:rsidRPr="00557DFD" w:rsidRDefault="00DA1FDF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Nárast počtu zahraničných študentov </w:t>
            </w:r>
          </w:p>
        </w:tc>
        <w:tc>
          <w:tcPr>
            <w:tcW w:w="2657" w:type="dxa"/>
          </w:tcPr>
          <w:p w:rsidR="00DA1FDF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5%</w:t>
            </w:r>
          </w:p>
        </w:tc>
        <w:tc>
          <w:tcPr>
            <w:tcW w:w="2591" w:type="dxa"/>
          </w:tcPr>
          <w:p w:rsidR="00DA1FDF" w:rsidRPr="00557DFD" w:rsidRDefault="00DA1FDF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  <w:tr w:rsidR="00EF3ABE" w:rsidRPr="00557DFD" w:rsidTr="00DA1FDF">
        <w:tc>
          <w:tcPr>
            <w:tcW w:w="4535" w:type="dxa"/>
          </w:tcPr>
          <w:p w:rsidR="00EF3ABE" w:rsidRPr="00557DFD" w:rsidRDefault="00EF3ABE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Zvýšenie počtu študijných programov akreditovaných pre štúdium v AJ</w:t>
            </w:r>
          </w:p>
        </w:tc>
        <w:tc>
          <w:tcPr>
            <w:tcW w:w="2657" w:type="dxa"/>
          </w:tcPr>
          <w:p w:rsidR="008839D5" w:rsidRPr="00557DFD" w:rsidRDefault="008839D5" w:rsidP="008839D5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1 ŠP  v 2. stupni štúdia</w:t>
            </w:r>
          </w:p>
          <w:p w:rsidR="008839D5" w:rsidRPr="00557DFD" w:rsidRDefault="008839D5" w:rsidP="008839D5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1 ŠP v 3. stupni štúdia</w:t>
            </w:r>
          </w:p>
          <w:p w:rsidR="00EF3ABE" w:rsidRPr="00557DFD" w:rsidRDefault="008839D5" w:rsidP="00CA0021">
            <w:pPr>
              <w:jc w:val="both"/>
            </w:pPr>
            <w:r w:rsidRPr="00557DFD">
              <w:rPr>
                <w:lang w:val="sk-SK"/>
              </w:rPr>
              <w:t>(Kozmické inžinierstvo</w:t>
            </w:r>
            <w:r w:rsidR="00CA0021" w:rsidRPr="00557DFD">
              <w:t>)</w:t>
            </w:r>
          </w:p>
        </w:tc>
        <w:tc>
          <w:tcPr>
            <w:tcW w:w="2591" w:type="dxa"/>
          </w:tcPr>
          <w:p w:rsidR="00EF3ABE" w:rsidRPr="00557DFD" w:rsidRDefault="00CA0021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Akreditačná agentúra</w:t>
            </w:r>
          </w:p>
        </w:tc>
      </w:tr>
      <w:tr w:rsidR="00DA1FDF" w:rsidRPr="00557DFD" w:rsidTr="00DA1FDF">
        <w:tc>
          <w:tcPr>
            <w:tcW w:w="4535" w:type="dxa"/>
          </w:tcPr>
          <w:p w:rsidR="00DA1FDF" w:rsidRPr="00557DFD" w:rsidRDefault="00DA1FDF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Nárast počtu študijných programov poskytovaných v AJ</w:t>
            </w:r>
          </w:p>
        </w:tc>
        <w:tc>
          <w:tcPr>
            <w:tcW w:w="2657" w:type="dxa"/>
          </w:tcPr>
          <w:p w:rsidR="00DA1FDF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0</w:t>
            </w:r>
          </w:p>
        </w:tc>
        <w:tc>
          <w:tcPr>
            <w:tcW w:w="2591" w:type="dxa"/>
          </w:tcPr>
          <w:p w:rsidR="00DA1FDF" w:rsidRPr="00557DFD" w:rsidRDefault="00CA0021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  <w:tr w:rsidR="00DA1FDF" w:rsidRPr="00557DFD" w:rsidTr="00DA1FDF">
        <w:tc>
          <w:tcPr>
            <w:tcW w:w="4535" w:type="dxa"/>
          </w:tcPr>
          <w:p w:rsidR="00DA1FDF" w:rsidRPr="00557DFD" w:rsidRDefault="00EF3ABE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Počet učiteľov zo zahraničia zapojených do vzdelávacieho procesu na STU</w:t>
            </w:r>
          </w:p>
        </w:tc>
        <w:tc>
          <w:tcPr>
            <w:tcW w:w="2657" w:type="dxa"/>
          </w:tcPr>
          <w:p w:rsidR="00DA1FDF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6 učiteľov / rok</w:t>
            </w:r>
          </w:p>
        </w:tc>
        <w:tc>
          <w:tcPr>
            <w:tcW w:w="2591" w:type="dxa"/>
          </w:tcPr>
          <w:p w:rsidR="00DA1FDF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  <w:tr w:rsidR="00DA1FDF" w:rsidRPr="00557DFD" w:rsidTr="00DA1FDF">
        <w:tc>
          <w:tcPr>
            <w:tcW w:w="4535" w:type="dxa"/>
          </w:tcPr>
          <w:p w:rsidR="00DA1FDF" w:rsidRPr="00557DFD" w:rsidRDefault="00EF3ABE" w:rsidP="00EF3ABE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% podiel predmetov vyučovaných </w:t>
            </w:r>
            <w:r w:rsidR="00CC34B6" w:rsidRPr="00557DFD">
              <w:rPr>
                <w:lang w:val="sk-SK"/>
              </w:rPr>
              <w:t xml:space="preserve">aj </w:t>
            </w:r>
            <w:r w:rsidRPr="00557DFD">
              <w:rPr>
                <w:lang w:val="sk-SK"/>
              </w:rPr>
              <w:t>v AJ zo všetkých vyučovaných predmetov</w:t>
            </w:r>
          </w:p>
        </w:tc>
        <w:tc>
          <w:tcPr>
            <w:tcW w:w="2657" w:type="dxa"/>
          </w:tcPr>
          <w:p w:rsidR="00DA1FDF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5 %</w:t>
            </w:r>
          </w:p>
        </w:tc>
        <w:tc>
          <w:tcPr>
            <w:tcW w:w="2591" w:type="dxa"/>
          </w:tcPr>
          <w:p w:rsidR="00DA1FDF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  <w:tr w:rsidR="00DA1FDF" w:rsidRPr="00557DFD" w:rsidTr="00DA1FDF">
        <w:tc>
          <w:tcPr>
            <w:tcW w:w="4535" w:type="dxa"/>
          </w:tcPr>
          <w:p w:rsidR="00DA1FDF" w:rsidRPr="00557DFD" w:rsidRDefault="00EF3ABE" w:rsidP="00EF3ABE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% podiel predmetov so zabezpečenými materiálmi </w:t>
            </w:r>
            <w:r w:rsidR="00CC34B6" w:rsidRPr="00557DFD">
              <w:rPr>
                <w:lang w:val="sk-SK"/>
              </w:rPr>
              <w:t xml:space="preserve">aj </w:t>
            </w:r>
            <w:r w:rsidRPr="00557DFD">
              <w:rPr>
                <w:lang w:val="sk-SK"/>
              </w:rPr>
              <w:t>v AJ zo všetkých vyučovaných predmetov</w:t>
            </w:r>
          </w:p>
        </w:tc>
        <w:tc>
          <w:tcPr>
            <w:tcW w:w="2657" w:type="dxa"/>
          </w:tcPr>
          <w:p w:rsidR="00A825F9" w:rsidRPr="00557DFD" w:rsidRDefault="0052429D" w:rsidP="0052429D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10 %</w:t>
            </w:r>
          </w:p>
        </w:tc>
        <w:tc>
          <w:tcPr>
            <w:tcW w:w="2591" w:type="dxa"/>
          </w:tcPr>
          <w:p w:rsidR="00DA1FDF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</w:tbl>
    <w:p w:rsidR="00CA0021" w:rsidRPr="00557DFD" w:rsidRDefault="00CA0021" w:rsidP="00A246A8">
      <w:pPr>
        <w:pStyle w:val="Odsekzoznamu"/>
        <w:ind w:left="0"/>
        <w:jc w:val="both"/>
        <w:rPr>
          <w:lang w:val="sk-SK"/>
        </w:rPr>
      </w:pPr>
    </w:p>
    <w:p w:rsidR="00CA0021" w:rsidRPr="00557DFD" w:rsidRDefault="00CA0021">
      <w:pPr>
        <w:rPr>
          <w:lang w:val="sk-SK"/>
        </w:rPr>
      </w:pPr>
      <w:r w:rsidRPr="00557DFD">
        <w:rPr>
          <w:lang w:val="sk-SK"/>
        </w:rPr>
        <w:br w:type="page"/>
      </w:r>
    </w:p>
    <w:p w:rsidR="003255CE" w:rsidRPr="00557DFD" w:rsidRDefault="003255CE" w:rsidP="00A246A8">
      <w:pPr>
        <w:pStyle w:val="Odsekzoznamu"/>
        <w:numPr>
          <w:ilvl w:val="0"/>
          <w:numId w:val="6"/>
        </w:numPr>
        <w:ind w:left="0" w:firstLine="0"/>
        <w:jc w:val="both"/>
        <w:rPr>
          <w:b/>
          <w:lang w:val="sk-SK"/>
        </w:rPr>
      </w:pPr>
      <w:r w:rsidRPr="00557DFD">
        <w:rPr>
          <w:b/>
          <w:lang w:val="sk-SK"/>
        </w:rPr>
        <w:lastRenderedPageBreak/>
        <w:t xml:space="preserve">Merateľné ukazovatele prípravy absolventov </w:t>
      </w:r>
      <w:r w:rsidR="00262EAF" w:rsidRPr="00557DFD">
        <w:rPr>
          <w:b/>
          <w:lang w:val="sk-SK"/>
        </w:rPr>
        <w:t xml:space="preserve">všetkých 3 stupňov vysokoškolského </w:t>
      </w:r>
      <w:r w:rsidR="004C2809" w:rsidRPr="00557DFD">
        <w:rPr>
          <w:b/>
          <w:lang w:val="sk-SK"/>
        </w:rPr>
        <w:t>vzdelávania</w:t>
      </w:r>
      <w:r w:rsidR="00262EAF" w:rsidRPr="00557DFD">
        <w:rPr>
          <w:b/>
          <w:lang w:val="sk-SK"/>
        </w:rPr>
        <w:t xml:space="preserve"> </w:t>
      </w:r>
      <w:r w:rsidRPr="00557DFD">
        <w:rPr>
          <w:b/>
          <w:lang w:val="sk-SK"/>
        </w:rPr>
        <w:t>pre prax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4535"/>
        <w:gridCol w:w="2661"/>
        <w:gridCol w:w="2693"/>
      </w:tblGrid>
      <w:tr w:rsidR="00EF3ABE" w:rsidRPr="00557DFD" w:rsidTr="00EF3ABE">
        <w:tc>
          <w:tcPr>
            <w:tcW w:w="4535" w:type="dxa"/>
          </w:tcPr>
          <w:p w:rsidR="00EF3ABE" w:rsidRPr="00557DFD" w:rsidRDefault="00EF3ABE" w:rsidP="00C053FE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Merateľné ukazovatele dosiahnutia cieľov</w:t>
            </w:r>
          </w:p>
        </w:tc>
        <w:tc>
          <w:tcPr>
            <w:tcW w:w="2661" w:type="dxa"/>
          </w:tcPr>
          <w:p w:rsidR="00EF3ABE" w:rsidRPr="00557DFD" w:rsidRDefault="00EF3ABE" w:rsidP="0052429D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Číselná hodnota merateľného ukazovateľa</w:t>
            </w:r>
          </w:p>
        </w:tc>
        <w:tc>
          <w:tcPr>
            <w:tcW w:w="2693" w:type="dxa"/>
          </w:tcPr>
          <w:p w:rsidR="00EF3ABE" w:rsidRPr="00557DFD" w:rsidRDefault="00EF3ABE" w:rsidP="00C053FE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 xml:space="preserve">Zdroj </w:t>
            </w:r>
          </w:p>
          <w:p w:rsidR="00EF3ABE" w:rsidRPr="00557DFD" w:rsidRDefault="00EF3ABE" w:rsidP="00C053FE">
            <w:pPr>
              <w:jc w:val="both"/>
              <w:rPr>
                <w:lang w:val="sk-SK"/>
              </w:rPr>
            </w:pPr>
          </w:p>
        </w:tc>
      </w:tr>
      <w:tr w:rsidR="00EF3ABE" w:rsidRPr="00557DFD" w:rsidTr="00EF3ABE">
        <w:tc>
          <w:tcPr>
            <w:tcW w:w="4535" w:type="dxa"/>
          </w:tcPr>
          <w:p w:rsidR="00EF3ABE" w:rsidRPr="00557DFD" w:rsidRDefault="001F22A9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P</w:t>
            </w:r>
            <w:r w:rsidR="00EF3ABE" w:rsidRPr="00557DFD">
              <w:rPr>
                <w:lang w:val="sk-SK"/>
              </w:rPr>
              <w:t>očet firiem zapojených do pedagogického procesu</w:t>
            </w:r>
          </w:p>
        </w:tc>
        <w:tc>
          <w:tcPr>
            <w:tcW w:w="2661" w:type="dxa"/>
          </w:tcPr>
          <w:p w:rsidR="00EF3ABE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40</w:t>
            </w:r>
          </w:p>
        </w:tc>
        <w:tc>
          <w:tcPr>
            <w:tcW w:w="2693" w:type="dxa"/>
          </w:tcPr>
          <w:p w:rsidR="00EF3ABE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  <w:tr w:rsidR="00EF3ABE" w:rsidRPr="00557DFD" w:rsidTr="00EF3ABE">
        <w:tc>
          <w:tcPr>
            <w:tcW w:w="4535" w:type="dxa"/>
          </w:tcPr>
          <w:p w:rsidR="00EF3ABE" w:rsidRPr="00557DFD" w:rsidRDefault="001F22A9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Po</w:t>
            </w:r>
            <w:r w:rsidR="00EF3ABE" w:rsidRPr="00557DFD">
              <w:rPr>
                <w:lang w:val="sk-SK"/>
              </w:rPr>
              <w:t>čet projektov riešených študentmi s témami z priemyslu a v spolupráci s priemyslom</w:t>
            </w:r>
          </w:p>
        </w:tc>
        <w:tc>
          <w:tcPr>
            <w:tcW w:w="2661" w:type="dxa"/>
          </w:tcPr>
          <w:p w:rsidR="00EF3ABE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15</w:t>
            </w:r>
          </w:p>
        </w:tc>
        <w:tc>
          <w:tcPr>
            <w:tcW w:w="2693" w:type="dxa"/>
          </w:tcPr>
          <w:p w:rsidR="00EF3ABE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  <w:tr w:rsidR="00EF3ABE" w:rsidRPr="00557DFD" w:rsidTr="00EF3ABE">
        <w:tc>
          <w:tcPr>
            <w:tcW w:w="4535" w:type="dxa"/>
          </w:tcPr>
          <w:p w:rsidR="00EF3ABE" w:rsidRPr="00557DFD" w:rsidRDefault="001F22A9" w:rsidP="00EF3ABE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P</w:t>
            </w:r>
            <w:r w:rsidR="00EF3ABE" w:rsidRPr="00557DFD">
              <w:rPr>
                <w:lang w:val="sk-SK"/>
              </w:rPr>
              <w:t>očet záverečných prác riešených študentmi s témami z priemyslu a v spolupráci s priemyslom</w:t>
            </w:r>
          </w:p>
        </w:tc>
        <w:tc>
          <w:tcPr>
            <w:tcW w:w="2661" w:type="dxa"/>
          </w:tcPr>
          <w:p w:rsidR="00EF3ABE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40</w:t>
            </w:r>
          </w:p>
        </w:tc>
        <w:tc>
          <w:tcPr>
            <w:tcW w:w="2693" w:type="dxa"/>
          </w:tcPr>
          <w:p w:rsidR="00EF3ABE" w:rsidRPr="00557DFD" w:rsidRDefault="00EF3ABE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</w:t>
            </w:r>
            <w:r w:rsidR="0052429D" w:rsidRPr="00557DFD">
              <w:rPr>
                <w:lang w:val="sk-SK"/>
              </w:rPr>
              <w:t xml:space="preserve"> STU</w:t>
            </w:r>
          </w:p>
        </w:tc>
      </w:tr>
      <w:tr w:rsidR="00EF3ABE" w:rsidRPr="00557DFD" w:rsidTr="00EF3ABE">
        <w:tc>
          <w:tcPr>
            <w:tcW w:w="4535" w:type="dxa"/>
          </w:tcPr>
          <w:p w:rsidR="00EF3ABE" w:rsidRPr="00557DFD" w:rsidRDefault="001F22A9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P</w:t>
            </w:r>
            <w:r w:rsidR="00EF3ABE" w:rsidRPr="00557DFD">
              <w:rPr>
                <w:lang w:val="sk-SK"/>
              </w:rPr>
              <w:t>očet spoločných výskumných pracovísk s priemyslom</w:t>
            </w:r>
          </w:p>
        </w:tc>
        <w:tc>
          <w:tcPr>
            <w:tcW w:w="2661" w:type="dxa"/>
          </w:tcPr>
          <w:p w:rsidR="00EF3ABE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4</w:t>
            </w:r>
          </w:p>
        </w:tc>
        <w:tc>
          <w:tcPr>
            <w:tcW w:w="2693" w:type="dxa"/>
          </w:tcPr>
          <w:p w:rsidR="00EF3ABE" w:rsidRPr="00557DFD" w:rsidRDefault="0052429D" w:rsidP="00A246A8">
            <w:pPr>
              <w:jc w:val="both"/>
              <w:rPr>
                <w:lang w:val="sk-SK"/>
              </w:rPr>
            </w:pPr>
            <w:r w:rsidRPr="00557DFD">
              <w:rPr>
                <w:lang w:val="sk-SK"/>
              </w:rPr>
              <w:t>AIS STU</w:t>
            </w:r>
          </w:p>
        </w:tc>
      </w:tr>
    </w:tbl>
    <w:p w:rsidR="00A80350" w:rsidRPr="00557DFD" w:rsidRDefault="00A80350" w:rsidP="00A246A8">
      <w:pPr>
        <w:jc w:val="both"/>
        <w:rPr>
          <w:lang w:val="sk-SK"/>
        </w:rPr>
      </w:pPr>
    </w:p>
    <w:p w:rsidR="002A083E" w:rsidRPr="00557DFD" w:rsidRDefault="00EF4EF2" w:rsidP="002A083E">
      <w:pPr>
        <w:jc w:val="both"/>
        <w:rPr>
          <w:b/>
          <w:caps/>
          <w:lang w:val="sk-SK"/>
        </w:rPr>
      </w:pPr>
      <w:r w:rsidRPr="00557DFD">
        <w:rPr>
          <w:b/>
          <w:caps/>
          <w:lang w:val="sk-SK"/>
        </w:rPr>
        <w:t xml:space="preserve">IV. </w:t>
      </w:r>
      <w:r w:rsidR="00F23F82" w:rsidRPr="00557DFD">
        <w:rPr>
          <w:b/>
          <w:caps/>
          <w:lang w:val="sk-SK"/>
        </w:rPr>
        <w:t>Postupnosť krokov</w:t>
      </w:r>
      <w:r w:rsidR="003255CE" w:rsidRPr="00557DFD">
        <w:rPr>
          <w:b/>
          <w:caps/>
          <w:lang w:val="sk-SK"/>
        </w:rPr>
        <w:t xml:space="preserve"> na zabezpečenie štrukt</w:t>
      </w:r>
      <w:r w:rsidR="008C4679" w:rsidRPr="00557DFD">
        <w:rPr>
          <w:b/>
          <w:caps/>
          <w:lang w:val="sk-SK"/>
        </w:rPr>
        <w:t>urálnych zmien</w:t>
      </w:r>
    </w:p>
    <w:p w:rsidR="00FD31A3" w:rsidRPr="00557DFD" w:rsidRDefault="00FD31A3" w:rsidP="008C4679">
      <w:pPr>
        <w:pStyle w:val="Odsekzoznamu"/>
        <w:numPr>
          <w:ilvl w:val="0"/>
          <w:numId w:val="9"/>
        </w:numPr>
        <w:ind w:left="426" w:hanging="426"/>
        <w:jc w:val="both"/>
        <w:rPr>
          <w:b/>
          <w:bCs/>
          <w:lang w:val="sk-SK"/>
        </w:rPr>
      </w:pPr>
      <w:r w:rsidRPr="00557DFD">
        <w:rPr>
          <w:b/>
          <w:bCs/>
          <w:lang w:val="sk-SK"/>
        </w:rPr>
        <w:t>Postupnosť krokov na zníženie počtu  neúspešne ukončený</w:t>
      </w:r>
      <w:r w:rsidR="00DB0056" w:rsidRPr="00557DFD">
        <w:rPr>
          <w:b/>
          <w:bCs/>
          <w:lang w:val="sk-SK"/>
        </w:rPr>
        <w:t>ch študentov</w:t>
      </w:r>
    </w:p>
    <w:p w:rsidR="00E7039C" w:rsidRPr="00557DFD" w:rsidRDefault="00E7039C" w:rsidP="008C4679">
      <w:pPr>
        <w:spacing w:after="0"/>
        <w:jc w:val="both"/>
        <w:rPr>
          <w:lang w:val="sk-SK"/>
        </w:rPr>
      </w:pPr>
      <w:r w:rsidRPr="00557DFD">
        <w:rPr>
          <w:lang w:val="sk-SK"/>
        </w:rPr>
        <w:t xml:space="preserve">Príprava akreditácie 4-ročných </w:t>
      </w:r>
      <w:r w:rsidR="008C4679" w:rsidRPr="00557DFD">
        <w:rPr>
          <w:lang w:val="sk-SK"/>
        </w:rPr>
        <w:t xml:space="preserve">konverzných </w:t>
      </w:r>
      <w:r w:rsidRPr="00557DFD">
        <w:rPr>
          <w:lang w:val="sk-SK"/>
        </w:rPr>
        <w:t>bakalárskych študijných programov</w:t>
      </w:r>
      <w:r w:rsidR="008C4679" w:rsidRPr="00557DFD">
        <w:rPr>
          <w:lang w:val="sk-SK"/>
        </w:rPr>
        <w:t xml:space="preserve"> (2019-2020)</w:t>
      </w:r>
    </w:p>
    <w:p w:rsidR="008C4679" w:rsidRPr="00557DFD" w:rsidRDefault="008C4679" w:rsidP="008C4679">
      <w:pPr>
        <w:spacing w:after="0"/>
        <w:jc w:val="both"/>
        <w:rPr>
          <w:lang w:val="sk-SK"/>
        </w:rPr>
      </w:pPr>
      <w:r w:rsidRPr="00557DFD">
        <w:rPr>
          <w:lang w:val="sk-SK"/>
        </w:rPr>
        <w:t>Akreditácia 4-ročných konverzných bakalárskych študijných programov (2020-2021)</w:t>
      </w:r>
    </w:p>
    <w:p w:rsidR="00DB0056" w:rsidRPr="00557DFD" w:rsidRDefault="008C4679" w:rsidP="008C4679">
      <w:pPr>
        <w:spacing w:after="0"/>
        <w:jc w:val="both"/>
        <w:rPr>
          <w:lang w:val="sk-SK"/>
        </w:rPr>
      </w:pPr>
      <w:r w:rsidRPr="00557DFD">
        <w:rPr>
          <w:lang w:val="sk-SK"/>
        </w:rPr>
        <w:t>Zorganizovanie</w:t>
      </w:r>
      <w:r w:rsidR="00DB0056" w:rsidRPr="00557DFD">
        <w:rPr>
          <w:lang w:val="sk-SK"/>
        </w:rPr>
        <w:t xml:space="preserve"> študentského </w:t>
      </w:r>
      <w:proofErr w:type="spellStart"/>
      <w:r w:rsidR="00DB0056" w:rsidRPr="00557DFD">
        <w:rPr>
          <w:lang w:val="sk-SK"/>
        </w:rPr>
        <w:t>kouč</w:t>
      </w:r>
      <w:r w:rsidRPr="00557DFD">
        <w:rPr>
          <w:lang w:val="sk-SK"/>
        </w:rPr>
        <w:t>ingu</w:t>
      </w:r>
      <w:proofErr w:type="spellEnd"/>
      <w:r w:rsidRPr="00557DFD">
        <w:rPr>
          <w:lang w:val="sk-SK"/>
        </w:rPr>
        <w:t xml:space="preserve"> na všetkých súčastiach STU (2019)</w:t>
      </w:r>
    </w:p>
    <w:p w:rsidR="008C4679" w:rsidRPr="00557DFD" w:rsidRDefault="008C4679" w:rsidP="008C4679">
      <w:pPr>
        <w:spacing w:after="0"/>
        <w:jc w:val="both"/>
        <w:rPr>
          <w:lang w:val="sk-SK"/>
        </w:rPr>
      </w:pPr>
      <w:r w:rsidRPr="00557DFD">
        <w:rPr>
          <w:lang w:val="sk-SK"/>
        </w:rPr>
        <w:t xml:space="preserve">Realizácia študentského </w:t>
      </w:r>
      <w:proofErr w:type="spellStart"/>
      <w:r w:rsidRPr="00557DFD">
        <w:rPr>
          <w:lang w:val="sk-SK"/>
        </w:rPr>
        <w:t>koučingu</w:t>
      </w:r>
      <w:proofErr w:type="spellEnd"/>
      <w:r w:rsidRPr="00557DFD">
        <w:rPr>
          <w:lang w:val="sk-SK"/>
        </w:rPr>
        <w:t xml:space="preserve"> na všetkých súčastiach STU (2019-2021)</w:t>
      </w:r>
    </w:p>
    <w:p w:rsidR="008C4679" w:rsidRPr="00557DFD" w:rsidRDefault="008C4679" w:rsidP="008C4679">
      <w:pPr>
        <w:spacing w:after="0"/>
        <w:jc w:val="both"/>
        <w:rPr>
          <w:lang w:val="sk-SK"/>
        </w:rPr>
      </w:pPr>
      <w:r w:rsidRPr="00557DFD">
        <w:rPr>
          <w:lang w:val="sk-SK"/>
        </w:rPr>
        <w:t>Optimalizácia počtu, vekovej a kvalifikačnej štruktúry učiteľov (2019-2021)</w:t>
      </w:r>
    </w:p>
    <w:p w:rsidR="00DB0056" w:rsidRPr="00557DFD" w:rsidRDefault="004C2809" w:rsidP="002E7383">
      <w:pPr>
        <w:spacing w:after="0"/>
        <w:jc w:val="both"/>
        <w:rPr>
          <w:lang w:val="sk-SK"/>
        </w:rPr>
      </w:pPr>
      <w:r w:rsidRPr="00557DFD">
        <w:rPr>
          <w:lang w:val="sk-SK"/>
        </w:rPr>
        <w:t xml:space="preserve">Neustále </w:t>
      </w:r>
      <w:proofErr w:type="spellStart"/>
      <w:r w:rsidRPr="00557DFD">
        <w:rPr>
          <w:lang w:val="sk-SK"/>
        </w:rPr>
        <w:t>skvalit</w:t>
      </w:r>
      <w:r w:rsidR="00A825F9" w:rsidRPr="00557DFD">
        <w:rPr>
          <w:lang w:val="sk-SK"/>
        </w:rPr>
        <w:t>ňov</w:t>
      </w:r>
      <w:r w:rsidRPr="00557DFD">
        <w:rPr>
          <w:lang w:val="sk-SK"/>
        </w:rPr>
        <w:t>a</w:t>
      </w:r>
      <w:proofErr w:type="spellEnd"/>
      <w:r w:rsidR="00A825F9" w:rsidRPr="00557DFD">
        <w:rPr>
          <w:lang w:val="sk-SK"/>
        </w:rPr>
        <w:t xml:space="preserve"> </w:t>
      </w:r>
      <w:r w:rsidR="00DB0056" w:rsidRPr="00557DFD">
        <w:rPr>
          <w:lang w:val="sk-SK"/>
        </w:rPr>
        <w:t>moderných foriem vzdelávania</w:t>
      </w:r>
      <w:r w:rsidR="008C4679" w:rsidRPr="00557DFD">
        <w:rPr>
          <w:lang w:val="sk-SK"/>
        </w:rPr>
        <w:t xml:space="preserve"> (2019-2021)</w:t>
      </w:r>
    </w:p>
    <w:p w:rsidR="008C4679" w:rsidRPr="00557DFD" w:rsidRDefault="008C4679" w:rsidP="00A246A8">
      <w:pPr>
        <w:jc w:val="both"/>
        <w:rPr>
          <w:b/>
          <w:bCs/>
          <w:lang w:val="sk-SK"/>
        </w:rPr>
      </w:pPr>
    </w:p>
    <w:p w:rsidR="00DB0056" w:rsidRPr="00557DFD" w:rsidRDefault="00DB0056" w:rsidP="00A97FC3">
      <w:pPr>
        <w:pStyle w:val="Odsekzoznamu"/>
        <w:numPr>
          <w:ilvl w:val="0"/>
          <w:numId w:val="9"/>
        </w:numPr>
        <w:ind w:left="426" w:hanging="426"/>
        <w:jc w:val="both"/>
        <w:rPr>
          <w:b/>
          <w:lang w:val="sk-SK"/>
        </w:rPr>
      </w:pPr>
      <w:r w:rsidRPr="00557DFD">
        <w:rPr>
          <w:b/>
          <w:lang w:val="sk-SK"/>
        </w:rPr>
        <w:t xml:space="preserve">Postupnosť krokov na zvýšenie </w:t>
      </w:r>
      <w:r w:rsidR="00EE4C94" w:rsidRPr="00557DFD">
        <w:rPr>
          <w:b/>
          <w:lang w:val="sk-SK"/>
        </w:rPr>
        <w:t>úrovne</w:t>
      </w:r>
      <w:r w:rsidRPr="00557DFD">
        <w:rPr>
          <w:b/>
          <w:lang w:val="sk-SK"/>
        </w:rPr>
        <w:t xml:space="preserve"> absolventov študijných programov a</w:t>
      </w:r>
      <w:r w:rsidR="00A97FC3" w:rsidRPr="00557DFD">
        <w:rPr>
          <w:b/>
          <w:lang w:val="sk-SK"/>
        </w:rPr>
        <w:t xml:space="preserve"> na </w:t>
      </w:r>
      <w:r w:rsidRPr="00557DFD">
        <w:rPr>
          <w:b/>
          <w:lang w:val="sk-SK"/>
        </w:rPr>
        <w:t>zvýšeni</w:t>
      </w:r>
      <w:r w:rsidR="00A97FC3" w:rsidRPr="00557DFD">
        <w:rPr>
          <w:b/>
          <w:lang w:val="sk-SK"/>
        </w:rPr>
        <w:t>e</w:t>
      </w:r>
      <w:r w:rsidRPr="00557DFD">
        <w:rPr>
          <w:b/>
          <w:lang w:val="sk-SK"/>
        </w:rPr>
        <w:t xml:space="preserve"> počtu absolventov pre zabezpečenie kvalitného výskumu</w:t>
      </w:r>
    </w:p>
    <w:p w:rsidR="00DB0056" w:rsidRPr="00557DFD" w:rsidRDefault="00DB0056" w:rsidP="008C4679">
      <w:pPr>
        <w:spacing w:after="0"/>
        <w:jc w:val="both"/>
        <w:rPr>
          <w:lang w:val="sk-SK"/>
        </w:rPr>
      </w:pPr>
      <w:r w:rsidRPr="00557DFD">
        <w:rPr>
          <w:lang w:val="sk-SK"/>
        </w:rPr>
        <w:t>Propagácia študijných programov</w:t>
      </w:r>
      <w:r w:rsidR="008C4679" w:rsidRPr="00557DFD">
        <w:rPr>
          <w:lang w:val="sk-SK"/>
        </w:rPr>
        <w:t xml:space="preserve"> STU</w:t>
      </w:r>
      <w:r w:rsidRPr="00557DFD">
        <w:rPr>
          <w:lang w:val="sk-SK"/>
        </w:rPr>
        <w:t xml:space="preserve"> v</w:t>
      </w:r>
      <w:r w:rsidR="008C4679" w:rsidRPr="00557DFD">
        <w:rPr>
          <w:lang w:val="sk-SK"/>
        </w:rPr>
        <w:t> </w:t>
      </w:r>
      <w:r w:rsidRPr="00557DFD">
        <w:rPr>
          <w:lang w:val="sk-SK"/>
        </w:rPr>
        <w:t>SR</w:t>
      </w:r>
      <w:r w:rsidR="008C4679" w:rsidRPr="00557DFD">
        <w:rPr>
          <w:lang w:val="sk-SK"/>
        </w:rPr>
        <w:t xml:space="preserve"> (2019-2021)</w:t>
      </w:r>
    </w:p>
    <w:p w:rsidR="00DB0056" w:rsidRPr="00557DFD" w:rsidRDefault="00DB0056" w:rsidP="008C4679">
      <w:pPr>
        <w:spacing w:after="0"/>
        <w:jc w:val="both"/>
        <w:rPr>
          <w:lang w:val="sk-SK"/>
        </w:rPr>
      </w:pPr>
      <w:r w:rsidRPr="00557DFD">
        <w:rPr>
          <w:lang w:val="sk-SK"/>
        </w:rPr>
        <w:t>Propagácia študijných programov v</w:t>
      </w:r>
      <w:r w:rsidR="008C4679" w:rsidRPr="00557DFD">
        <w:rPr>
          <w:lang w:val="sk-SK"/>
        </w:rPr>
        <w:t> </w:t>
      </w:r>
      <w:r w:rsidRPr="00557DFD">
        <w:rPr>
          <w:lang w:val="sk-SK"/>
        </w:rPr>
        <w:t>zahraničí</w:t>
      </w:r>
      <w:r w:rsidR="008C4679" w:rsidRPr="00557DFD">
        <w:rPr>
          <w:lang w:val="sk-SK"/>
        </w:rPr>
        <w:t xml:space="preserve"> (2019-2021)</w:t>
      </w:r>
    </w:p>
    <w:p w:rsidR="008C4679" w:rsidRPr="00557DFD" w:rsidRDefault="008C4679" w:rsidP="008C4679">
      <w:pPr>
        <w:spacing w:after="0"/>
        <w:jc w:val="both"/>
        <w:rPr>
          <w:lang w:val="sk-SK"/>
        </w:rPr>
      </w:pPr>
      <w:r w:rsidRPr="00557DFD">
        <w:rPr>
          <w:lang w:val="sk-SK"/>
        </w:rPr>
        <w:t>Podpora zamestnania mladých učiteľov (2019-2021)</w:t>
      </w:r>
    </w:p>
    <w:p w:rsidR="00DB0056" w:rsidRPr="00557DFD" w:rsidRDefault="00DB0056" w:rsidP="008C4679">
      <w:pPr>
        <w:spacing w:after="0"/>
        <w:jc w:val="both"/>
        <w:rPr>
          <w:lang w:val="sk-SK"/>
        </w:rPr>
      </w:pPr>
      <w:r w:rsidRPr="00557DFD">
        <w:rPr>
          <w:lang w:val="sk-SK"/>
        </w:rPr>
        <w:t>Podpora habilitácií a inaugurácií učiteľov STU</w:t>
      </w:r>
      <w:r w:rsidR="008C4679" w:rsidRPr="00557DFD">
        <w:rPr>
          <w:lang w:val="sk-SK"/>
        </w:rPr>
        <w:t xml:space="preserve"> (2019-2021)</w:t>
      </w:r>
    </w:p>
    <w:p w:rsidR="008C4679" w:rsidRPr="00557DFD" w:rsidRDefault="00EE4C94" w:rsidP="00EE4C94">
      <w:pPr>
        <w:spacing w:after="0"/>
        <w:jc w:val="both"/>
        <w:rPr>
          <w:lang w:val="sk-SK"/>
        </w:rPr>
      </w:pPr>
      <w:r w:rsidRPr="00557DFD">
        <w:rPr>
          <w:lang w:val="sk-SK"/>
        </w:rPr>
        <w:t>Zvyšovanie z</w:t>
      </w:r>
      <w:r w:rsidR="008C4679" w:rsidRPr="00557DFD">
        <w:rPr>
          <w:lang w:val="sk-SK"/>
        </w:rPr>
        <w:t>apojeni</w:t>
      </w:r>
      <w:r w:rsidRPr="00557DFD">
        <w:rPr>
          <w:lang w:val="sk-SK"/>
        </w:rPr>
        <w:t>a</w:t>
      </w:r>
      <w:r w:rsidR="008C4679" w:rsidRPr="00557DFD">
        <w:rPr>
          <w:lang w:val="sk-SK"/>
        </w:rPr>
        <w:t xml:space="preserve"> študentov do riešenia výskumných úloh (2019-2021)</w:t>
      </w:r>
    </w:p>
    <w:p w:rsidR="008C4679" w:rsidRPr="00557DFD" w:rsidRDefault="008C4679" w:rsidP="008C4679">
      <w:pPr>
        <w:spacing w:after="0"/>
        <w:jc w:val="both"/>
        <w:rPr>
          <w:lang w:val="sk-SK"/>
        </w:rPr>
      </w:pPr>
      <w:r w:rsidRPr="00557DFD">
        <w:rPr>
          <w:lang w:val="sk-SK"/>
        </w:rPr>
        <w:t>Organizovanie študentských vedeckých konferencií a ďalších odborných akcií pre študentov na STU (2019-2021)</w:t>
      </w:r>
    </w:p>
    <w:p w:rsidR="008C4679" w:rsidRPr="00557DFD" w:rsidRDefault="008C4679" w:rsidP="00EE4C94">
      <w:pPr>
        <w:spacing w:after="0"/>
        <w:jc w:val="both"/>
        <w:rPr>
          <w:lang w:val="sk-SK"/>
        </w:rPr>
      </w:pPr>
      <w:r w:rsidRPr="00557DFD">
        <w:rPr>
          <w:lang w:val="sk-SK"/>
        </w:rPr>
        <w:t>Vysielanie študentov STU na vedecké konferencie a ďalšie odborné akcie mimo STU</w:t>
      </w:r>
      <w:r w:rsidR="00EE4C94" w:rsidRPr="00557DFD">
        <w:rPr>
          <w:lang w:val="sk-SK"/>
        </w:rPr>
        <w:t>, najmä medzinárodné</w:t>
      </w:r>
      <w:r w:rsidRPr="00557DFD">
        <w:rPr>
          <w:lang w:val="sk-SK"/>
        </w:rPr>
        <w:t xml:space="preserve"> (2019-2021)</w:t>
      </w:r>
    </w:p>
    <w:p w:rsidR="00EB78AB" w:rsidRPr="00557DFD" w:rsidRDefault="00EB78AB" w:rsidP="008C4679">
      <w:pPr>
        <w:spacing w:after="0"/>
        <w:jc w:val="both"/>
        <w:rPr>
          <w:lang w:val="sk-SK"/>
        </w:rPr>
      </w:pPr>
      <w:r w:rsidRPr="00557DFD">
        <w:rPr>
          <w:lang w:val="sk-SK"/>
        </w:rPr>
        <w:t>Tvorba publikácií s kvalitou medzinárodnej úrovne v spoluautorstve so študentmi všetkých troch stupňov (2019-2021)</w:t>
      </w:r>
    </w:p>
    <w:p w:rsidR="00710E19" w:rsidRDefault="00710E19">
      <w:pPr>
        <w:rPr>
          <w:lang w:val="sk-SK"/>
        </w:rPr>
      </w:pPr>
      <w:r>
        <w:rPr>
          <w:lang w:val="sk-SK"/>
        </w:rPr>
        <w:br w:type="page"/>
      </w:r>
    </w:p>
    <w:p w:rsidR="00DB0056" w:rsidRPr="00557DFD" w:rsidRDefault="00DB0056" w:rsidP="00EB78AB">
      <w:pPr>
        <w:pStyle w:val="Odsekzoznamu"/>
        <w:numPr>
          <w:ilvl w:val="0"/>
          <w:numId w:val="9"/>
        </w:numPr>
        <w:ind w:left="426" w:hanging="426"/>
        <w:jc w:val="both"/>
        <w:rPr>
          <w:b/>
          <w:bCs/>
          <w:lang w:val="sk-SK"/>
        </w:rPr>
      </w:pPr>
      <w:r w:rsidRPr="00557DFD">
        <w:rPr>
          <w:b/>
          <w:bCs/>
          <w:lang w:val="sk-SK"/>
        </w:rPr>
        <w:lastRenderedPageBreak/>
        <w:t>Postupnosť krokov na prispôsobenia obsahu vzdelávania a kompetencií absolventov prioritám EU a SR a perspektívnym trendom</w:t>
      </w:r>
      <w:r w:rsidR="00EB78AB" w:rsidRPr="00557DFD">
        <w:rPr>
          <w:b/>
          <w:bCs/>
          <w:lang w:val="sk-SK"/>
        </w:rPr>
        <w:t>, zvýšenie kvality vzdelávania</w:t>
      </w:r>
      <w:r w:rsidR="002B218B" w:rsidRPr="00557DFD">
        <w:rPr>
          <w:b/>
          <w:bCs/>
          <w:lang w:val="sk-SK"/>
        </w:rPr>
        <w:t xml:space="preserve"> </w:t>
      </w:r>
      <w:r w:rsidRPr="00557DFD">
        <w:rPr>
          <w:b/>
          <w:bCs/>
          <w:lang w:val="sk-SK"/>
        </w:rPr>
        <w:t xml:space="preserve"> a zvýšeni</w:t>
      </w:r>
      <w:r w:rsidR="00EB78AB" w:rsidRPr="00557DFD">
        <w:rPr>
          <w:b/>
          <w:bCs/>
          <w:lang w:val="sk-SK"/>
        </w:rPr>
        <w:t>e</w:t>
      </w:r>
      <w:r w:rsidRPr="00557DFD">
        <w:rPr>
          <w:b/>
          <w:bCs/>
          <w:lang w:val="sk-SK"/>
        </w:rPr>
        <w:t xml:space="preserve"> </w:t>
      </w:r>
      <w:proofErr w:type="spellStart"/>
      <w:r w:rsidRPr="00557DFD">
        <w:rPr>
          <w:b/>
          <w:bCs/>
          <w:lang w:val="sk-SK"/>
        </w:rPr>
        <w:t>interdisciplinarity</w:t>
      </w:r>
      <w:proofErr w:type="spellEnd"/>
    </w:p>
    <w:p w:rsidR="00DA188C" w:rsidRPr="00557DFD" w:rsidRDefault="00DA188C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>Príprava akreditácie medziodborových študijných programov</w:t>
      </w:r>
      <w:r w:rsidR="00EB78AB" w:rsidRPr="00557DFD">
        <w:rPr>
          <w:lang w:val="sk-SK"/>
        </w:rPr>
        <w:t xml:space="preserve"> (</w:t>
      </w:r>
      <w:r w:rsidR="00EE4C94" w:rsidRPr="00557DFD">
        <w:rPr>
          <w:lang w:val="sk-SK"/>
        </w:rPr>
        <w:t>2019-</w:t>
      </w:r>
      <w:r w:rsidR="00EB78AB" w:rsidRPr="00557DFD">
        <w:rPr>
          <w:lang w:val="sk-SK"/>
        </w:rPr>
        <w:t>2020)</w:t>
      </w:r>
    </w:p>
    <w:p w:rsidR="00DA188C" w:rsidRPr="00557DFD" w:rsidRDefault="00DA188C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>Akreditácia medziodborových študijných programov</w:t>
      </w:r>
      <w:r w:rsidR="00EB78AB" w:rsidRPr="00557DFD">
        <w:rPr>
          <w:lang w:val="sk-SK"/>
        </w:rPr>
        <w:t xml:space="preserve"> (2021)</w:t>
      </w:r>
    </w:p>
    <w:p w:rsidR="00EB78AB" w:rsidRPr="00557DFD" w:rsidRDefault="00EB78AB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>Príprava inovovaných predmetov v študijných programoch v súlade s perspektívnymi trendmi (2019-2021)</w:t>
      </w:r>
    </w:p>
    <w:p w:rsidR="00DA188C" w:rsidRPr="00557DFD" w:rsidRDefault="00DA188C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 xml:space="preserve">Zaradenie </w:t>
      </w:r>
      <w:r w:rsidR="00903602" w:rsidRPr="00557DFD">
        <w:rPr>
          <w:lang w:val="sk-SK"/>
        </w:rPr>
        <w:t xml:space="preserve">inovovaných </w:t>
      </w:r>
      <w:r w:rsidRPr="00557DFD">
        <w:rPr>
          <w:lang w:val="sk-SK"/>
        </w:rPr>
        <w:t>predmetov do študijných plánov študijných programov</w:t>
      </w:r>
      <w:r w:rsidR="00903602" w:rsidRPr="00557DFD">
        <w:rPr>
          <w:lang w:val="sk-SK"/>
        </w:rPr>
        <w:t xml:space="preserve"> (2019-2021)</w:t>
      </w:r>
    </w:p>
    <w:p w:rsidR="00903602" w:rsidRPr="00557DFD" w:rsidRDefault="00903602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>Inovácia laboratórií (2019-2021)</w:t>
      </w:r>
    </w:p>
    <w:p w:rsidR="00903602" w:rsidRPr="00557DFD" w:rsidRDefault="00903602" w:rsidP="00903602">
      <w:pPr>
        <w:spacing w:after="0"/>
        <w:jc w:val="both"/>
        <w:rPr>
          <w:lang w:val="sk-SK"/>
        </w:rPr>
      </w:pPr>
    </w:p>
    <w:p w:rsidR="00E7039C" w:rsidRPr="00557DFD" w:rsidRDefault="00E7039C" w:rsidP="00EE4C94">
      <w:pPr>
        <w:pStyle w:val="Odsekzoznamu"/>
        <w:numPr>
          <w:ilvl w:val="0"/>
          <w:numId w:val="9"/>
        </w:numPr>
        <w:ind w:left="426" w:hanging="426"/>
        <w:jc w:val="both"/>
        <w:rPr>
          <w:b/>
          <w:bCs/>
          <w:lang w:val="sk-SK"/>
        </w:rPr>
      </w:pPr>
      <w:r w:rsidRPr="00557DFD">
        <w:rPr>
          <w:b/>
          <w:bCs/>
          <w:lang w:val="sk-SK"/>
        </w:rPr>
        <w:t xml:space="preserve">Postupnosť krokov na </w:t>
      </w:r>
      <w:r w:rsidR="00634C0F" w:rsidRPr="00557DFD">
        <w:rPr>
          <w:b/>
          <w:bCs/>
          <w:lang w:val="sk-SK"/>
        </w:rPr>
        <w:t xml:space="preserve">prípravu </w:t>
      </w:r>
      <w:r w:rsidR="00EE4C94" w:rsidRPr="00557DFD">
        <w:rPr>
          <w:b/>
          <w:bCs/>
          <w:lang w:val="sk-SK"/>
        </w:rPr>
        <w:t xml:space="preserve">konkurencie schopných </w:t>
      </w:r>
      <w:r w:rsidR="00634C0F" w:rsidRPr="00557DFD">
        <w:rPr>
          <w:b/>
          <w:bCs/>
          <w:lang w:val="sk-SK"/>
        </w:rPr>
        <w:t>absolventov</w:t>
      </w:r>
      <w:r w:rsidR="00EE4C94" w:rsidRPr="00557DFD">
        <w:rPr>
          <w:b/>
          <w:bCs/>
          <w:lang w:val="sk-SK"/>
        </w:rPr>
        <w:t xml:space="preserve"> v medzinárodnom prostredí </w:t>
      </w:r>
      <w:r w:rsidR="00634C0F" w:rsidRPr="00557DFD">
        <w:rPr>
          <w:b/>
          <w:bCs/>
          <w:lang w:val="sk-SK"/>
        </w:rPr>
        <w:t xml:space="preserve"> a internacionalizáciu štúdia </w:t>
      </w:r>
    </w:p>
    <w:p w:rsidR="006F5945" w:rsidRPr="00557DFD" w:rsidRDefault="006F5945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>Otvorenie prijímacieho konania na všetky študijné programy akreditované pre štúdium v</w:t>
      </w:r>
      <w:r w:rsidR="00903602" w:rsidRPr="00557DFD">
        <w:rPr>
          <w:lang w:val="sk-SK"/>
        </w:rPr>
        <w:t> </w:t>
      </w:r>
      <w:r w:rsidRPr="00557DFD">
        <w:rPr>
          <w:lang w:val="sk-SK"/>
        </w:rPr>
        <w:t>AJ</w:t>
      </w:r>
      <w:r w:rsidR="00903602" w:rsidRPr="00557DFD">
        <w:rPr>
          <w:lang w:val="sk-SK"/>
        </w:rPr>
        <w:t xml:space="preserve"> (2020-2021)</w:t>
      </w:r>
    </w:p>
    <w:p w:rsidR="00634C0F" w:rsidRPr="00557DFD" w:rsidRDefault="00843612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>P</w:t>
      </w:r>
      <w:r w:rsidR="00634C0F" w:rsidRPr="00557DFD">
        <w:rPr>
          <w:lang w:val="sk-SK"/>
        </w:rPr>
        <w:t>ríprava</w:t>
      </w:r>
      <w:r w:rsidR="00903602" w:rsidRPr="00557DFD">
        <w:rPr>
          <w:lang w:val="sk-SK"/>
        </w:rPr>
        <w:t xml:space="preserve"> a </w:t>
      </w:r>
      <w:r w:rsidR="00634C0F" w:rsidRPr="00557DFD">
        <w:rPr>
          <w:lang w:val="sk-SK"/>
        </w:rPr>
        <w:t xml:space="preserve">rozšírenie ponuky štúdia </w:t>
      </w:r>
      <w:r w:rsidR="00903602" w:rsidRPr="00557DFD">
        <w:rPr>
          <w:lang w:val="sk-SK"/>
        </w:rPr>
        <w:t xml:space="preserve">predmetov </w:t>
      </w:r>
      <w:r w:rsidR="00634C0F" w:rsidRPr="00557DFD">
        <w:rPr>
          <w:lang w:val="sk-SK"/>
        </w:rPr>
        <w:t>v anglickom jazyku</w:t>
      </w:r>
      <w:r w:rsidR="00903602" w:rsidRPr="00557DFD">
        <w:rPr>
          <w:lang w:val="sk-SK"/>
        </w:rPr>
        <w:t xml:space="preserve"> (2019-2021)</w:t>
      </w:r>
    </w:p>
    <w:p w:rsidR="00634C0F" w:rsidRPr="00557DFD" w:rsidRDefault="00843612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>Z</w:t>
      </w:r>
      <w:r w:rsidR="00634C0F" w:rsidRPr="00557DFD">
        <w:rPr>
          <w:lang w:val="sk-SK"/>
        </w:rPr>
        <w:t>výšenie počtu študijných programov akreditovaných pre štúdium v</w:t>
      </w:r>
      <w:r w:rsidR="00903602" w:rsidRPr="00557DFD">
        <w:rPr>
          <w:lang w:val="sk-SK"/>
        </w:rPr>
        <w:t> </w:t>
      </w:r>
      <w:r w:rsidR="00634C0F" w:rsidRPr="00557DFD">
        <w:rPr>
          <w:lang w:val="sk-SK"/>
        </w:rPr>
        <w:t>AJ</w:t>
      </w:r>
      <w:r w:rsidR="00903602" w:rsidRPr="00557DFD">
        <w:rPr>
          <w:lang w:val="sk-SK"/>
        </w:rPr>
        <w:t xml:space="preserve"> (2021-2022)</w:t>
      </w:r>
    </w:p>
    <w:p w:rsidR="00634C0F" w:rsidRPr="00557DFD" w:rsidRDefault="00843612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>Z</w:t>
      </w:r>
      <w:r w:rsidR="00634C0F" w:rsidRPr="00557DFD">
        <w:rPr>
          <w:lang w:val="sk-SK"/>
        </w:rPr>
        <w:t xml:space="preserve">intenzívnenie </w:t>
      </w:r>
      <w:r w:rsidR="00903602" w:rsidRPr="00557DFD">
        <w:rPr>
          <w:lang w:val="sk-SK"/>
        </w:rPr>
        <w:t>propagácie študijných programov v zahraničí (2019-2021)</w:t>
      </w:r>
    </w:p>
    <w:p w:rsidR="00843612" w:rsidRPr="00557DFD" w:rsidRDefault="00843612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>Výber zahraničných univerzít ako potenciálnych partnerov pre vytvorenie spoločných študijných programov</w:t>
      </w:r>
      <w:r w:rsidR="00903602" w:rsidRPr="00557DFD">
        <w:rPr>
          <w:lang w:val="sk-SK"/>
        </w:rPr>
        <w:t xml:space="preserve"> (2019-2021)</w:t>
      </w:r>
    </w:p>
    <w:p w:rsidR="00634C0F" w:rsidRPr="00557DFD" w:rsidRDefault="00843612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>R</w:t>
      </w:r>
      <w:r w:rsidR="00634C0F" w:rsidRPr="00557DFD">
        <w:rPr>
          <w:lang w:val="sk-SK"/>
        </w:rPr>
        <w:t>okovania so zahraničnými univerzitami o vytvorení spoločných</w:t>
      </w:r>
      <w:r w:rsidRPr="00557DFD">
        <w:rPr>
          <w:lang w:val="sk-SK"/>
        </w:rPr>
        <w:t xml:space="preserve"> študijných programov, hlavne </w:t>
      </w:r>
      <w:r w:rsidR="00634C0F" w:rsidRPr="00557DFD">
        <w:rPr>
          <w:lang w:val="sk-SK"/>
        </w:rPr>
        <w:t>doktoran</w:t>
      </w:r>
      <w:r w:rsidRPr="00557DFD">
        <w:rPr>
          <w:lang w:val="sk-SK"/>
        </w:rPr>
        <w:t>dských</w:t>
      </w:r>
      <w:r w:rsidR="00903602" w:rsidRPr="00557DFD">
        <w:rPr>
          <w:lang w:val="sk-SK"/>
        </w:rPr>
        <w:t xml:space="preserve"> a </w:t>
      </w:r>
      <w:r w:rsidRPr="00557DFD">
        <w:rPr>
          <w:lang w:val="sk-SK"/>
        </w:rPr>
        <w:t xml:space="preserve"> inžinierskych</w:t>
      </w:r>
      <w:r w:rsidR="00903602" w:rsidRPr="00557DFD">
        <w:rPr>
          <w:lang w:val="sk-SK"/>
        </w:rPr>
        <w:t xml:space="preserve"> (2019-2021)</w:t>
      </w:r>
    </w:p>
    <w:p w:rsidR="00634C0F" w:rsidRPr="00557DFD" w:rsidRDefault="00843612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>P</w:t>
      </w:r>
      <w:r w:rsidR="00634C0F" w:rsidRPr="00557DFD">
        <w:rPr>
          <w:lang w:val="sk-SK"/>
        </w:rPr>
        <w:t xml:space="preserve">ríprava obsahovej náplne spoločných študijných programov </w:t>
      </w:r>
      <w:r w:rsidR="00903602" w:rsidRPr="00557DFD">
        <w:rPr>
          <w:lang w:val="sk-SK"/>
        </w:rPr>
        <w:t>(2019-2021)</w:t>
      </w:r>
    </w:p>
    <w:p w:rsidR="00903602" w:rsidRPr="00557DFD" w:rsidRDefault="00903602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>Uzatvorenie dohôd o spolupráci na uskutočňovaní spoločných študijných programov (2020-2021)</w:t>
      </w:r>
    </w:p>
    <w:p w:rsidR="00634C0F" w:rsidRPr="00557DFD" w:rsidRDefault="00843612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>A</w:t>
      </w:r>
      <w:r w:rsidR="00634C0F" w:rsidRPr="00557DFD">
        <w:rPr>
          <w:lang w:val="sk-SK"/>
        </w:rPr>
        <w:t>kreditácia spoločných študijných programov</w:t>
      </w:r>
      <w:r w:rsidR="00903602" w:rsidRPr="00557DFD">
        <w:rPr>
          <w:lang w:val="sk-SK"/>
        </w:rPr>
        <w:t xml:space="preserve"> zabezpečovaných v spolupráci so zahraničnými VŠ (2021)</w:t>
      </w:r>
    </w:p>
    <w:p w:rsidR="00843612" w:rsidRPr="00557DFD" w:rsidRDefault="00843612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>Rokovania so zahraničnými učiteľmi o ich možnosti zapojenia sa do vzdelávacieho procesu na STU</w:t>
      </w:r>
      <w:r w:rsidR="00903602" w:rsidRPr="00557DFD">
        <w:rPr>
          <w:lang w:val="sk-SK"/>
        </w:rPr>
        <w:t xml:space="preserve"> (2019-2020)</w:t>
      </w:r>
    </w:p>
    <w:p w:rsidR="00843612" w:rsidRPr="00557DFD" w:rsidRDefault="00843612" w:rsidP="00903602">
      <w:pPr>
        <w:spacing w:after="0"/>
        <w:jc w:val="both"/>
        <w:rPr>
          <w:lang w:val="sk-SK"/>
        </w:rPr>
      </w:pPr>
      <w:r w:rsidRPr="00557DFD">
        <w:rPr>
          <w:lang w:val="sk-SK"/>
        </w:rPr>
        <w:t xml:space="preserve">Zapojenie zahraničných učiteľov do vzdelávacieho procesu na STU </w:t>
      </w:r>
      <w:r w:rsidR="00903602" w:rsidRPr="00557DFD">
        <w:rPr>
          <w:lang w:val="sk-SK"/>
        </w:rPr>
        <w:t>(2019-2020)</w:t>
      </w:r>
    </w:p>
    <w:p w:rsidR="00903602" w:rsidRPr="00557DFD" w:rsidRDefault="00903602" w:rsidP="00A246A8">
      <w:pPr>
        <w:jc w:val="both"/>
        <w:rPr>
          <w:b/>
          <w:lang w:val="sk-SK"/>
        </w:rPr>
      </w:pPr>
    </w:p>
    <w:p w:rsidR="006F5945" w:rsidRPr="00557DFD" w:rsidRDefault="006F5945" w:rsidP="00903602">
      <w:pPr>
        <w:pStyle w:val="Odsekzoznamu"/>
        <w:numPr>
          <w:ilvl w:val="0"/>
          <w:numId w:val="9"/>
        </w:numPr>
        <w:ind w:left="426" w:hanging="426"/>
        <w:jc w:val="both"/>
        <w:rPr>
          <w:b/>
          <w:bCs/>
          <w:lang w:val="sk-SK"/>
        </w:rPr>
      </w:pPr>
      <w:r w:rsidRPr="00557DFD">
        <w:rPr>
          <w:b/>
          <w:bCs/>
          <w:lang w:val="sk-SK"/>
        </w:rPr>
        <w:t xml:space="preserve">Postupnosť krokov na </w:t>
      </w:r>
      <w:r w:rsidR="00634C0F" w:rsidRPr="00557DFD">
        <w:rPr>
          <w:b/>
          <w:bCs/>
          <w:lang w:val="sk-SK"/>
        </w:rPr>
        <w:t>prípravu absolventov</w:t>
      </w:r>
      <w:r w:rsidR="00A97FC3" w:rsidRPr="00557DFD">
        <w:rPr>
          <w:b/>
          <w:bCs/>
          <w:lang w:val="sk-SK"/>
        </w:rPr>
        <w:t xml:space="preserve"> všetkých 3 stupňov vzdelávania</w:t>
      </w:r>
      <w:r w:rsidR="00634C0F" w:rsidRPr="00557DFD">
        <w:rPr>
          <w:b/>
          <w:bCs/>
          <w:lang w:val="sk-SK"/>
        </w:rPr>
        <w:t xml:space="preserve"> pre prax</w:t>
      </w:r>
    </w:p>
    <w:p w:rsidR="00D8429B" w:rsidRPr="00557DFD" w:rsidRDefault="00903602" w:rsidP="00103258">
      <w:pPr>
        <w:spacing w:after="0"/>
        <w:jc w:val="both"/>
        <w:rPr>
          <w:lang w:val="sk-SK"/>
        </w:rPr>
      </w:pPr>
      <w:r w:rsidRPr="00557DFD">
        <w:rPr>
          <w:lang w:val="sk-SK"/>
        </w:rPr>
        <w:t>R</w:t>
      </w:r>
      <w:r w:rsidR="00D8429B" w:rsidRPr="00557DFD">
        <w:rPr>
          <w:lang w:val="sk-SK"/>
        </w:rPr>
        <w:t>okovani</w:t>
      </w:r>
      <w:r w:rsidRPr="00557DFD">
        <w:rPr>
          <w:lang w:val="sk-SK"/>
        </w:rPr>
        <w:t>a</w:t>
      </w:r>
      <w:r w:rsidR="00D8429B" w:rsidRPr="00557DFD">
        <w:rPr>
          <w:lang w:val="sk-SK"/>
        </w:rPr>
        <w:t xml:space="preserve"> s firmami ochotnými podporiť vzdelávanie</w:t>
      </w:r>
      <w:r w:rsidRPr="00557DFD">
        <w:rPr>
          <w:lang w:val="sk-SK"/>
        </w:rPr>
        <w:t xml:space="preserve"> (2019-2020)</w:t>
      </w:r>
    </w:p>
    <w:p w:rsidR="00903602" w:rsidRPr="00557DFD" w:rsidRDefault="00103258" w:rsidP="00103258">
      <w:pPr>
        <w:spacing w:after="0"/>
        <w:jc w:val="both"/>
        <w:rPr>
          <w:lang w:val="sk-SK"/>
        </w:rPr>
      </w:pPr>
      <w:r w:rsidRPr="00557DFD">
        <w:rPr>
          <w:lang w:val="sk-SK"/>
        </w:rPr>
        <w:t>Zapojenie</w:t>
      </w:r>
      <w:r w:rsidR="00903602" w:rsidRPr="00557DFD">
        <w:rPr>
          <w:lang w:val="sk-SK"/>
        </w:rPr>
        <w:t xml:space="preserve"> významných odborníkov z praxe </w:t>
      </w:r>
      <w:r w:rsidRPr="00557DFD">
        <w:rPr>
          <w:lang w:val="sk-SK"/>
        </w:rPr>
        <w:t>do vyučovacieho procesu (2019-2021)</w:t>
      </w:r>
    </w:p>
    <w:p w:rsidR="00103258" w:rsidRPr="00557DFD" w:rsidRDefault="00103258" w:rsidP="00103258">
      <w:pPr>
        <w:spacing w:after="0"/>
        <w:jc w:val="both"/>
        <w:rPr>
          <w:lang w:val="sk-SK"/>
        </w:rPr>
      </w:pPr>
      <w:r w:rsidRPr="00557DFD">
        <w:rPr>
          <w:lang w:val="sk-SK"/>
        </w:rPr>
        <w:t>V</w:t>
      </w:r>
      <w:r w:rsidR="00903602" w:rsidRPr="00557DFD">
        <w:rPr>
          <w:lang w:val="sk-SK"/>
        </w:rPr>
        <w:t>ytvoriť platform</w:t>
      </w:r>
      <w:r w:rsidRPr="00557DFD">
        <w:rPr>
          <w:lang w:val="sk-SK"/>
        </w:rPr>
        <w:t>y</w:t>
      </w:r>
      <w:r w:rsidR="00903602" w:rsidRPr="00557DFD">
        <w:rPr>
          <w:lang w:val="sk-SK"/>
        </w:rPr>
        <w:t xml:space="preserve"> na aktívnejšiu participáciu zamestnávateľov na tvorbe študijných programov a ich zabezpečovanie </w:t>
      </w:r>
      <w:r w:rsidRPr="00557DFD">
        <w:rPr>
          <w:lang w:val="sk-SK"/>
        </w:rPr>
        <w:t>(napr. Priemyselné rady fakúlt) (2019)</w:t>
      </w:r>
    </w:p>
    <w:p w:rsidR="00103258" w:rsidRPr="00557DFD" w:rsidRDefault="00103258" w:rsidP="00103258">
      <w:pPr>
        <w:spacing w:after="0"/>
        <w:jc w:val="both"/>
        <w:rPr>
          <w:lang w:val="sk-SK"/>
        </w:rPr>
      </w:pPr>
      <w:r w:rsidRPr="00557DFD">
        <w:rPr>
          <w:lang w:val="sk-SK"/>
        </w:rPr>
        <w:t>Definovať témy záverečných prác v spolupráci s praxou a riešiť v záverečných prácach problémy z praxe (2019-2021)</w:t>
      </w:r>
    </w:p>
    <w:p w:rsidR="00843612" w:rsidRPr="00557DFD" w:rsidRDefault="00103258" w:rsidP="0052429D">
      <w:pPr>
        <w:spacing w:after="0"/>
        <w:jc w:val="both"/>
        <w:rPr>
          <w:lang w:val="sk-SK"/>
        </w:rPr>
      </w:pPr>
      <w:r w:rsidRPr="00557DFD">
        <w:rPr>
          <w:lang w:val="sk-SK"/>
        </w:rPr>
        <w:t>P</w:t>
      </w:r>
      <w:r w:rsidR="00903602" w:rsidRPr="00557DFD">
        <w:rPr>
          <w:lang w:val="sk-SK"/>
        </w:rPr>
        <w:t>osilniť výučbu orientovanú na prax (modernizácia laboratórií, laboratóriá na simuláciu procesov a ich optimalizáciu, tvorba virtuálnych a digitálnych podnikov, podpora štu</w:t>
      </w:r>
      <w:r w:rsidRPr="00557DFD">
        <w:rPr>
          <w:lang w:val="sk-SK"/>
        </w:rPr>
        <w:t xml:space="preserve">dentov pri </w:t>
      </w:r>
      <w:proofErr w:type="spellStart"/>
      <w:r w:rsidRPr="00557DFD">
        <w:rPr>
          <w:lang w:val="sk-SK"/>
        </w:rPr>
        <w:t>start-up</w:t>
      </w:r>
      <w:proofErr w:type="spellEnd"/>
      <w:r w:rsidRPr="00557DFD">
        <w:rPr>
          <w:lang w:val="sk-SK"/>
        </w:rPr>
        <w:t xml:space="preserve"> a </w:t>
      </w:r>
      <w:proofErr w:type="spellStart"/>
      <w:r w:rsidRPr="00557DFD">
        <w:rPr>
          <w:lang w:val="sk-SK"/>
        </w:rPr>
        <w:t>spin-off</w:t>
      </w:r>
      <w:proofErr w:type="spellEnd"/>
      <w:r w:rsidRPr="00557DFD">
        <w:rPr>
          <w:lang w:val="sk-SK"/>
        </w:rPr>
        <w:t>) (2019-2021)</w:t>
      </w:r>
    </w:p>
    <w:p w:rsidR="00843612" w:rsidRPr="00557DFD" w:rsidRDefault="00843612" w:rsidP="00A246A8">
      <w:pPr>
        <w:jc w:val="both"/>
        <w:rPr>
          <w:b/>
          <w:caps/>
          <w:lang w:val="sk-SK"/>
        </w:rPr>
      </w:pPr>
    </w:p>
    <w:sectPr w:rsidR="00843612" w:rsidRPr="00557DFD" w:rsidSect="009C2C4F">
      <w:headerReference w:type="default" r:id="rId13"/>
      <w:pgSz w:w="12240" w:h="15840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41" w:rsidRDefault="00FD2041" w:rsidP="00A246A8">
      <w:pPr>
        <w:spacing w:after="0" w:line="240" w:lineRule="auto"/>
      </w:pPr>
      <w:r>
        <w:separator/>
      </w:r>
    </w:p>
  </w:endnote>
  <w:endnote w:type="continuationSeparator" w:id="0">
    <w:p w:rsidR="00FD2041" w:rsidRDefault="00FD2041" w:rsidP="00A2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44740"/>
      <w:docPartObj>
        <w:docPartGallery w:val="Page Numbers (Bottom of Page)"/>
        <w:docPartUnique/>
      </w:docPartObj>
    </w:sdtPr>
    <w:sdtEndPr/>
    <w:sdtContent>
      <w:p w:rsidR="00262EAF" w:rsidRPr="00270660" w:rsidRDefault="00262EAF">
        <w:pPr>
          <w:pStyle w:val="Pta"/>
          <w:jc w:val="center"/>
        </w:pPr>
        <w:r w:rsidRPr="00270660">
          <w:fldChar w:fldCharType="begin"/>
        </w:r>
        <w:r w:rsidRPr="00270660">
          <w:instrText xml:space="preserve"> PAGE   \* MERGEFORMAT </w:instrText>
        </w:r>
        <w:r w:rsidRPr="00270660">
          <w:fldChar w:fldCharType="separate"/>
        </w:r>
        <w:r w:rsidR="00740BE1">
          <w:rPr>
            <w:noProof/>
          </w:rPr>
          <w:t>2</w:t>
        </w:r>
        <w:r w:rsidRPr="0027066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41" w:rsidRDefault="00FD2041" w:rsidP="00A246A8">
      <w:pPr>
        <w:spacing w:after="0" w:line="240" w:lineRule="auto"/>
      </w:pPr>
      <w:r>
        <w:separator/>
      </w:r>
    </w:p>
  </w:footnote>
  <w:footnote w:type="continuationSeparator" w:id="0">
    <w:p w:rsidR="00FD2041" w:rsidRDefault="00FD2041" w:rsidP="00A2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08" w:rsidRDefault="00520B08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-211455</wp:posOffset>
          </wp:positionV>
          <wp:extent cx="1679575" cy="616585"/>
          <wp:effectExtent l="0" t="0" r="0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4F" w:rsidRDefault="00710E19">
    <w:pPr>
      <w:pStyle w:val="Hlavika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838200</wp:posOffset>
              </wp:positionH>
              <wp:positionV relativeFrom="paragraph">
                <wp:posOffset>-209550</wp:posOffset>
              </wp:positionV>
              <wp:extent cx="5234305" cy="666750"/>
              <wp:effectExtent l="4445" t="1905" r="0" b="0"/>
              <wp:wrapNone/>
              <wp:docPr id="5" name="Textové po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3430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C4F" w:rsidRDefault="00D226BC" w:rsidP="00886889">
                          <w:pPr>
                            <w:spacing w:after="0" w:line="240" w:lineRule="auto"/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8. zasadnutie V STU, 17.04.</w:t>
                          </w:r>
                          <w:r w:rsidR="009C2C4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2019</w:t>
                          </w:r>
                        </w:p>
                        <w:p w:rsidR="00886889" w:rsidRPr="00886889" w:rsidRDefault="00886889" w:rsidP="00886889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886889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Návrh štrukturálnych opatrení </w:t>
                          </w:r>
                          <w:r w:rsidR="00557DFD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886889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Slovenskej technickej univerzity v Bratislave</w:t>
                          </w:r>
                        </w:p>
                        <w:p w:rsidR="009C2C4F" w:rsidRDefault="00886889" w:rsidP="00886889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886889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na zvýšenie kvality absolventov všetkých troch stupňov </w:t>
                          </w:r>
                          <w:r w:rsidR="00270660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štúdia</w:t>
                          </w:r>
                          <w:r w:rsidRPr="00886889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a posilnenie výskumu</w:t>
                          </w:r>
                        </w:p>
                        <w:p w:rsidR="009C2C4F" w:rsidRDefault="009C2C4F" w:rsidP="009C2C4F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doc. Ing. Monika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Bakošová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6" type="#_x0000_t202" style="position:absolute;margin-left:66pt;margin-top:-16.5pt;width:412.1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" filled="f" stroked="f">
              <v:path arrowok="t"/>
              <v:textbox>
                <w:txbxContent>
                  <w:p w:rsidR="009C2C4F" w:rsidRDefault="00D226BC" w:rsidP="00886889">
                    <w:pPr>
                      <w:spacing w:after="0" w:line="240" w:lineRule="auto"/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8. zasadnutie V STU, 17.04.</w:t>
                    </w:r>
                    <w:r w:rsidR="009C2C4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2019</w:t>
                    </w:r>
                  </w:p>
                  <w:p w:rsidR="00886889" w:rsidRPr="00886889" w:rsidRDefault="00886889" w:rsidP="00886889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886889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Návrh štrukturálnych opatrení </w:t>
                    </w:r>
                    <w:r w:rsidR="00557DFD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886889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Slovenskej technickej univerzity v Bratislave</w:t>
                    </w:r>
                  </w:p>
                  <w:p w:rsidR="009C2C4F" w:rsidRDefault="00886889" w:rsidP="00886889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886889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na zvýšenie kvality absolventov všetkých troch stupňov </w:t>
                    </w:r>
                    <w:r w:rsidR="00270660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štúdia</w:t>
                    </w:r>
                    <w:r w:rsidRPr="00886889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a posilnenie výskumu</w:t>
                    </w:r>
                  </w:p>
                  <w:p w:rsidR="009C2C4F" w:rsidRDefault="009C2C4F" w:rsidP="009C2C4F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doc. Ing. Monika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Bakošová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2C4F"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68A284B" wp14:editId="0D38B56B">
          <wp:simplePos x="0" y="0"/>
          <wp:positionH relativeFrom="column">
            <wp:posOffset>-604520</wp:posOffset>
          </wp:positionH>
          <wp:positionV relativeFrom="paragraph">
            <wp:posOffset>-211455</wp:posOffset>
          </wp:positionV>
          <wp:extent cx="1679575" cy="616585"/>
          <wp:effectExtent l="0" t="0" r="0" b="0"/>
          <wp:wrapSquare wrapText="bothSides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C52"/>
    <w:multiLevelType w:val="hybridMultilevel"/>
    <w:tmpl w:val="BF00D2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5915"/>
    <w:multiLevelType w:val="hybridMultilevel"/>
    <w:tmpl w:val="0CF21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74096"/>
    <w:multiLevelType w:val="hybridMultilevel"/>
    <w:tmpl w:val="3A567BDE"/>
    <w:lvl w:ilvl="0" w:tplc="762A8A54">
      <w:start w:val="1"/>
      <w:numFmt w:val="lowerLetter"/>
      <w:lvlText w:val="%1)"/>
      <w:lvlJc w:val="left"/>
      <w:pPr>
        <w:ind w:left="2513" w:hanging="360"/>
      </w:pPr>
      <w:rPr>
        <w:rFonts w:asciiTheme="minorHAnsi" w:eastAsiaTheme="minorEastAsia" w:hAnsiTheme="minorHAnsi" w:cs="Myriad Pro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3">
    <w:nsid w:val="19AC04BB"/>
    <w:multiLevelType w:val="hybridMultilevel"/>
    <w:tmpl w:val="5E380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56C3"/>
    <w:multiLevelType w:val="hybridMultilevel"/>
    <w:tmpl w:val="01D6CF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D337E"/>
    <w:multiLevelType w:val="hybridMultilevel"/>
    <w:tmpl w:val="0214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7D72"/>
    <w:multiLevelType w:val="hybridMultilevel"/>
    <w:tmpl w:val="01D6CF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2E45"/>
    <w:multiLevelType w:val="multilevel"/>
    <w:tmpl w:val="7B4458D4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/>
        <w:sz w:val="26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BAD3598"/>
    <w:multiLevelType w:val="hybridMultilevel"/>
    <w:tmpl w:val="22E4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553BE"/>
    <w:multiLevelType w:val="hybridMultilevel"/>
    <w:tmpl w:val="B6DA6BDC"/>
    <w:lvl w:ilvl="0" w:tplc="F780A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E733E"/>
    <w:multiLevelType w:val="hybridMultilevel"/>
    <w:tmpl w:val="A940A398"/>
    <w:lvl w:ilvl="0" w:tplc="F780A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251AE"/>
    <w:multiLevelType w:val="hybridMultilevel"/>
    <w:tmpl w:val="A97C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C1"/>
    <w:rsid w:val="000012A7"/>
    <w:rsid w:val="000374F0"/>
    <w:rsid w:val="00075E1C"/>
    <w:rsid w:val="000768AC"/>
    <w:rsid w:val="00085310"/>
    <w:rsid w:val="00091530"/>
    <w:rsid w:val="000B52C7"/>
    <w:rsid w:val="00103258"/>
    <w:rsid w:val="00110429"/>
    <w:rsid w:val="00135E18"/>
    <w:rsid w:val="00143BAF"/>
    <w:rsid w:val="00150338"/>
    <w:rsid w:val="00156177"/>
    <w:rsid w:val="00177194"/>
    <w:rsid w:val="001C1433"/>
    <w:rsid w:val="001D0881"/>
    <w:rsid w:val="001E2362"/>
    <w:rsid w:val="001E7117"/>
    <w:rsid w:val="001F22A9"/>
    <w:rsid w:val="00230231"/>
    <w:rsid w:val="00232F9B"/>
    <w:rsid w:val="002378B7"/>
    <w:rsid w:val="00262EAF"/>
    <w:rsid w:val="00270660"/>
    <w:rsid w:val="00276C8F"/>
    <w:rsid w:val="00281ACD"/>
    <w:rsid w:val="002928DC"/>
    <w:rsid w:val="002933F0"/>
    <w:rsid w:val="002A083E"/>
    <w:rsid w:val="002B218B"/>
    <w:rsid w:val="002B58CD"/>
    <w:rsid w:val="002D1658"/>
    <w:rsid w:val="002D3C11"/>
    <w:rsid w:val="002E6E91"/>
    <w:rsid w:val="002E7383"/>
    <w:rsid w:val="002F7677"/>
    <w:rsid w:val="00313B3E"/>
    <w:rsid w:val="00324606"/>
    <w:rsid w:val="003255CE"/>
    <w:rsid w:val="003D46F5"/>
    <w:rsid w:val="00407009"/>
    <w:rsid w:val="00426AEC"/>
    <w:rsid w:val="00432A32"/>
    <w:rsid w:val="004542F1"/>
    <w:rsid w:val="004721BC"/>
    <w:rsid w:val="00493BDC"/>
    <w:rsid w:val="004950E3"/>
    <w:rsid w:val="004A3CD1"/>
    <w:rsid w:val="004B7CEA"/>
    <w:rsid w:val="004C1653"/>
    <w:rsid w:val="004C2809"/>
    <w:rsid w:val="005103BB"/>
    <w:rsid w:val="00520B08"/>
    <w:rsid w:val="0052429D"/>
    <w:rsid w:val="005567FC"/>
    <w:rsid w:val="00557DFD"/>
    <w:rsid w:val="0057231C"/>
    <w:rsid w:val="00584E12"/>
    <w:rsid w:val="005907EE"/>
    <w:rsid w:val="00596E0C"/>
    <w:rsid w:val="00597BA4"/>
    <w:rsid w:val="005A517C"/>
    <w:rsid w:val="005C4FE8"/>
    <w:rsid w:val="005D32AB"/>
    <w:rsid w:val="005E2CE6"/>
    <w:rsid w:val="00634C0F"/>
    <w:rsid w:val="006506D9"/>
    <w:rsid w:val="006700FD"/>
    <w:rsid w:val="00686D87"/>
    <w:rsid w:val="0068701A"/>
    <w:rsid w:val="00687A08"/>
    <w:rsid w:val="006D7812"/>
    <w:rsid w:val="006F5945"/>
    <w:rsid w:val="00702E1E"/>
    <w:rsid w:val="0070780B"/>
    <w:rsid w:val="00710E19"/>
    <w:rsid w:val="007277A2"/>
    <w:rsid w:val="00740BE1"/>
    <w:rsid w:val="00745C88"/>
    <w:rsid w:val="00752DA7"/>
    <w:rsid w:val="00754AE4"/>
    <w:rsid w:val="00762616"/>
    <w:rsid w:val="00762C47"/>
    <w:rsid w:val="0078248E"/>
    <w:rsid w:val="007B0CD6"/>
    <w:rsid w:val="007F0139"/>
    <w:rsid w:val="00801985"/>
    <w:rsid w:val="0080489E"/>
    <w:rsid w:val="008142BD"/>
    <w:rsid w:val="00843612"/>
    <w:rsid w:val="008535DB"/>
    <w:rsid w:val="0085363F"/>
    <w:rsid w:val="00867490"/>
    <w:rsid w:val="0086774B"/>
    <w:rsid w:val="008839D5"/>
    <w:rsid w:val="00886889"/>
    <w:rsid w:val="00891B2D"/>
    <w:rsid w:val="008C4679"/>
    <w:rsid w:val="00903602"/>
    <w:rsid w:val="00936082"/>
    <w:rsid w:val="00950B1A"/>
    <w:rsid w:val="00964726"/>
    <w:rsid w:val="0099259E"/>
    <w:rsid w:val="009943AE"/>
    <w:rsid w:val="009A296E"/>
    <w:rsid w:val="009B3C80"/>
    <w:rsid w:val="009C1A5D"/>
    <w:rsid w:val="009C1D95"/>
    <w:rsid w:val="009C2C4F"/>
    <w:rsid w:val="009C7D1F"/>
    <w:rsid w:val="009E5BC1"/>
    <w:rsid w:val="009F3FEB"/>
    <w:rsid w:val="00A246A8"/>
    <w:rsid w:val="00A40BA5"/>
    <w:rsid w:val="00A51082"/>
    <w:rsid w:val="00A7179B"/>
    <w:rsid w:val="00A80350"/>
    <w:rsid w:val="00A80822"/>
    <w:rsid w:val="00A825F9"/>
    <w:rsid w:val="00A97B93"/>
    <w:rsid w:val="00A97FC3"/>
    <w:rsid w:val="00AD1302"/>
    <w:rsid w:val="00AD624D"/>
    <w:rsid w:val="00AF5930"/>
    <w:rsid w:val="00B3214E"/>
    <w:rsid w:val="00B93577"/>
    <w:rsid w:val="00BE1E84"/>
    <w:rsid w:val="00C053FE"/>
    <w:rsid w:val="00C158EE"/>
    <w:rsid w:val="00C174AF"/>
    <w:rsid w:val="00C76D6E"/>
    <w:rsid w:val="00C8174D"/>
    <w:rsid w:val="00CA0021"/>
    <w:rsid w:val="00CB302C"/>
    <w:rsid w:val="00CC34B6"/>
    <w:rsid w:val="00CD356C"/>
    <w:rsid w:val="00CE01CB"/>
    <w:rsid w:val="00CE3DDF"/>
    <w:rsid w:val="00CE7F27"/>
    <w:rsid w:val="00D14CD7"/>
    <w:rsid w:val="00D226BC"/>
    <w:rsid w:val="00D8429B"/>
    <w:rsid w:val="00DA188C"/>
    <w:rsid w:val="00DA1FDF"/>
    <w:rsid w:val="00DA41F9"/>
    <w:rsid w:val="00DB0056"/>
    <w:rsid w:val="00DD044C"/>
    <w:rsid w:val="00DF4AA2"/>
    <w:rsid w:val="00E10366"/>
    <w:rsid w:val="00E6151A"/>
    <w:rsid w:val="00E7039C"/>
    <w:rsid w:val="00E85353"/>
    <w:rsid w:val="00E85A2D"/>
    <w:rsid w:val="00EB4F3D"/>
    <w:rsid w:val="00EB78AB"/>
    <w:rsid w:val="00ED2EA4"/>
    <w:rsid w:val="00ED4EF1"/>
    <w:rsid w:val="00EE4C94"/>
    <w:rsid w:val="00EF3ABE"/>
    <w:rsid w:val="00EF4EF2"/>
    <w:rsid w:val="00F00847"/>
    <w:rsid w:val="00F01A78"/>
    <w:rsid w:val="00F23F82"/>
    <w:rsid w:val="00F30183"/>
    <w:rsid w:val="00F5663E"/>
    <w:rsid w:val="00F643D4"/>
    <w:rsid w:val="00F66AEB"/>
    <w:rsid w:val="00F76BC2"/>
    <w:rsid w:val="00F80336"/>
    <w:rsid w:val="00FD2041"/>
    <w:rsid w:val="00FD31A3"/>
    <w:rsid w:val="00FD71D9"/>
    <w:rsid w:val="00FF0C24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F0139"/>
    <w:pPr>
      <w:keepNext/>
      <w:keepLines/>
      <w:numPr>
        <w:numId w:val="7"/>
      </w:numPr>
      <w:tabs>
        <w:tab w:val="left" w:pos="426"/>
      </w:tabs>
      <w:spacing w:after="0" w:line="240" w:lineRule="auto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sk-SK"/>
    </w:rPr>
  </w:style>
  <w:style w:type="paragraph" w:styleId="Nadpis2">
    <w:name w:val="heading 2"/>
    <w:basedOn w:val="Normlny"/>
    <w:link w:val="Nadpis2Char"/>
    <w:uiPriority w:val="9"/>
    <w:unhideWhenUsed/>
    <w:qFormat/>
    <w:rsid w:val="007F0139"/>
    <w:pPr>
      <w:keepNext/>
      <w:keepLines/>
      <w:numPr>
        <w:ilvl w:val="1"/>
        <w:numId w:val="7"/>
      </w:numPr>
      <w:tabs>
        <w:tab w:val="left" w:pos="567"/>
      </w:tabs>
      <w:spacing w:after="120" w:line="240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0F243E" w:themeColor="text2" w:themeShade="80"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3F82"/>
    <w:pPr>
      <w:ind w:left="720"/>
      <w:contextualSpacing/>
    </w:pPr>
  </w:style>
  <w:style w:type="table" w:styleId="Mriekatabuky">
    <w:name w:val="Table Grid"/>
    <w:basedOn w:val="Normlnatabuka"/>
    <w:uiPriority w:val="59"/>
    <w:rsid w:val="006F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qFormat/>
    <w:rsid w:val="007F013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7F0139"/>
    <w:rPr>
      <w:rFonts w:asciiTheme="majorHAnsi" w:eastAsiaTheme="majorEastAsia" w:hAnsiTheme="majorHAnsi" w:cstheme="majorBidi"/>
      <w:b/>
      <w:bCs/>
      <w:color w:val="0F243E" w:themeColor="text2" w:themeShade="80"/>
      <w:sz w:val="26"/>
      <w:szCs w:val="26"/>
      <w:lang w:val="sk-SK"/>
    </w:rPr>
  </w:style>
  <w:style w:type="character" w:styleId="Hypertextovprepojenie">
    <w:name w:val="Hyperlink"/>
    <w:basedOn w:val="Predvolenpsmoodseku"/>
    <w:uiPriority w:val="99"/>
    <w:unhideWhenUsed/>
    <w:rsid w:val="007F013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1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2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46A8"/>
  </w:style>
  <w:style w:type="paragraph" w:styleId="Pta">
    <w:name w:val="footer"/>
    <w:basedOn w:val="Normlny"/>
    <w:link w:val="PtaChar"/>
    <w:uiPriority w:val="99"/>
    <w:unhideWhenUsed/>
    <w:rsid w:val="00A2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46A8"/>
  </w:style>
  <w:style w:type="paragraph" w:customStyle="1" w:styleId="Default">
    <w:name w:val="Default"/>
    <w:rsid w:val="00520B0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styleId="Bezriadkovania">
    <w:name w:val="No Spacing"/>
    <w:uiPriority w:val="1"/>
    <w:qFormat/>
    <w:rsid w:val="009C2C4F"/>
    <w:pPr>
      <w:spacing w:after="0" w:line="240" w:lineRule="auto"/>
    </w:pPr>
    <w:rPr>
      <w:rFonts w:ascii="Calibri" w:eastAsia="Times New Roman" w:hAnsi="Calibri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F0139"/>
    <w:pPr>
      <w:keepNext/>
      <w:keepLines/>
      <w:numPr>
        <w:numId w:val="7"/>
      </w:numPr>
      <w:tabs>
        <w:tab w:val="left" w:pos="426"/>
      </w:tabs>
      <w:spacing w:after="0" w:line="240" w:lineRule="auto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sk-SK"/>
    </w:rPr>
  </w:style>
  <w:style w:type="paragraph" w:styleId="Nadpis2">
    <w:name w:val="heading 2"/>
    <w:basedOn w:val="Normlny"/>
    <w:link w:val="Nadpis2Char"/>
    <w:uiPriority w:val="9"/>
    <w:unhideWhenUsed/>
    <w:qFormat/>
    <w:rsid w:val="007F0139"/>
    <w:pPr>
      <w:keepNext/>
      <w:keepLines/>
      <w:numPr>
        <w:ilvl w:val="1"/>
        <w:numId w:val="7"/>
      </w:numPr>
      <w:tabs>
        <w:tab w:val="left" w:pos="567"/>
      </w:tabs>
      <w:spacing w:after="120" w:line="240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0F243E" w:themeColor="text2" w:themeShade="80"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3F82"/>
    <w:pPr>
      <w:ind w:left="720"/>
      <w:contextualSpacing/>
    </w:pPr>
  </w:style>
  <w:style w:type="table" w:styleId="Mriekatabuky">
    <w:name w:val="Table Grid"/>
    <w:basedOn w:val="Normlnatabuka"/>
    <w:uiPriority w:val="59"/>
    <w:rsid w:val="006F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qFormat/>
    <w:rsid w:val="007F013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7F0139"/>
    <w:rPr>
      <w:rFonts w:asciiTheme="majorHAnsi" w:eastAsiaTheme="majorEastAsia" w:hAnsiTheme="majorHAnsi" w:cstheme="majorBidi"/>
      <w:b/>
      <w:bCs/>
      <w:color w:val="0F243E" w:themeColor="text2" w:themeShade="80"/>
      <w:sz w:val="26"/>
      <w:szCs w:val="26"/>
      <w:lang w:val="sk-SK"/>
    </w:rPr>
  </w:style>
  <w:style w:type="character" w:styleId="Hypertextovprepojenie">
    <w:name w:val="Hyperlink"/>
    <w:basedOn w:val="Predvolenpsmoodseku"/>
    <w:uiPriority w:val="99"/>
    <w:unhideWhenUsed/>
    <w:rsid w:val="007F013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1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2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46A8"/>
  </w:style>
  <w:style w:type="paragraph" w:styleId="Pta">
    <w:name w:val="footer"/>
    <w:basedOn w:val="Normlny"/>
    <w:link w:val="PtaChar"/>
    <w:uiPriority w:val="99"/>
    <w:unhideWhenUsed/>
    <w:rsid w:val="00A2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46A8"/>
  </w:style>
  <w:style w:type="paragraph" w:customStyle="1" w:styleId="Default">
    <w:name w:val="Default"/>
    <w:rsid w:val="00520B0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styleId="Bezriadkovania">
    <w:name w:val="No Spacing"/>
    <w:uiPriority w:val="1"/>
    <w:qFormat/>
    <w:rsid w:val="009C2C4F"/>
    <w:pPr>
      <w:spacing w:after="0" w:line="240" w:lineRule="auto"/>
    </w:pPr>
    <w:rPr>
      <w:rFonts w:ascii="Calibri" w:eastAsia="Times New Roman" w:hAnsi="Calibri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psvr.gov.sk/statisti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vtisr.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chelkova\Documents\Marianna\Spr&#225;va%20STU\Spr&#225;va2018\STU_Tabulky%20a%20grafy_2017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0678302767429"/>
          <c:y val="0.11023370213051747"/>
          <c:w val="0.83497396053541362"/>
          <c:h val="0.70434665816026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Gra_17_nezamest!$E$3</c:f>
              <c:strCache>
                <c:ptCount val="1"/>
                <c:pt idx="0">
                  <c:v>% nezamestnaných absolventov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51-48A9-8D9D-9CC799BCC77E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93-4CEB-AA5B-9E51B86C5318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0F93-4CEB-AA5B-9E51B86C5318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F93-4CEB-AA5B-9E51B86C5318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93-4CEB-AA5B-9E51B86C5318}"/>
              </c:ext>
            </c:extLst>
          </c:dPt>
          <c:dPt>
            <c:idx val="1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F93-4CEB-AA5B-9E51B86C5318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rgbClr val="00B050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Gra_17_nezamest!$B$4:$B$23</c:f>
              <c:strCache>
                <c:ptCount val="20"/>
                <c:pt idx="0">
                  <c:v>VŠMU BA</c:v>
                </c:pt>
                <c:pt idx="1">
                  <c:v>STU BA</c:v>
                </c:pt>
                <c:pt idx="2">
                  <c:v>UK BA</c:v>
                </c:pt>
                <c:pt idx="3">
                  <c:v>TU TT</c:v>
                </c:pt>
                <c:pt idx="4">
                  <c:v>EU BA</c:v>
                </c:pt>
                <c:pt idx="5">
                  <c:v>VŠVU BA</c:v>
                </c:pt>
                <c:pt idx="6">
                  <c:v>UMB BB</c:v>
                </c:pt>
                <c:pt idx="7">
                  <c:v>ŽU ZA</c:v>
                </c:pt>
                <c:pt idx="8">
                  <c:v>AU BB</c:v>
                </c:pt>
                <c:pt idx="9">
                  <c:v>TrU TN</c:v>
                </c:pt>
                <c:pt idx="10">
                  <c:v>UKF NR</c:v>
                </c:pt>
                <c:pt idx="11">
                  <c:v>KU RK</c:v>
                </c:pt>
                <c:pt idx="12">
                  <c:v>UCM TT</c:v>
                </c:pt>
                <c:pt idx="13">
                  <c:v>UJS KN</c:v>
                </c:pt>
                <c:pt idx="14">
                  <c:v>SPU NR</c:v>
                </c:pt>
                <c:pt idx="15">
                  <c:v>TU KE</c:v>
                </c:pt>
                <c:pt idx="16">
                  <c:v>UVLF KE</c:v>
                </c:pt>
                <c:pt idx="17">
                  <c:v>UPJŠ KE</c:v>
                </c:pt>
                <c:pt idx="18">
                  <c:v>PU PO</c:v>
                </c:pt>
                <c:pt idx="19">
                  <c:v>TU ZV</c:v>
                </c:pt>
              </c:strCache>
            </c:strRef>
          </c:cat>
          <c:val>
            <c:numRef>
              <c:f>Gra_17_nezamest!$E$4:$E$23</c:f>
              <c:numCache>
                <c:formatCode>0.00%</c:formatCode>
                <c:ptCount val="20"/>
                <c:pt idx="0">
                  <c:v>4.8991354466858775E-2</c:v>
                </c:pt>
                <c:pt idx="1">
                  <c:v>5.7676902536715709E-2</c:v>
                </c:pt>
                <c:pt idx="2">
                  <c:v>6.6434624697336742E-2</c:v>
                </c:pt>
                <c:pt idx="3">
                  <c:v>6.9384835479256113E-2</c:v>
                </c:pt>
                <c:pt idx="4">
                  <c:v>7.0382279385494892E-2</c:v>
                </c:pt>
                <c:pt idx="5">
                  <c:v>7.2115384615384664E-2</c:v>
                </c:pt>
                <c:pt idx="6">
                  <c:v>7.3187895847994455E-2</c:v>
                </c:pt>
                <c:pt idx="7">
                  <c:v>7.4149938549774683E-2</c:v>
                </c:pt>
                <c:pt idx="8">
                  <c:v>7.4712643678161023E-2</c:v>
                </c:pt>
                <c:pt idx="9">
                  <c:v>7.6642335766423361E-2</c:v>
                </c:pt>
                <c:pt idx="10">
                  <c:v>7.8587699316628915E-2</c:v>
                </c:pt>
                <c:pt idx="11">
                  <c:v>8.0689655172413957E-2</c:v>
                </c:pt>
                <c:pt idx="12">
                  <c:v>8.3517699115044558E-2</c:v>
                </c:pt>
                <c:pt idx="13">
                  <c:v>8.771929824561403E-2</c:v>
                </c:pt>
                <c:pt idx="14">
                  <c:v>0.10382945124358472</c:v>
                </c:pt>
                <c:pt idx="15">
                  <c:v>0.10741138560687433</c:v>
                </c:pt>
                <c:pt idx="16">
                  <c:v>0.11764705882352952</c:v>
                </c:pt>
                <c:pt idx="17">
                  <c:v>0.1182126696832581</c:v>
                </c:pt>
                <c:pt idx="18">
                  <c:v>0.12352532963220007</c:v>
                </c:pt>
                <c:pt idx="19">
                  <c:v>0.12804878048780532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51-48A9-8D9D-9CC799BCC7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6741632"/>
        <c:axId val="96755712"/>
      </c:barChart>
      <c:catAx>
        <c:axId val="9674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k-SK"/>
          </a:p>
        </c:txPr>
        <c:crossAx val="96755712"/>
        <c:crosses val="autoZero"/>
        <c:auto val="1"/>
        <c:lblAlgn val="ctr"/>
        <c:lblOffset val="100"/>
        <c:noMultiLvlLbl val="0"/>
      </c:catAx>
      <c:valAx>
        <c:axId val="9675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sk-SK" b="1"/>
                  <a:t>% nezamestnaných absolventov VŠ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%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k-SK"/>
          </a:p>
        </c:txPr>
        <c:crossAx val="96741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+mj-lt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Bakosova</dc:creator>
  <cp:lastModifiedBy>Sevcikova</cp:lastModifiedBy>
  <cp:revision>7</cp:revision>
  <cp:lastPrinted>2019-04-08T11:20:00Z</cp:lastPrinted>
  <dcterms:created xsi:type="dcterms:W3CDTF">2019-04-16T09:00:00Z</dcterms:created>
  <dcterms:modified xsi:type="dcterms:W3CDTF">2019-04-16T09:22:00Z</dcterms:modified>
</cp:coreProperties>
</file>