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Pr="00254A99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254A99" w:rsidRDefault="009436BA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Vedenie </w:t>
      </w:r>
      <w:bookmarkStart w:id="0" w:name="_GoBack"/>
      <w:bookmarkEnd w:id="0"/>
    </w:p>
    <w:p w:rsidR="0030006A" w:rsidRPr="00254A99" w:rsidRDefault="00834E86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06.03</w:t>
      </w:r>
      <w:r w:rsidR="0096333A" w:rsidRPr="00254A99">
        <w:rPr>
          <w:rFonts w:asciiTheme="majorHAnsi" w:hAnsiTheme="majorHAnsi"/>
          <w:sz w:val="36"/>
          <w:szCs w:val="36"/>
          <w:lang w:val="sk-SK"/>
        </w:rPr>
        <w:t>.</w:t>
      </w:r>
      <w:r>
        <w:rPr>
          <w:rFonts w:asciiTheme="majorHAnsi" w:hAnsiTheme="majorHAnsi"/>
          <w:sz w:val="36"/>
          <w:szCs w:val="36"/>
          <w:lang w:val="sk-SK"/>
        </w:rPr>
        <w:t>2019</w:t>
      </w:r>
    </w:p>
    <w:p w:rsidR="0030006A" w:rsidRPr="00254A99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5A7337" w:rsidRPr="00254A99" w:rsidRDefault="00D46457" w:rsidP="005A7337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254A99">
        <w:rPr>
          <w:rFonts w:asciiTheme="majorHAnsi" w:hAnsiTheme="majorHAnsi"/>
          <w:b/>
          <w:sz w:val="36"/>
          <w:szCs w:val="36"/>
          <w:lang w:val="sk-SK"/>
        </w:rPr>
        <w:t xml:space="preserve">Priebežná správa o stave a </w:t>
      </w:r>
      <w:r w:rsidR="0096333A" w:rsidRPr="00254A99">
        <w:rPr>
          <w:rFonts w:asciiTheme="majorHAnsi" w:hAnsiTheme="majorHAnsi"/>
          <w:b/>
          <w:sz w:val="36"/>
          <w:szCs w:val="36"/>
          <w:lang w:val="sk-SK"/>
        </w:rPr>
        <w:t xml:space="preserve">hospodárení ÚZ </w:t>
      </w:r>
      <w:r w:rsidR="00C86DA5">
        <w:rPr>
          <w:rFonts w:asciiTheme="majorHAnsi" w:hAnsiTheme="majorHAnsi"/>
          <w:b/>
          <w:sz w:val="36"/>
          <w:szCs w:val="36"/>
          <w:lang w:val="sk-SK"/>
        </w:rPr>
        <w:t xml:space="preserve">STU </w:t>
      </w:r>
      <w:r w:rsidR="0096333A" w:rsidRPr="00254A99">
        <w:rPr>
          <w:rFonts w:asciiTheme="majorHAnsi" w:hAnsiTheme="majorHAnsi"/>
          <w:b/>
          <w:sz w:val="36"/>
          <w:szCs w:val="36"/>
          <w:lang w:val="sk-SK"/>
        </w:rPr>
        <w:t>Gabčíkovo</w:t>
      </w:r>
    </w:p>
    <w:p w:rsidR="00F56337" w:rsidRPr="00254A99" w:rsidRDefault="00CB395A" w:rsidP="00080A61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254A99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006C9B" w:rsidRPr="00254A99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Pr="00254A99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Pr="00254A99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254A99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>Predkladá:</w:t>
      </w:r>
      <w:r w:rsidRPr="00254A99">
        <w:rPr>
          <w:rFonts w:asciiTheme="majorHAnsi" w:hAnsiTheme="majorHAnsi"/>
          <w:lang w:val="sk-SK"/>
        </w:rPr>
        <w:tab/>
      </w:r>
      <w:r w:rsidR="00D36BF6" w:rsidRPr="00254A99">
        <w:rPr>
          <w:rFonts w:asciiTheme="majorHAnsi" w:hAnsiTheme="majorHAnsi"/>
          <w:b/>
          <w:lang w:val="sk-SK"/>
        </w:rPr>
        <w:t>Ing. Dušan Faktor, PhD.</w:t>
      </w:r>
    </w:p>
    <w:p w:rsidR="0030006A" w:rsidRPr="00254A99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ab/>
      </w:r>
      <w:r w:rsidR="00D36BF6" w:rsidRPr="00254A99">
        <w:rPr>
          <w:rFonts w:asciiTheme="majorHAnsi" w:hAnsiTheme="majorHAnsi"/>
          <w:lang w:val="sk-SK"/>
        </w:rPr>
        <w:t>kvestor</w:t>
      </w:r>
    </w:p>
    <w:p w:rsidR="0030006A" w:rsidRPr="00254A99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254A99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>Vypracoval</w:t>
      </w:r>
      <w:r w:rsidR="00CB395A" w:rsidRPr="00254A99">
        <w:rPr>
          <w:rFonts w:asciiTheme="majorHAnsi" w:hAnsiTheme="majorHAnsi"/>
          <w:lang w:val="sk-SK"/>
        </w:rPr>
        <w:t>:</w:t>
      </w:r>
      <w:r w:rsidR="00CB395A" w:rsidRPr="00254A99">
        <w:rPr>
          <w:rFonts w:asciiTheme="majorHAnsi" w:hAnsiTheme="majorHAnsi"/>
          <w:lang w:val="sk-SK"/>
        </w:rPr>
        <w:tab/>
      </w:r>
      <w:r w:rsidR="00CB395A" w:rsidRPr="00254A99">
        <w:rPr>
          <w:rFonts w:asciiTheme="majorHAnsi" w:hAnsiTheme="majorHAnsi"/>
          <w:b/>
          <w:lang w:val="sk-SK"/>
        </w:rPr>
        <w:t>Ing. Jozef Benka</w:t>
      </w:r>
    </w:p>
    <w:p w:rsidR="00835A13" w:rsidRPr="00254A99" w:rsidRDefault="00CB395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ab/>
      </w:r>
      <w:r w:rsidR="0096333A" w:rsidRPr="00254A99">
        <w:rPr>
          <w:rFonts w:asciiTheme="majorHAnsi" w:hAnsiTheme="majorHAnsi"/>
          <w:lang w:val="sk-SK"/>
        </w:rPr>
        <w:t xml:space="preserve">poverený riadením ÚZ </w:t>
      </w:r>
      <w:r w:rsidR="00C86DA5">
        <w:rPr>
          <w:rFonts w:asciiTheme="majorHAnsi" w:hAnsiTheme="majorHAnsi"/>
          <w:lang w:val="sk-SK"/>
        </w:rPr>
        <w:t xml:space="preserve">STU </w:t>
      </w:r>
      <w:r w:rsidR="0096333A" w:rsidRPr="00254A99">
        <w:rPr>
          <w:rFonts w:asciiTheme="majorHAnsi" w:hAnsiTheme="majorHAnsi"/>
          <w:lang w:val="sk-SK"/>
        </w:rPr>
        <w:t>Gabčíkovo</w:t>
      </w:r>
    </w:p>
    <w:p w:rsidR="0030006A" w:rsidRPr="00254A99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A7337" w:rsidRPr="00254A99" w:rsidRDefault="0030006A" w:rsidP="0096333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>Zdôvodnenie:</w:t>
      </w:r>
      <w:r w:rsidRPr="00254A99">
        <w:rPr>
          <w:rFonts w:asciiTheme="majorHAnsi" w:hAnsiTheme="majorHAnsi"/>
          <w:lang w:val="sk-SK"/>
        </w:rPr>
        <w:tab/>
      </w:r>
      <w:r w:rsidR="00A31EC2" w:rsidRPr="00254A99">
        <w:rPr>
          <w:rFonts w:asciiTheme="majorHAnsi" w:hAnsiTheme="majorHAnsi"/>
          <w:lang w:val="sk-SK"/>
        </w:rPr>
        <w:t>Podľa plánu</w:t>
      </w:r>
      <w:r w:rsidR="0096333A" w:rsidRPr="00254A99">
        <w:rPr>
          <w:rFonts w:asciiTheme="majorHAnsi" w:hAnsiTheme="majorHAnsi"/>
          <w:lang w:val="sk-SK"/>
        </w:rPr>
        <w:t xml:space="preserve"> vedenia STU</w:t>
      </w:r>
    </w:p>
    <w:p w:rsidR="0096333A" w:rsidRPr="00254A99" w:rsidRDefault="0096333A" w:rsidP="0096333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D60679" w:rsidRPr="00254A9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>Návrh uznesenia:</w:t>
      </w:r>
      <w:r w:rsidRPr="00254A99">
        <w:rPr>
          <w:rFonts w:asciiTheme="majorHAnsi" w:hAnsiTheme="majorHAnsi"/>
          <w:lang w:val="sk-SK"/>
        </w:rPr>
        <w:tab/>
      </w:r>
      <w:r w:rsidR="00067FC1" w:rsidRPr="00254A99">
        <w:rPr>
          <w:rFonts w:asciiTheme="majorHAnsi" w:hAnsiTheme="majorHAnsi"/>
          <w:lang w:val="sk-SK"/>
        </w:rPr>
        <w:t xml:space="preserve">Vedenie STU </w:t>
      </w:r>
      <w:r w:rsidR="0096333A" w:rsidRPr="00254A99">
        <w:rPr>
          <w:rFonts w:asciiTheme="majorHAnsi" w:hAnsiTheme="majorHAnsi"/>
          <w:lang w:val="sk-SK"/>
        </w:rPr>
        <w:t xml:space="preserve">berie na vedomie </w:t>
      </w:r>
      <w:r w:rsidR="00D46457" w:rsidRPr="00254A99">
        <w:rPr>
          <w:rFonts w:asciiTheme="majorHAnsi" w:hAnsiTheme="majorHAnsi"/>
          <w:lang w:val="sk-SK"/>
        </w:rPr>
        <w:t>Priebežnú s</w:t>
      </w:r>
      <w:r w:rsidR="0096333A" w:rsidRPr="00254A99">
        <w:rPr>
          <w:rFonts w:asciiTheme="majorHAnsi" w:hAnsiTheme="majorHAnsi"/>
          <w:lang w:val="sk-SK"/>
        </w:rPr>
        <w:t>právu o</w:t>
      </w:r>
      <w:r w:rsidR="00D46457" w:rsidRPr="00254A99">
        <w:rPr>
          <w:rFonts w:asciiTheme="majorHAnsi" w:hAnsiTheme="majorHAnsi"/>
          <w:lang w:val="sk-SK"/>
        </w:rPr>
        <w:t xml:space="preserve"> stave a </w:t>
      </w:r>
      <w:r w:rsidR="0096333A" w:rsidRPr="00254A99">
        <w:rPr>
          <w:rFonts w:asciiTheme="majorHAnsi" w:hAnsiTheme="majorHAnsi"/>
          <w:lang w:val="sk-SK"/>
        </w:rPr>
        <w:t xml:space="preserve">hospodárení ÚZ </w:t>
      </w:r>
      <w:r w:rsidR="00255FB3" w:rsidRPr="00254A99">
        <w:rPr>
          <w:rFonts w:asciiTheme="majorHAnsi" w:hAnsiTheme="majorHAnsi"/>
          <w:lang w:val="sk-SK"/>
        </w:rPr>
        <w:t xml:space="preserve">STU </w:t>
      </w:r>
      <w:r w:rsidR="0096333A" w:rsidRPr="00254A99">
        <w:rPr>
          <w:rFonts w:asciiTheme="majorHAnsi" w:hAnsiTheme="majorHAnsi"/>
          <w:lang w:val="sk-SK"/>
        </w:rPr>
        <w:t>Gabčíkovo</w:t>
      </w:r>
      <w:r w:rsidR="00067FC1" w:rsidRPr="00254A99">
        <w:rPr>
          <w:rFonts w:asciiTheme="majorHAnsi" w:hAnsiTheme="majorHAnsi"/>
          <w:lang w:val="sk-SK"/>
        </w:rPr>
        <w:t xml:space="preserve"> </w:t>
      </w:r>
    </w:p>
    <w:p w:rsidR="006F4AFD" w:rsidRPr="00254A99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254A99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254A99">
        <w:rPr>
          <w:rFonts w:asciiTheme="majorHAnsi" w:hAnsiTheme="majorHAnsi"/>
          <w:lang w:val="sk-SK"/>
        </w:rPr>
        <w:t xml:space="preserve"> </w:t>
      </w:r>
    </w:p>
    <w:p w:rsidR="00D540A1" w:rsidRPr="00254A99" w:rsidRDefault="00D540A1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</w:p>
    <w:p w:rsidR="0096333A" w:rsidRPr="00254A99" w:rsidRDefault="0096333A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</w:p>
    <w:p w:rsidR="00254A99" w:rsidRPr="00254A99" w:rsidRDefault="00254A99" w:rsidP="00254A99">
      <w:pPr>
        <w:jc w:val="center"/>
        <w:rPr>
          <w:rFonts w:ascii="Calibri" w:hAnsi="Calibri"/>
          <w:b/>
          <w:lang w:val="sk-SK"/>
        </w:rPr>
      </w:pPr>
      <w:r w:rsidRPr="00254A99">
        <w:rPr>
          <w:rFonts w:ascii="Calibri" w:hAnsi="Calibri"/>
          <w:b/>
          <w:lang w:val="sk-SK"/>
        </w:rPr>
        <w:t>SPRÁVA O ČINNOSTI A HOSPODÁRENÍ ÚZ STU GABČÍKOVO ZA</w:t>
      </w:r>
      <w:r>
        <w:rPr>
          <w:rFonts w:ascii="Calibri" w:hAnsi="Calibri"/>
          <w:b/>
          <w:lang w:val="sk-SK"/>
        </w:rPr>
        <w:t xml:space="preserve"> ROK 2018</w:t>
      </w:r>
    </w:p>
    <w:p w:rsidR="00254A99" w:rsidRPr="00254A99" w:rsidRDefault="00254A99" w:rsidP="00254A99">
      <w:pPr>
        <w:rPr>
          <w:rFonts w:ascii="Calibri" w:hAnsi="Calibri"/>
          <w:lang w:val="sk-SK"/>
        </w:rPr>
      </w:pPr>
    </w:p>
    <w:p w:rsidR="00254A99" w:rsidRPr="00254A99" w:rsidRDefault="00254A99" w:rsidP="00254A99">
      <w:pPr>
        <w:jc w:val="both"/>
        <w:rPr>
          <w:rFonts w:ascii="Calibri" w:hAnsi="Calibri"/>
          <w:b/>
          <w:lang w:val="sk-SK"/>
        </w:rPr>
      </w:pPr>
      <w:r w:rsidRPr="00254A99">
        <w:rPr>
          <w:rFonts w:ascii="Calibri" w:hAnsi="Calibri"/>
          <w:b/>
          <w:lang w:val="sk-SK"/>
        </w:rPr>
        <w:t>ÚVOD</w:t>
      </w:r>
    </w:p>
    <w:p w:rsidR="00254A99" w:rsidRPr="00254A99" w:rsidRDefault="00254A99" w:rsidP="00254A99">
      <w:pPr>
        <w:jc w:val="center"/>
        <w:rPr>
          <w:rFonts w:ascii="Calibri" w:hAnsi="Calibri"/>
          <w:lang w:val="sk-SK"/>
        </w:rPr>
      </w:pPr>
    </w:p>
    <w:p w:rsidR="00254A99" w:rsidRPr="00254A99" w:rsidRDefault="00254A99" w:rsidP="00254A99">
      <w:pPr>
        <w:jc w:val="both"/>
        <w:rPr>
          <w:rFonts w:ascii="Calibri" w:hAnsi="Calibri"/>
          <w:lang w:val="sk-SK"/>
        </w:rPr>
      </w:pPr>
      <w:r w:rsidRPr="00254A99">
        <w:rPr>
          <w:rFonts w:ascii="Calibri" w:hAnsi="Calibri"/>
          <w:lang w:val="sk-SK"/>
        </w:rPr>
        <w:t>Predložený materiál je určený na rokovanie Vedenia STU v Bratislave.</w:t>
      </w:r>
      <w:r>
        <w:rPr>
          <w:rFonts w:ascii="Calibri" w:hAnsi="Calibri"/>
          <w:lang w:val="sk-SK"/>
        </w:rPr>
        <w:t xml:space="preserve"> </w:t>
      </w:r>
      <w:r w:rsidRPr="00254A99">
        <w:rPr>
          <w:rFonts w:ascii="Calibri" w:hAnsi="Calibri"/>
          <w:lang w:val="sk-SK"/>
        </w:rPr>
        <w:t>Cieľom správy j</w:t>
      </w:r>
      <w:r w:rsidR="00F33747">
        <w:rPr>
          <w:rFonts w:ascii="Calibri" w:hAnsi="Calibri"/>
          <w:lang w:val="sk-SK"/>
        </w:rPr>
        <w:t>e oboznámiť vedenie STU</w:t>
      </w:r>
      <w:r w:rsidRPr="00254A99">
        <w:rPr>
          <w:rFonts w:ascii="Calibri" w:hAnsi="Calibri"/>
          <w:lang w:val="sk-SK"/>
        </w:rPr>
        <w:t xml:space="preserve"> o činnosti Účelového zariadenia STU v Gabčíkove za obdobie roka 201</w:t>
      </w:r>
      <w:r>
        <w:rPr>
          <w:rFonts w:ascii="Calibri" w:hAnsi="Calibri"/>
          <w:lang w:val="sk-SK"/>
        </w:rPr>
        <w:t xml:space="preserve">8. </w:t>
      </w:r>
      <w:r w:rsidRPr="00254A99">
        <w:rPr>
          <w:rFonts w:ascii="Calibri" w:hAnsi="Calibri"/>
          <w:lang w:val="sk-SK"/>
        </w:rPr>
        <w:t>V materiáli sú popísané rozhodujúce aktivity a činnosti, ktoré boli predmetom podn</w:t>
      </w:r>
      <w:r>
        <w:rPr>
          <w:rFonts w:ascii="Calibri" w:hAnsi="Calibri"/>
          <w:lang w:val="sk-SK"/>
        </w:rPr>
        <w:t xml:space="preserve">ikania počas uvedeného obdobia. </w:t>
      </w:r>
      <w:r w:rsidRPr="00254A99">
        <w:rPr>
          <w:rFonts w:ascii="Calibri" w:hAnsi="Calibri"/>
          <w:lang w:val="sk-SK"/>
        </w:rPr>
        <w:t>Materiál zároveň obsahuje informáciu o dosiahn</w:t>
      </w:r>
      <w:r w:rsidR="00DD48B6">
        <w:rPr>
          <w:rFonts w:ascii="Calibri" w:hAnsi="Calibri"/>
          <w:lang w:val="sk-SK"/>
        </w:rPr>
        <w:t xml:space="preserve">utých hospodárskych výsledkoch </w:t>
      </w:r>
      <w:r w:rsidRPr="00254A99">
        <w:rPr>
          <w:rFonts w:ascii="Calibri" w:hAnsi="Calibri"/>
          <w:lang w:val="sk-SK"/>
        </w:rPr>
        <w:t xml:space="preserve">Účelového zariadenia STU v Gabčíkove. </w:t>
      </w:r>
    </w:p>
    <w:p w:rsidR="00254A99" w:rsidRPr="00254A99" w:rsidRDefault="00254A99" w:rsidP="00254A99">
      <w:pPr>
        <w:jc w:val="both"/>
        <w:rPr>
          <w:rFonts w:ascii="Calibri" w:hAnsi="Calibri"/>
          <w:lang w:val="sk-SK"/>
        </w:rPr>
      </w:pPr>
    </w:p>
    <w:p w:rsidR="00254A99" w:rsidRPr="00254A99" w:rsidRDefault="00254A99" w:rsidP="00254A99">
      <w:pPr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 xml:space="preserve">ZÁKLADNÉ ÚDAJE </w:t>
      </w:r>
    </w:p>
    <w:p w:rsidR="00254A99" w:rsidRPr="00254A99" w:rsidRDefault="00254A99" w:rsidP="00254A99">
      <w:pPr>
        <w:jc w:val="both"/>
        <w:rPr>
          <w:rFonts w:ascii="Calibri" w:hAnsi="Calibri"/>
          <w:b/>
          <w:lang w:val="sk-SK"/>
        </w:rPr>
      </w:pPr>
    </w:p>
    <w:p w:rsidR="00254A99" w:rsidRPr="00254A99" w:rsidRDefault="00254A99" w:rsidP="00254A99">
      <w:pPr>
        <w:jc w:val="both"/>
        <w:rPr>
          <w:rFonts w:ascii="Calibri" w:hAnsi="Calibri"/>
          <w:lang w:val="sk-SK"/>
        </w:rPr>
      </w:pPr>
      <w:r w:rsidRPr="00254A99">
        <w:rPr>
          <w:rFonts w:ascii="Calibri" w:hAnsi="Calibri"/>
          <w:lang w:val="sk-SK"/>
        </w:rPr>
        <w:t>V zmysle uznesenia vlády č. 454/1990 zo dňa 2.10.1990 a následného rozhodnutia MŠ SR sa STU stala prevádzkovateľom areálu komplexného ubytovacieho zariadenia v Gabčíkove. Prevod práva hospodárenia národného majetku sa uskutočnil na základe Hospodárskej zmluvy č. 216/45/90 zo dňa 1.12.1990. Účelové zariadenie v Gabčíkovo bolo zriadené ako pracovisko STU v Bratislave, ktorého poslaním je poskytovať ubytovacie, stravovacie a iné sociálne služby študentom a zamestnancom všetkých zložiek STU. Ďalej poskytuje rôzne servisné činnosti pre zabezpečenie pedagogickej a vedeckovýskumnej činnosti fakúlt STU. Vytvára aj podmienky pre  záujmové, kultúrne, športové a rekreačné činnosti. Uvedené zariadenie je vybudované ako zariadenie internátneho typu s kompletným príslušenstvom. Tvorí ho osem obytných budov, kultúrno-obslužný objekt a administratívna budova. V strede areálu je situovaný Kultúrno-obslužný objekt, ktorý slúži na poskytovanie služieb. Kultúrna časť od stravovacej časti je oddelená spoločnou pasážou a je napojená na ubytovacie a ostatné objekty krytými chodbami a na príjazdovú komunikáciu. V spojovacom objekte, ktorý slúži na spojenie a prechod medzi kultúrnou časťou a ubytovacími objektmi sa okrem recepcie pre štyri ubytovacie objekty nachádza aj veľká zasadačka, klubové a spoločenské miestnosti.</w:t>
      </w:r>
    </w:p>
    <w:p w:rsidR="00254A99" w:rsidRPr="00254A99" w:rsidRDefault="00254A99" w:rsidP="00254A99">
      <w:pPr>
        <w:jc w:val="both"/>
        <w:rPr>
          <w:rFonts w:ascii="Calibri" w:hAnsi="Calibri"/>
          <w:b/>
          <w:lang w:val="sk-SK"/>
        </w:rPr>
      </w:pPr>
      <w:r w:rsidRPr="00254A99">
        <w:rPr>
          <w:rFonts w:ascii="Calibri" w:hAnsi="Calibri"/>
          <w:lang w:val="sk-SK"/>
        </w:rPr>
        <w:t xml:space="preserve">Ubytovacie zariadenie je  prístupné 24 hodín počas celého roka. </w:t>
      </w:r>
    </w:p>
    <w:p w:rsidR="00254A99" w:rsidRPr="00254A99" w:rsidRDefault="00254A99" w:rsidP="00254A99">
      <w:pPr>
        <w:jc w:val="both"/>
        <w:rPr>
          <w:rFonts w:ascii="Calibri" w:hAnsi="Calibri"/>
          <w:b/>
          <w:lang w:val="sk-SK"/>
        </w:rPr>
      </w:pPr>
    </w:p>
    <w:p w:rsidR="00254A99" w:rsidRPr="00254A99" w:rsidRDefault="00254A99" w:rsidP="00254A99">
      <w:pPr>
        <w:jc w:val="both"/>
        <w:rPr>
          <w:rFonts w:ascii="Calibri" w:hAnsi="Calibri"/>
          <w:b/>
          <w:lang w:val="sk-SK"/>
        </w:rPr>
      </w:pPr>
      <w:r w:rsidRPr="00254A99">
        <w:rPr>
          <w:rFonts w:ascii="Calibri" w:hAnsi="Calibri"/>
          <w:b/>
          <w:lang w:val="sk-SK"/>
        </w:rPr>
        <w:t>PREDMET ČINNOSTI</w:t>
      </w:r>
      <w:r w:rsidR="00954F83">
        <w:rPr>
          <w:rFonts w:ascii="Calibri" w:hAnsi="Calibri"/>
          <w:b/>
          <w:lang w:val="sk-SK"/>
        </w:rPr>
        <w:t xml:space="preserve"> A SÚČASTNÝ STAV</w:t>
      </w:r>
    </w:p>
    <w:p w:rsidR="00254A99" w:rsidRPr="00254A99" w:rsidRDefault="00254A99" w:rsidP="00254A99">
      <w:pPr>
        <w:jc w:val="both"/>
        <w:rPr>
          <w:rFonts w:ascii="Calibri" w:hAnsi="Calibri"/>
          <w:lang w:val="sk-SK"/>
        </w:rPr>
      </w:pPr>
    </w:p>
    <w:p w:rsidR="00954F83" w:rsidRPr="00171408" w:rsidRDefault="00254A99" w:rsidP="00954F83">
      <w:pPr>
        <w:pStyle w:val="Bezriadkovania"/>
        <w:jc w:val="both"/>
        <w:rPr>
          <w:rFonts w:ascii="Calibri" w:eastAsiaTheme="minorEastAsia" w:hAnsi="Calibri"/>
          <w:sz w:val="24"/>
          <w:szCs w:val="24"/>
        </w:rPr>
      </w:pPr>
      <w:r w:rsidRPr="00954F83">
        <w:rPr>
          <w:rFonts w:ascii="Calibri" w:eastAsiaTheme="minorEastAsia" w:hAnsi="Calibri"/>
          <w:sz w:val="24"/>
          <w:szCs w:val="24"/>
        </w:rPr>
        <w:t xml:space="preserve">Činnosť Účelového zariadenia STU v Gabčíkove bola v roku 2018 zameraná  na zabezpečenie ubytovacích a stravovacích služieb pre študentov a zamestnancov všetkých zložiek STU, voľný turistický ruch, taktiež na  ubytovanie zamestnancov pre dodávateľské firmy. Ubytovacie a stravovacie služby boli poskytnuté na základe uzatvorených zmlúv a objednávok. </w:t>
      </w:r>
      <w:r w:rsidR="00954F83" w:rsidRPr="00171408">
        <w:rPr>
          <w:rFonts w:ascii="Calibri" w:eastAsiaTheme="minorEastAsia" w:hAnsi="Calibri"/>
          <w:sz w:val="24"/>
          <w:szCs w:val="24"/>
        </w:rPr>
        <w:t>V  súčasnosti má</w:t>
      </w:r>
      <w:r w:rsidR="00954F83">
        <w:rPr>
          <w:rFonts w:ascii="Calibri" w:eastAsiaTheme="minorEastAsia" w:hAnsi="Calibri"/>
          <w:sz w:val="24"/>
          <w:szCs w:val="24"/>
        </w:rPr>
        <w:t xml:space="preserve"> Účelové zariadenie STU </w:t>
      </w:r>
      <w:r w:rsidR="00954F83" w:rsidRPr="00171408">
        <w:rPr>
          <w:rFonts w:ascii="Calibri" w:eastAsiaTheme="minorEastAsia" w:hAnsi="Calibri"/>
          <w:sz w:val="24"/>
          <w:szCs w:val="24"/>
        </w:rPr>
        <w:t>k dispozícii na ubytovanie  štyri   objekty, celková kapacita ubytovacích priestorov je max. 1180</w:t>
      </w:r>
      <w:r w:rsidR="00954F83">
        <w:rPr>
          <w:rFonts w:ascii="Calibri" w:eastAsiaTheme="minorEastAsia" w:hAnsi="Calibri"/>
          <w:sz w:val="24"/>
          <w:szCs w:val="24"/>
        </w:rPr>
        <w:t xml:space="preserve"> osôb</w:t>
      </w:r>
      <w:r w:rsidR="00954F83" w:rsidRPr="00171408">
        <w:rPr>
          <w:rFonts w:ascii="Calibri" w:eastAsiaTheme="minorEastAsia" w:hAnsi="Calibri"/>
          <w:sz w:val="24"/>
          <w:szCs w:val="24"/>
        </w:rPr>
        <w:t xml:space="preserve">. Objekty  č. 1 a č. 3 slúžia  na ubytovanie pre zamestnancov cudzích firiem, pre cestovný ruch a príležitostné ubytovanie študentov a zamestnancov STU. V objekte č. 2 a č. 4 sú ubytovaní zamestnanci spoločnosti Volkswagen Slovakia, a.s.. K dispozícií je aj 180 lôžok v objekte č. 6. </w:t>
      </w:r>
    </w:p>
    <w:p w:rsidR="00954F83" w:rsidRDefault="00954F83" w:rsidP="00254A99">
      <w:pPr>
        <w:jc w:val="both"/>
        <w:rPr>
          <w:rFonts w:ascii="Calibri" w:hAnsi="Calibri"/>
          <w:lang w:val="sk-SK"/>
        </w:rPr>
      </w:pPr>
    </w:p>
    <w:p w:rsidR="00954F83" w:rsidRDefault="00954F83" w:rsidP="00254A99">
      <w:pPr>
        <w:jc w:val="both"/>
        <w:rPr>
          <w:rFonts w:ascii="Calibri" w:hAnsi="Calibri"/>
          <w:lang w:val="sk-SK"/>
        </w:rPr>
      </w:pPr>
    </w:p>
    <w:p w:rsidR="00954F83" w:rsidRDefault="00954F83" w:rsidP="00254A99">
      <w:pPr>
        <w:jc w:val="both"/>
        <w:rPr>
          <w:rFonts w:ascii="Calibri" w:hAnsi="Calibri"/>
          <w:lang w:val="sk-SK"/>
        </w:rPr>
      </w:pPr>
    </w:p>
    <w:p w:rsidR="00254A99" w:rsidRPr="00254A99" w:rsidRDefault="009132B5" w:rsidP="00254A99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V marci 2018 bola podpísaná zmluva so spoločnosťou Volkswagen Slovakia, a.s., s platnosťou do konca roka 2019, na základe ktorej má táto spoločnosť k dispozícií kapacitu 400 lôžok pri cene 5,20 €/lôžko bez DPH. </w:t>
      </w:r>
      <w:r w:rsidR="00B23D45">
        <w:rPr>
          <w:rFonts w:ascii="Calibri" w:hAnsi="Calibri"/>
          <w:lang w:val="sk-SK"/>
        </w:rPr>
        <w:t xml:space="preserve">Žiaľ prišlo zo strany spoločnosti Volkswagen Slovakia, a.s. k poníženiu </w:t>
      </w:r>
      <w:r w:rsidR="00F33747">
        <w:rPr>
          <w:rFonts w:ascii="Calibri" w:hAnsi="Calibri"/>
          <w:lang w:val="sk-SK"/>
        </w:rPr>
        <w:t>kapacity o 40</w:t>
      </w:r>
      <w:r w:rsidR="00C87207">
        <w:rPr>
          <w:rFonts w:ascii="Calibri" w:hAnsi="Calibri"/>
          <w:lang w:val="sk-SK"/>
        </w:rPr>
        <w:t>% a momentálne pretrváva záujem</w:t>
      </w:r>
      <w:r w:rsidR="00F33747">
        <w:rPr>
          <w:rFonts w:ascii="Calibri" w:hAnsi="Calibri"/>
          <w:lang w:val="sk-SK"/>
        </w:rPr>
        <w:t xml:space="preserve"> </w:t>
      </w:r>
      <w:r w:rsidR="00B23D45">
        <w:rPr>
          <w:rFonts w:ascii="Calibri" w:hAnsi="Calibri"/>
          <w:lang w:val="sk-SK"/>
        </w:rPr>
        <w:t xml:space="preserve">zmluvu predčasne ukončiť. </w:t>
      </w:r>
    </w:p>
    <w:p w:rsidR="00254A99" w:rsidRPr="00254A99" w:rsidRDefault="00254A99" w:rsidP="00254A99">
      <w:pPr>
        <w:jc w:val="both"/>
        <w:rPr>
          <w:rFonts w:ascii="Calibri" w:hAnsi="Calibri"/>
          <w:lang w:val="sk-SK"/>
        </w:rPr>
      </w:pPr>
    </w:p>
    <w:p w:rsidR="00DD48B6" w:rsidRDefault="00DD48B6" w:rsidP="00254A99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K 01.11.2018 sme boli </w:t>
      </w:r>
      <w:r w:rsidR="004977A3">
        <w:rPr>
          <w:rFonts w:ascii="Calibri" w:hAnsi="Calibri"/>
          <w:lang w:val="sk-SK"/>
        </w:rPr>
        <w:t xml:space="preserve">z ekonomických dôvodov </w:t>
      </w:r>
      <w:r>
        <w:rPr>
          <w:rFonts w:ascii="Calibri" w:hAnsi="Calibri"/>
          <w:lang w:val="sk-SK"/>
        </w:rPr>
        <w:t xml:space="preserve">nútení </w:t>
      </w:r>
      <w:r w:rsidR="004977A3">
        <w:rPr>
          <w:rFonts w:ascii="Calibri" w:hAnsi="Calibri"/>
          <w:lang w:val="sk-SK"/>
        </w:rPr>
        <w:t xml:space="preserve">ukončiť poskytovanie stravovania pre Pobytový tábor Migračného úradu </w:t>
      </w:r>
      <w:r w:rsidR="00393EF7">
        <w:rPr>
          <w:rFonts w:ascii="Calibri" w:hAnsi="Calibri"/>
          <w:lang w:val="sk-SK"/>
        </w:rPr>
        <w:t xml:space="preserve">MV SR </w:t>
      </w:r>
      <w:r w:rsidR="004977A3">
        <w:rPr>
          <w:rFonts w:ascii="Calibri" w:hAnsi="Calibri"/>
          <w:lang w:val="sk-SK"/>
        </w:rPr>
        <w:t xml:space="preserve">v Rohovciach. Ukončenie bolo vykonané dodatkom ku zmluve na poskytovanie služieb, ktorá je uzatvorená </w:t>
      </w:r>
      <w:r w:rsidR="004977A3" w:rsidRPr="00254A99">
        <w:rPr>
          <w:rFonts w:ascii="Calibri" w:hAnsi="Calibri"/>
          <w:lang w:val="sk-SK"/>
        </w:rPr>
        <w:t>s Migračným úradom MV SR</w:t>
      </w:r>
      <w:r w:rsidR="004977A3">
        <w:rPr>
          <w:rFonts w:ascii="Calibri" w:hAnsi="Calibri"/>
          <w:lang w:val="sk-SK"/>
        </w:rPr>
        <w:t xml:space="preserve">. </w:t>
      </w:r>
      <w:r w:rsidR="009132B5">
        <w:rPr>
          <w:rFonts w:ascii="Calibri" w:hAnsi="Calibri"/>
          <w:lang w:val="sk-SK"/>
        </w:rPr>
        <w:t xml:space="preserve">K uvedenému dátumu sme ukončili činnosti na stravovacom úseku. </w:t>
      </w:r>
      <w:r w:rsidR="004977A3">
        <w:rPr>
          <w:rFonts w:ascii="Calibri" w:hAnsi="Calibri"/>
          <w:lang w:val="sk-SK"/>
        </w:rPr>
        <w:t>V roku 2019 budeme zabezpečovať</w:t>
      </w:r>
      <w:r w:rsidR="00033129">
        <w:rPr>
          <w:rFonts w:ascii="Calibri" w:hAnsi="Calibri"/>
          <w:lang w:val="sk-SK"/>
        </w:rPr>
        <w:t xml:space="preserve"> stravovanie dodávateľským spôsobom. </w:t>
      </w:r>
    </w:p>
    <w:p w:rsidR="00954F83" w:rsidRDefault="00954F83" w:rsidP="00254A99">
      <w:pPr>
        <w:jc w:val="both"/>
        <w:rPr>
          <w:rFonts w:ascii="Calibri" w:hAnsi="Calibri"/>
          <w:lang w:val="sk-SK"/>
        </w:rPr>
      </w:pPr>
    </w:p>
    <w:p w:rsidR="00BA05EC" w:rsidRDefault="00BA05EC" w:rsidP="00BA05EC">
      <w:pPr>
        <w:spacing w:after="160" w:line="259" w:lineRule="auto"/>
        <w:jc w:val="both"/>
        <w:rPr>
          <w:rFonts w:ascii="Calibri" w:eastAsia="Calibri" w:hAnsi="Calibri" w:cs="Times New Roman"/>
          <w:lang w:val="sk-SK"/>
        </w:rPr>
      </w:pPr>
      <w:r w:rsidRPr="00FA0B3E">
        <w:rPr>
          <w:rFonts w:ascii="Calibri" w:eastAsia="Calibri" w:hAnsi="Calibri" w:cs="Times New Roman"/>
          <w:lang w:val="sk-SK"/>
        </w:rPr>
        <w:t xml:space="preserve">Od začiatku roka 2018 </w:t>
      </w:r>
      <w:r>
        <w:rPr>
          <w:rFonts w:ascii="Calibri" w:eastAsia="Calibri" w:hAnsi="Calibri" w:cs="Times New Roman"/>
          <w:lang w:val="sk-SK"/>
        </w:rPr>
        <w:t>pretrvávali problémy s nadmernou spotrebou vody vzhľadom k množstvu ubytovaných osôb. V tejto súvislosti sme podali aj trestné oznámenie na neznámeho páchateľa, ktoré vyšetrovateľ zastavil. Následne sme podali sťažnosť na vyšetrovateľa ale ta bola zamietnutá prokurátorom. Po týchto krokoch sme pristúpili k celkovej rekonštrukcii vodovodu. V mesiacoch máj a jún bola spracovaná projektová dokumentácia, následne bola podaná žiadosť na vodoprávne ko</w:t>
      </w:r>
      <w:r w:rsidR="00834E86">
        <w:rPr>
          <w:rFonts w:ascii="Calibri" w:eastAsia="Calibri" w:hAnsi="Calibri" w:cs="Times New Roman"/>
          <w:lang w:val="sk-SK"/>
        </w:rPr>
        <w:t>nanie na Okresný úrad Dunajská S</w:t>
      </w:r>
      <w:r>
        <w:rPr>
          <w:rFonts w:ascii="Calibri" w:eastAsia="Calibri" w:hAnsi="Calibri" w:cs="Times New Roman"/>
          <w:lang w:val="sk-SK"/>
        </w:rPr>
        <w:t>treda ktorý koncom septembra 2018 vydal povolenie, ktorým stavbu povoľuje. Následne prebehlo verejné obstarávanie na zhotoviteľa stavby a</w:t>
      </w:r>
      <w:r w:rsidR="00834E86">
        <w:rPr>
          <w:rFonts w:ascii="Calibri" w:eastAsia="Calibri" w:hAnsi="Calibri" w:cs="Times New Roman"/>
          <w:lang w:val="sk-SK"/>
        </w:rPr>
        <w:t> koncom októbra</w:t>
      </w:r>
      <w:r>
        <w:rPr>
          <w:rFonts w:ascii="Calibri" w:eastAsia="Calibri" w:hAnsi="Calibri" w:cs="Times New Roman"/>
          <w:lang w:val="sk-SK"/>
        </w:rPr>
        <w:t xml:space="preserve"> začala rekonštrukcia ktorá bola stanovená na dva mesiace. </w:t>
      </w:r>
      <w:r w:rsidR="00834E86">
        <w:rPr>
          <w:rFonts w:ascii="Calibri" w:eastAsia="Calibri" w:hAnsi="Calibri" w:cs="Times New Roman"/>
          <w:lang w:val="sk-SK"/>
        </w:rPr>
        <w:t xml:space="preserve">Po ukončení prác bola stavba kolaudovaná a dňa 7.1.2019 Okresný úrad Dunajská Streda povolil užívanie stavby.  </w:t>
      </w:r>
    </w:p>
    <w:p w:rsidR="00254A99" w:rsidRPr="00254A99" w:rsidRDefault="00254A99" w:rsidP="00254A99">
      <w:p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 </w:t>
      </w:r>
    </w:p>
    <w:p w:rsidR="00254A99" w:rsidRPr="00254A99" w:rsidRDefault="00254A99" w:rsidP="00254A99">
      <w:pPr>
        <w:jc w:val="both"/>
        <w:rPr>
          <w:rFonts w:ascii="Calibri" w:hAnsi="Calibri"/>
          <w:b/>
          <w:lang w:val="sk-SK"/>
        </w:rPr>
      </w:pPr>
      <w:r w:rsidRPr="00254A99">
        <w:rPr>
          <w:rFonts w:ascii="Calibri" w:hAnsi="Calibri"/>
          <w:b/>
          <w:lang w:val="sk-SK"/>
        </w:rPr>
        <w:t>Výnosy Účelového zari</w:t>
      </w:r>
      <w:r>
        <w:rPr>
          <w:rFonts w:ascii="Calibri" w:hAnsi="Calibri"/>
          <w:b/>
          <w:lang w:val="sk-SK"/>
        </w:rPr>
        <w:t>adenia STU v roku 2018 tvorili:</w:t>
      </w:r>
    </w:p>
    <w:p w:rsidR="00254A99" w:rsidRPr="00254A99" w:rsidRDefault="00254A99" w:rsidP="00254A99">
      <w:pPr>
        <w:jc w:val="both"/>
        <w:rPr>
          <w:rFonts w:ascii="Calibri" w:hAnsi="Calibri"/>
          <w:lang w:val="sk-SK"/>
        </w:rPr>
      </w:pPr>
    </w:p>
    <w:p w:rsidR="009132B5" w:rsidRPr="00254A99" w:rsidRDefault="009132B5" w:rsidP="009132B5">
      <w:pPr>
        <w:numPr>
          <w:ilvl w:val="0"/>
          <w:numId w:val="38"/>
        </w:numPr>
        <w:jc w:val="both"/>
        <w:rPr>
          <w:rFonts w:ascii="Calibri" w:hAnsi="Calibri"/>
          <w:lang w:val="sk-SK"/>
        </w:rPr>
      </w:pPr>
      <w:r w:rsidRPr="00254A99">
        <w:rPr>
          <w:rFonts w:ascii="Calibri" w:hAnsi="Calibri"/>
          <w:lang w:val="sk-SK"/>
        </w:rPr>
        <w:t>príjmy za ubytovacie služby (</w:t>
      </w:r>
      <w:r>
        <w:rPr>
          <w:rFonts w:ascii="Calibri" w:hAnsi="Calibri"/>
          <w:lang w:val="sk-SK"/>
        </w:rPr>
        <w:t>Volkswagen Slovakia, a.s., zmluvy o ubytovaní, voľný cestovný ruch)</w:t>
      </w:r>
      <w:r w:rsidRPr="00254A99">
        <w:rPr>
          <w:rFonts w:ascii="Calibri" w:hAnsi="Calibri"/>
          <w:lang w:val="sk-SK"/>
        </w:rPr>
        <w:t>,</w:t>
      </w:r>
    </w:p>
    <w:p w:rsidR="00254A99" w:rsidRPr="00254A99" w:rsidRDefault="00254A99" w:rsidP="00254A99">
      <w:pPr>
        <w:numPr>
          <w:ilvl w:val="0"/>
          <w:numId w:val="38"/>
        </w:numPr>
        <w:jc w:val="both"/>
        <w:rPr>
          <w:rFonts w:ascii="Calibri" w:hAnsi="Calibri"/>
          <w:lang w:val="sk-SK"/>
        </w:rPr>
      </w:pPr>
      <w:r w:rsidRPr="00254A99">
        <w:rPr>
          <w:rFonts w:ascii="Calibri" w:hAnsi="Calibri"/>
          <w:lang w:val="sk-SK"/>
        </w:rPr>
        <w:t>príjmy za stravovacie služby na základe zmluvy s Migračným úradom MV SR zabezpečenie stravovania utečencom v Pobytovom  tábore Rohovce,</w:t>
      </w:r>
    </w:p>
    <w:p w:rsidR="00254A99" w:rsidRPr="00254A99" w:rsidRDefault="00254A99" w:rsidP="00254A99">
      <w:pPr>
        <w:numPr>
          <w:ilvl w:val="0"/>
          <w:numId w:val="38"/>
        </w:numPr>
        <w:jc w:val="both"/>
        <w:rPr>
          <w:rFonts w:ascii="Calibri" w:hAnsi="Calibri"/>
          <w:b/>
          <w:lang w:val="sk-SK"/>
        </w:rPr>
      </w:pPr>
      <w:r w:rsidRPr="00254A99">
        <w:rPr>
          <w:rFonts w:ascii="Calibri" w:hAnsi="Calibri"/>
          <w:lang w:val="sk-SK"/>
        </w:rPr>
        <w:t>pr</w:t>
      </w:r>
      <w:r>
        <w:rPr>
          <w:rFonts w:ascii="Calibri" w:hAnsi="Calibri"/>
          <w:lang w:val="sk-SK"/>
        </w:rPr>
        <w:t>íjmy za stravovacie  služby pre</w:t>
      </w:r>
      <w:r w:rsidRPr="00254A99">
        <w:rPr>
          <w:rFonts w:ascii="Calibri" w:hAnsi="Calibri"/>
          <w:lang w:val="sk-SK"/>
        </w:rPr>
        <w:t xml:space="preserve"> jednotlivé zložky STU,</w:t>
      </w:r>
    </w:p>
    <w:p w:rsidR="00254A99" w:rsidRPr="00254A99" w:rsidRDefault="00254A99" w:rsidP="00254A99">
      <w:pPr>
        <w:numPr>
          <w:ilvl w:val="0"/>
          <w:numId w:val="38"/>
        </w:num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príjmy </w:t>
      </w:r>
      <w:r w:rsidRPr="00254A99">
        <w:rPr>
          <w:rFonts w:ascii="Calibri" w:hAnsi="Calibri"/>
          <w:lang w:val="sk-SK"/>
        </w:rPr>
        <w:t>z prenájmu voľ</w:t>
      </w:r>
      <w:r>
        <w:rPr>
          <w:rFonts w:ascii="Calibri" w:hAnsi="Calibri"/>
          <w:lang w:val="sk-SK"/>
        </w:rPr>
        <w:t xml:space="preserve">nej plochy a za služby spojené </w:t>
      </w:r>
      <w:r w:rsidR="00FF73EE">
        <w:rPr>
          <w:rFonts w:ascii="Calibri" w:hAnsi="Calibri"/>
          <w:lang w:val="sk-SK"/>
        </w:rPr>
        <w:t xml:space="preserve">s prenájmom </w:t>
      </w:r>
      <w:r w:rsidRPr="00254A99">
        <w:rPr>
          <w:rFonts w:ascii="Calibri" w:hAnsi="Calibri"/>
          <w:lang w:val="sk-SK"/>
        </w:rPr>
        <w:t xml:space="preserve">kancelárskych priestorov </w:t>
      </w:r>
    </w:p>
    <w:p w:rsidR="00254A99" w:rsidRPr="00254A99" w:rsidRDefault="00254A99" w:rsidP="00254A99">
      <w:pPr>
        <w:ind w:left="360"/>
        <w:jc w:val="both"/>
        <w:rPr>
          <w:rFonts w:ascii="Calibri" w:hAnsi="Calibri"/>
          <w:lang w:val="sk-SK"/>
        </w:rPr>
      </w:pPr>
    </w:p>
    <w:p w:rsidR="00254A99" w:rsidRPr="00254A99" w:rsidRDefault="00254A99" w:rsidP="00254A99">
      <w:pPr>
        <w:ind w:left="360" w:hanging="360"/>
        <w:jc w:val="both"/>
        <w:rPr>
          <w:rFonts w:ascii="Calibri" w:hAnsi="Calibri"/>
          <w:b/>
          <w:lang w:val="sk-SK"/>
        </w:rPr>
      </w:pPr>
      <w:r w:rsidRPr="00254A99">
        <w:rPr>
          <w:rFonts w:ascii="Calibri" w:hAnsi="Calibri"/>
          <w:b/>
          <w:lang w:val="sk-SK"/>
        </w:rPr>
        <w:t>Najvyššie nákladové položky tvoria:</w:t>
      </w:r>
    </w:p>
    <w:p w:rsidR="00254A99" w:rsidRPr="00254A99" w:rsidRDefault="00254A99" w:rsidP="00254A99">
      <w:pPr>
        <w:ind w:left="360" w:hanging="360"/>
        <w:jc w:val="both"/>
        <w:rPr>
          <w:rFonts w:ascii="Calibri" w:hAnsi="Calibri"/>
          <w:lang w:val="sk-SK"/>
        </w:rPr>
      </w:pPr>
    </w:p>
    <w:p w:rsidR="00254A99" w:rsidRPr="00254A99" w:rsidRDefault="00254A99" w:rsidP="00254A99">
      <w:pPr>
        <w:numPr>
          <w:ilvl w:val="0"/>
          <w:numId w:val="38"/>
        </w:numPr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lang w:val="sk-SK"/>
        </w:rPr>
        <w:t xml:space="preserve">mzdové náklady </w:t>
      </w:r>
      <w:r w:rsidRPr="00254A99">
        <w:rPr>
          <w:rFonts w:ascii="Calibri" w:hAnsi="Calibri"/>
          <w:lang w:val="sk-SK"/>
        </w:rPr>
        <w:tab/>
      </w:r>
    </w:p>
    <w:p w:rsidR="00254A99" w:rsidRPr="00254A99" w:rsidRDefault="00254A99" w:rsidP="00254A99">
      <w:pPr>
        <w:numPr>
          <w:ilvl w:val="0"/>
          <w:numId w:val="38"/>
        </w:numPr>
        <w:jc w:val="both"/>
        <w:rPr>
          <w:rFonts w:ascii="Calibri" w:hAnsi="Calibri"/>
          <w:b/>
          <w:lang w:val="sk-SK"/>
        </w:rPr>
      </w:pPr>
      <w:r w:rsidRPr="00254A99">
        <w:rPr>
          <w:rFonts w:ascii="Calibri" w:hAnsi="Calibri"/>
          <w:lang w:val="sk-SK"/>
        </w:rPr>
        <w:t xml:space="preserve">náklady na vykurovanie </w:t>
      </w:r>
      <w:r w:rsidRPr="00254A99">
        <w:rPr>
          <w:rFonts w:ascii="Calibri" w:hAnsi="Calibri"/>
          <w:lang w:val="sk-SK"/>
        </w:rPr>
        <w:tab/>
      </w:r>
      <w:r w:rsidRPr="00254A99">
        <w:rPr>
          <w:rFonts w:ascii="Calibri" w:hAnsi="Calibri"/>
          <w:lang w:val="sk-SK"/>
        </w:rPr>
        <w:tab/>
      </w:r>
    </w:p>
    <w:p w:rsidR="00254A99" w:rsidRDefault="00254A99" w:rsidP="00254A99">
      <w:pPr>
        <w:numPr>
          <w:ilvl w:val="0"/>
          <w:numId w:val="38"/>
        </w:numPr>
        <w:jc w:val="both"/>
        <w:rPr>
          <w:rFonts w:ascii="Calibri" w:hAnsi="Calibri"/>
          <w:lang w:val="sk-SK"/>
        </w:rPr>
      </w:pPr>
      <w:r w:rsidRPr="00254A99">
        <w:rPr>
          <w:rFonts w:ascii="Calibri" w:hAnsi="Calibri"/>
          <w:lang w:val="sk-SK"/>
        </w:rPr>
        <w:t>náklady na spotrebu vody (vodné a stočné)</w:t>
      </w:r>
      <w:r w:rsidRPr="00254A99">
        <w:rPr>
          <w:rFonts w:ascii="Calibri" w:hAnsi="Calibri"/>
          <w:lang w:val="sk-SK"/>
        </w:rPr>
        <w:tab/>
      </w:r>
    </w:p>
    <w:p w:rsidR="00254A99" w:rsidRPr="00254A99" w:rsidRDefault="00254A99" w:rsidP="00254A99">
      <w:pPr>
        <w:numPr>
          <w:ilvl w:val="0"/>
          <w:numId w:val="38"/>
        </w:numPr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spotreba elektrickej energie</w:t>
      </w:r>
      <w:r w:rsidRPr="00254A99">
        <w:rPr>
          <w:rFonts w:ascii="Calibri" w:hAnsi="Calibri"/>
          <w:lang w:val="sk-SK"/>
        </w:rPr>
        <w:tab/>
      </w:r>
      <w:r w:rsidRPr="00254A99">
        <w:rPr>
          <w:rFonts w:ascii="Calibri" w:hAnsi="Calibri"/>
          <w:lang w:val="sk-SK"/>
        </w:rPr>
        <w:tab/>
      </w:r>
    </w:p>
    <w:p w:rsidR="00254A99" w:rsidRPr="00254A99" w:rsidRDefault="00254A99" w:rsidP="00254A99">
      <w:pPr>
        <w:numPr>
          <w:ilvl w:val="0"/>
          <w:numId w:val="38"/>
        </w:numPr>
        <w:jc w:val="both"/>
        <w:rPr>
          <w:rFonts w:ascii="Calibri" w:hAnsi="Calibri"/>
          <w:lang w:val="sk-SK"/>
        </w:rPr>
      </w:pPr>
      <w:r w:rsidRPr="00254A99">
        <w:rPr>
          <w:rFonts w:ascii="Calibri" w:hAnsi="Calibri"/>
          <w:lang w:val="sk-SK"/>
        </w:rPr>
        <w:lastRenderedPageBreak/>
        <w:t>náklady súvisiace s prevádzkou zariadenia, opravy a údržba</w:t>
      </w:r>
      <w:r w:rsidRPr="00254A99">
        <w:rPr>
          <w:rFonts w:ascii="Calibri" w:hAnsi="Calibri"/>
          <w:lang w:val="sk-SK"/>
        </w:rPr>
        <w:tab/>
      </w:r>
    </w:p>
    <w:p w:rsidR="00254A99" w:rsidRPr="00254A99" w:rsidRDefault="00254A99" w:rsidP="00254A99">
      <w:pPr>
        <w:numPr>
          <w:ilvl w:val="0"/>
          <w:numId w:val="38"/>
        </w:numPr>
        <w:jc w:val="both"/>
        <w:rPr>
          <w:rFonts w:ascii="Calibri" w:hAnsi="Calibri"/>
          <w:lang w:val="sk-SK"/>
        </w:rPr>
      </w:pPr>
      <w:r w:rsidRPr="00254A99">
        <w:rPr>
          <w:rFonts w:ascii="Calibri" w:hAnsi="Calibri"/>
          <w:lang w:val="sk-SK"/>
        </w:rPr>
        <w:t>náklady na suroviny (potraviny)</w:t>
      </w:r>
      <w:r w:rsidRPr="00254A99">
        <w:rPr>
          <w:rFonts w:ascii="Calibri" w:hAnsi="Calibri"/>
          <w:lang w:val="sk-SK"/>
        </w:rPr>
        <w:tab/>
      </w:r>
      <w:r w:rsidRPr="00254A99">
        <w:rPr>
          <w:rFonts w:ascii="Calibri" w:hAnsi="Calibri"/>
          <w:lang w:val="sk-SK"/>
        </w:rPr>
        <w:tab/>
      </w:r>
      <w:r w:rsidRPr="00254A99">
        <w:rPr>
          <w:rFonts w:ascii="Calibri" w:hAnsi="Calibri"/>
          <w:lang w:val="sk-SK"/>
        </w:rPr>
        <w:tab/>
      </w:r>
      <w:r w:rsidRPr="00254A99">
        <w:rPr>
          <w:rFonts w:ascii="Calibri" w:hAnsi="Calibri"/>
          <w:lang w:val="sk-SK"/>
        </w:rPr>
        <w:tab/>
      </w:r>
      <w:r w:rsidRPr="00254A99">
        <w:rPr>
          <w:rFonts w:ascii="Calibri" w:hAnsi="Calibri"/>
          <w:lang w:val="sk-SK"/>
        </w:rPr>
        <w:tab/>
      </w:r>
    </w:p>
    <w:p w:rsidR="00254A99" w:rsidRPr="00254A99" w:rsidRDefault="00254A99" w:rsidP="00254A99">
      <w:pPr>
        <w:pStyle w:val="Bezriadkovania"/>
        <w:jc w:val="both"/>
        <w:rPr>
          <w:rFonts w:ascii="Calibri" w:hAnsi="Calibri"/>
          <w:b/>
        </w:rPr>
      </w:pPr>
    </w:p>
    <w:p w:rsidR="00254A99" w:rsidRPr="00834E86" w:rsidRDefault="00254A99" w:rsidP="00834E86">
      <w:pPr>
        <w:pStyle w:val="Bezriadkovania"/>
        <w:jc w:val="both"/>
        <w:rPr>
          <w:rFonts w:ascii="Calibri" w:hAnsi="Calibri"/>
          <w:b/>
          <w:sz w:val="24"/>
          <w:szCs w:val="24"/>
        </w:rPr>
      </w:pPr>
      <w:r w:rsidRPr="00834E86">
        <w:rPr>
          <w:rFonts w:ascii="Calibri" w:hAnsi="Calibri"/>
          <w:b/>
          <w:sz w:val="24"/>
          <w:szCs w:val="24"/>
        </w:rPr>
        <w:t>Dosiahnuté hospodárske výsledky Účelového zariadenia STU Gabčíkovo z účtovnej závierky za rok 2018:</w:t>
      </w:r>
    </w:p>
    <w:p w:rsidR="00FF73EE" w:rsidRDefault="00FF73EE" w:rsidP="00254A99">
      <w:pPr>
        <w:pStyle w:val="Bezriadkovania"/>
        <w:jc w:val="both"/>
        <w:rPr>
          <w:rFonts w:ascii="Calibri" w:hAnsi="Calibri"/>
          <w:b/>
        </w:rPr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71"/>
        <w:gridCol w:w="1769"/>
        <w:gridCol w:w="2340"/>
        <w:gridCol w:w="1580"/>
      </w:tblGrid>
      <w:tr w:rsidR="00FF73EE" w:rsidRPr="00B23D45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B23D45" w:rsidRDefault="00FF73EE" w:rsidP="00FF73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Náklady: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B23D45" w:rsidRDefault="00FF73EE" w:rsidP="00FF73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Účet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B23D45" w:rsidRDefault="00FF73EE" w:rsidP="00FF73E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  <w:t>hlavná činnosť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B23D45" w:rsidRDefault="00FF73EE" w:rsidP="00FF73E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  <w:t>podnikateľská činnosť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B23D45" w:rsidRDefault="00FF73EE" w:rsidP="00FF73E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  <w:t>spolu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Spotreba materiálu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65 280,74 €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65 280,74 €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Spotreba energie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151 112,83 €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151 112,83 €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Opravy a udrž.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511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79 527,98 €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79 527,98 €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Cestovné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       20,65 €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20,65 €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Reprezentácia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     527,03 €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527,03 €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Ostatné služby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518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60 795,16 €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60 795,16 €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Mzdové náklady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521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262 694,64 €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262 694,64 €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Zákonné soc.</w:t>
            </w: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poistenie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90 140,51 €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90 140,51 €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>Ostatné soc. poistenie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525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  2 579,08 €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2 579,08 €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Zákonné </w:t>
            </w:r>
            <w:proofErr w:type="spellStart"/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soc.N</w:t>
            </w:r>
            <w:proofErr w:type="spellEnd"/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25 610,09 €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25 610,09 €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Daň z MV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531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     454,20 €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454,20 €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Daň z nehnuteľnosti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532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  9 306,92 €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9 306,92 €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val="sk-SK" w:eastAsia="sk-SK"/>
              </w:rPr>
              <w:t>Ostatné dane a poplatky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  1 028,43 €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1 028,43 €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Iné ostatné náklady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17 588,75 €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17 588,75 €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odpisy DHM a DNM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551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47 301,30 €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  6 005,28 €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53 306,58 € </w:t>
            </w:r>
          </w:p>
        </w:tc>
      </w:tr>
      <w:tr w:rsidR="00FF73EE" w:rsidRPr="00E91EF1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E91EF1" w:rsidRDefault="00FF73EE" w:rsidP="00FF73EE">
            <w:pPr>
              <w:rPr>
                <w:rFonts w:ascii="Calibri" w:eastAsia="Times New Roman" w:hAnsi="Calibri" w:cs="Calibri"/>
                <w:bCs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Calibri"/>
                <w:bCs/>
                <w:color w:val="000000"/>
                <w:lang w:val="sk-SK" w:eastAsia="sk-SK"/>
              </w:rPr>
              <w:t>Náklady spolu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E91EF1" w:rsidRDefault="00FF73EE" w:rsidP="00FF73EE">
            <w:pPr>
              <w:jc w:val="center"/>
              <w:rPr>
                <w:rFonts w:ascii="Calibri" w:eastAsia="Times New Roman" w:hAnsi="Calibri" w:cs="Calibri"/>
                <w:bCs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Calibri"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E91EF1" w:rsidRDefault="00FF73EE" w:rsidP="00E91EF1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47 301,30 €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E91EF1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772 672,29 €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E91EF1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819 973,59 €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k-SK" w:eastAsia="sk-SK"/>
              </w:rPr>
            </w:pP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Výnosy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Účet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hlavná činnosť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podnikateľská činnosť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spolu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Tržby za vlastné výrobky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601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72 440,15 €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72 440,15 €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predaj služieb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602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708 560,67 €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708 560,67 €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úroky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644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         7,61 €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7,61 €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Iné ostatné výnosy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649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15 853,48 €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15 853,48 €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Výnosy z nájmu majetku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658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  9 589,53 €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9 589,53 € </w:t>
            </w:r>
          </w:p>
        </w:tc>
      </w:tr>
      <w:tr w:rsidR="00FF73EE" w:rsidRPr="00FF73EE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Dotácie na prevádzku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center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>691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47 301,30 €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               -  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FF73EE" w:rsidRDefault="00FF73EE" w:rsidP="00FF73EE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FF73EE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47 301,30 € </w:t>
            </w:r>
          </w:p>
        </w:tc>
      </w:tr>
      <w:tr w:rsidR="00FF73EE" w:rsidRPr="00E91EF1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E91EF1" w:rsidRDefault="00FF73EE" w:rsidP="00FF73EE">
            <w:pPr>
              <w:rPr>
                <w:rFonts w:ascii="Calibri" w:eastAsia="Times New Roman" w:hAnsi="Calibri" w:cs="Calibri"/>
                <w:bCs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Calibri"/>
                <w:bCs/>
                <w:color w:val="000000"/>
                <w:lang w:val="sk-SK" w:eastAsia="sk-SK"/>
              </w:rPr>
              <w:t>Výnosy spolu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3EE" w:rsidRPr="00E91EF1" w:rsidRDefault="00FF73EE" w:rsidP="00FF73EE">
            <w:pPr>
              <w:rPr>
                <w:rFonts w:ascii="Calibri" w:eastAsia="Times New Roman" w:hAnsi="Calibri" w:cs="Calibri"/>
                <w:bCs/>
                <w:color w:val="000000"/>
                <w:lang w:val="sk-SK" w:eastAsia="sk-SK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E91EF1" w:rsidRDefault="00B31B59" w:rsidP="00B31B59">
            <w:pPr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</w:t>
            </w:r>
            <w:r w:rsidR="00FF73EE" w:rsidRPr="00E91EF1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47 301,30 €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E91EF1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             806 451,44 €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E91EF1" w:rsidRDefault="00FF73EE" w:rsidP="00FF73EE">
            <w:pPr>
              <w:jc w:val="right"/>
              <w:rPr>
                <w:rFonts w:ascii="Calibri" w:eastAsia="Times New Roman" w:hAnsi="Calibri" w:cs="Calibri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Calibri"/>
                <w:color w:val="000000"/>
                <w:lang w:val="sk-SK" w:eastAsia="sk-SK"/>
              </w:rPr>
              <w:t xml:space="preserve">  853 752,74 € </w:t>
            </w:r>
          </w:p>
        </w:tc>
      </w:tr>
      <w:tr w:rsidR="00FF73EE" w:rsidRPr="00B23D45" w:rsidTr="00B23D45">
        <w:trPr>
          <w:trHeight w:val="324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B23D45" w:rsidRDefault="00FF73EE" w:rsidP="00FF73EE">
            <w:pPr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>HV pred zdanením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B23D45" w:rsidRDefault="00FF73EE" w:rsidP="00FF73EE">
            <w:pPr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  <w:t> 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B23D45" w:rsidRDefault="00FF73EE" w:rsidP="00FF73E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B23D45" w:rsidRDefault="00FF73EE" w:rsidP="00FF73EE">
            <w:pPr>
              <w:jc w:val="right"/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Calibri"/>
                <w:b/>
                <w:color w:val="000000"/>
                <w:lang w:val="sk-SK" w:eastAsia="sk-SK"/>
              </w:rPr>
              <w:t xml:space="preserve">                 33 779,15 €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3EE" w:rsidRPr="00B23D45" w:rsidRDefault="00FF73EE" w:rsidP="00FF73EE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Calibri"/>
                <w:b/>
                <w:bCs/>
                <w:color w:val="000000"/>
                <w:lang w:val="sk-SK" w:eastAsia="sk-SK"/>
              </w:rPr>
              <w:t xml:space="preserve">    33 779,15 € </w:t>
            </w:r>
          </w:p>
        </w:tc>
      </w:tr>
    </w:tbl>
    <w:p w:rsidR="00FF73EE" w:rsidRDefault="00FF73EE" w:rsidP="00254A99">
      <w:pPr>
        <w:pStyle w:val="Bezriadkovania"/>
        <w:jc w:val="both"/>
        <w:rPr>
          <w:rFonts w:ascii="Calibri" w:hAnsi="Calibri"/>
          <w:b/>
        </w:rPr>
      </w:pPr>
    </w:p>
    <w:p w:rsidR="00E70122" w:rsidRDefault="00E70122" w:rsidP="00E70122">
      <w:pPr>
        <w:pStyle w:val="Bezriadkovania"/>
        <w:jc w:val="both"/>
        <w:rPr>
          <w:rFonts w:ascii="Calibri" w:hAnsi="Calibri"/>
          <w:b/>
          <w:sz w:val="24"/>
          <w:szCs w:val="24"/>
        </w:rPr>
      </w:pPr>
    </w:p>
    <w:p w:rsidR="00E70122" w:rsidRDefault="00E70122" w:rsidP="00E70122">
      <w:pPr>
        <w:pStyle w:val="Bezriadkovania"/>
        <w:jc w:val="both"/>
        <w:rPr>
          <w:rFonts w:ascii="Calibri" w:hAnsi="Calibri"/>
          <w:b/>
          <w:sz w:val="24"/>
          <w:szCs w:val="24"/>
        </w:rPr>
      </w:pPr>
    </w:p>
    <w:p w:rsidR="00E70122" w:rsidRDefault="00E70122" w:rsidP="00E70122">
      <w:pPr>
        <w:pStyle w:val="Bezriadkovania"/>
        <w:jc w:val="both"/>
        <w:rPr>
          <w:rFonts w:ascii="Calibri" w:hAnsi="Calibri"/>
          <w:b/>
          <w:sz w:val="24"/>
          <w:szCs w:val="24"/>
        </w:rPr>
      </w:pPr>
    </w:p>
    <w:p w:rsidR="00E70122" w:rsidRDefault="00E70122" w:rsidP="00E70122">
      <w:pPr>
        <w:pStyle w:val="Bezriadkovania"/>
        <w:jc w:val="both"/>
        <w:rPr>
          <w:rFonts w:ascii="Calibri" w:hAnsi="Calibri"/>
          <w:b/>
          <w:sz w:val="24"/>
          <w:szCs w:val="24"/>
        </w:rPr>
      </w:pPr>
    </w:p>
    <w:p w:rsidR="00E70122" w:rsidRDefault="00E70122" w:rsidP="00E70122">
      <w:pPr>
        <w:pStyle w:val="Bezriadkovania"/>
        <w:jc w:val="both"/>
        <w:rPr>
          <w:rFonts w:ascii="Calibri" w:hAnsi="Calibri"/>
          <w:b/>
          <w:sz w:val="24"/>
          <w:szCs w:val="24"/>
        </w:rPr>
      </w:pPr>
    </w:p>
    <w:p w:rsidR="00C87207" w:rsidRDefault="00C87207" w:rsidP="00E70122">
      <w:pPr>
        <w:pStyle w:val="Bezriadkovania"/>
        <w:jc w:val="both"/>
        <w:rPr>
          <w:rFonts w:ascii="Calibri" w:hAnsi="Calibri"/>
          <w:b/>
          <w:sz w:val="24"/>
          <w:szCs w:val="24"/>
        </w:rPr>
      </w:pPr>
    </w:p>
    <w:p w:rsidR="00C87207" w:rsidRDefault="00C87207" w:rsidP="00E70122">
      <w:pPr>
        <w:pStyle w:val="Bezriadkovania"/>
        <w:jc w:val="both"/>
        <w:rPr>
          <w:rFonts w:ascii="Calibri" w:hAnsi="Calibri"/>
          <w:b/>
          <w:sz w:val="24"/>
          <w:szCs w:val="24"/>
        </w:rPr>
      </w:pPr>
    </w:p>
    <w:p w:rsidR="00E70122" w:rsidRPr="00834E86" w:rsidRDefault="00E70122" w:rsidP="00E70122">
      <w:pPr>
        <w:pStyle w:val="Bezriadkovania"/>
        <w:jc w:val="both"/>
        <w:rPr>
          <w:rFonts w:ascii="Calibri" w:hAnsi="Calibri"/>
          <w:b/>
          <w:sz w:val="24"/>
          <w:szCs w:val="24"/>
        </w:rPr>
      </w:pPr>
      <w:r w:rsidRPr="00834E86">
        <w:rPr>
          <w:rFonts w:ascii="Calibri" w:hAnsi="Calibri"/>
          <w:b/>
          <w:sz w:val="24"/>
          <w:szCs w:val="24"/>
        </w:rPr>
        <w:lastRenderedPageBreak/>
        <w:t>Dosiahnuté hospodárske výsledky Účelového zariadenia STU Gabčíkovo</w:t>
      </w:r>
      <w:r>
        <w:rPr>
          <w:rFonts w:ascii="Calibri" w:hAnsi="Calibri"/>
          <w:b/>
          <w:sz w:val="24"/>
          <w:szCs w:val="24"/>
        </w:rPr>
        <w:t xml:space="preserve"> z účtovnej závierky za rok 2017</w:t>
      </w:r>
      <w:r w:rsidRPr="00834E86">
        <w:rPr>
          <w:rFonts w:ascii="Calibri" w:hAnsi="Calibri"/>
          <w:b/>
          <w:sz w:val="24"/>
          <w:szCs w:val="24"/>
        </w:rPr>
        <w:t>:</w:t>
      </w:r>
    </w:p>
    <w:p w:rsidR="00E70122" w:rsidRPr="00254A99" w:rsidRDefault="00E70122" w:rsidP="00254A99">
      <w:pPr>
        <w:pStyle w:val="Bezriadkovania"/>
        <w:jc w:val="both"/>
        <w:rPr>
          <w:rFonts w:ascii="Calibri" w:hAnsi="Calibri"/>
          <w:b/>
        </w:rPr>
      </w:pPr>
    </w:p>
    <w:tbl>
      <w:tblPr>
        <w:tblW w:w="88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02"/>
        <w:gridCol w:w="1701"/>
        <w:gridCol w:w="2410"/>
        <w:gridCol w:w="1717"/>
      </w:tblGrid>
      <w:tr w:rsidR="00E70122" w:rsidRPr="00B23D45" w:rsidTr="00BE2F67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Náklady: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Účet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 xml:space="preserve">Hlavná </w:t>
            </w:r>
            <w:r w:rsidRPr="00E7012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činnosť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podnikateľská činnosť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spolu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Spotreba materiálu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215 796,06 €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215 796,06 €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Spotreba energie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193 165,73 €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193 165,73 €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Opravy a udrž.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69 169,40 €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69 169,40 €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Cestovné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      93,20 €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93,20 €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Reprezentácia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    122,59 €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122,59 €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Ostatné služby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45 429,86 €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45 429,86 €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Mzdové náklady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301 045,66 €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301 045,66 €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Zákonné soc.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</w:t>
            </w:r>
            <w:r w:rsidR="00BE2F67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poistenie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100 150,21 €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100 150,21 €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Ostatné soc</w:t>
            </w: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</w:t>
            </w:r>
            <w:r w:rsidR="00BE2F67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poistenie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 2 607,34 €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2 607,34 €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Zákonné </w:t>
            </w:r>
            <w:proofErr w:type="spellStart"/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soc.N</w:t>
            </w:r>
            <w:proofErr w:type="spellEnd"/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.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16 698,74 €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16 698,74 €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Daň z MV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    696,50 €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696,50 €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Daň z nehnuteľnosti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 9 306,92 €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9 306,92 €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BE2F67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Ostatné dane a poplatky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 1 314,39 €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1 314,39 €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Iné ostatné náklady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11 067,31 €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11 067,31 €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odpisy DHM a DNM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94 453,16 €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 6 120,55 €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100 573,71 € </w:t>
            </w:r>
          </w:p>
        </w:tc>
      </w:tr>
      <w:tr w:rsidR="00E70122" w:rsidRPr="00E91EF1" w:rsidTr="00BE2F67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91EF1" w:rsidRDefault="00E70122" w:rsidP="00E70122">
            <w:pPr>
              <w:rPr>
                <w:rFonts w:ascii="Calibri" w:eastAsia="Times New Roman" w:hAnsi="Calibri" w:cs="Times New Roman"/>
                <w:bCs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Times New Roman"/>
                <w:bCs/>
                <w:color w:val="000000"/>
                <w:lang w:val="sk-SK" w:eastAsia="sk-SK"/>
              </w:rPr>
              <w:t>Náklady spolu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91EF1" w:rsidRDefault="00E70122" w:rsidP="00E70122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Times New Roman"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91EF1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94 453,16 €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91EF1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972 784,46 €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0122" w:rsidRPr="00E91EF1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1 067 237,62 € </w:t>
            </w:r>
          </w:p>
        </w:tc>
      </w:tr>
    </w:tbl>
    <w:p w:rsidR="00254A99" w:rsidRDefault="00254A99" w:rsidP="00254A99">
      <w:pPr>
        <w:pStyle w:val="Bezriadkovania"/>
        <w:jc w:val="both"/>
        <w:rPr>
          <w:rFonts w:ascii="Calibri" w:hAnsi="Calibri"/>
          <w:b/>
        </w:rPr>
      </w:pP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02"/>
        <w:gridCol w:w="1701"/>
        <w:gridCol w:w="2445"/>
        <w:gridCol w:w="1540"/>
      </w:tblGrid>
      <w:tr w:rsidR="00E70122" w:rsidRPr="00E70122" w:rsidTr="00BE2F67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Výnosy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Účet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B23D45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 xml:space="preserve">hlavná </w:t>
            </w:r>
            <w:r w:rsidRPr="00E7012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činnosť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podnikateľská činnosť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spolu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Tržby za vlastné výrobky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601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87 993,57 €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87 993,57 €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predaj služieb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602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303 222,79 €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303 222,79 €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úroky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        2,68 €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2,68 €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Iné ostatné výnosy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649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161 874,55 €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161 874,55 €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Výnosy z nájmu majetku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  10 965,04 €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10 965,04 €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Dotácie na prevádzku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94 453,16 €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94 453,16 € </w:t>
            </w:r>
          </w:p>
        </w:tc>
      </w:tr>
      <w:tr w:rsidR="00E70122" w:rsidRPr="00E91EF1" w:rsidTr="00BE2F67">
        <w:trPr>
          <w:trHeight w:val="33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91EF1" w:rsidRDefault="00E70122" w:rsidP="00E70122">
            <w:pPr>
              <w:rPr>
                <w:rFonts w:ascii="Calibri" w:eastAsia="Times New Roman" w:hAnsi="Calibri" w:cs="Times New Roman"/>
                <w:bCs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Times New Roman"/>
                <w:bCs/>
                <w:color w:val="000000"/>
                <w:lang w:val="sk-SK" w:eastAsia="sk-SK"/>
              </w:rPr>
              <w:t>Výnosy spolu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22" w:rsidRPr="00E91EF1" w:rsidRDefault="00E70122" w:rsidP="00E70122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91EF1" w:rsidRDefault="00E70122" w:rsidP="00E70122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94 453,16 €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91EF1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            564 058,63 €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91EF1" w:rsidRDefault="00E70122" w:rsidP="00E70122">
            <w:pPr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91EF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658 511,79 € </w:t>
            </w:r>
          </w:p>
        </w:tc>
      </w:tr>
      <w:tr w:rsidR="00E70122" w:rsidRPr="00E70122" w:rsidTr="00BE2F67">
        <w:trPr>
          <w:trHeight w:val="330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HV pred zdanením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 xml:space="preserve">                 -   € 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color w:val="000000"/>
                <w:lang w:val="sk-SK" w:eastAsia="sk-SK"/>
              </w:rPr>
              <w:t xml:space="preserve">-             408 725,83 €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0122" w:rsidRPr="00E70122" w:rsidRDefault="00E70122" w:rsidP="00E70122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E70122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 xml:space="preserve">- 408 725,83 € </w:t>
            </w:r>
          </w:p>
        </w:tc>
      </w:tr>
    </w:tbl>
    <w:p w:rsidR="00E70122" w:rsidRPr="00254A99" w:rsidRDefault="00E70122" w:rsidP="00254A99">
      <w:pPr>
        <w:pStyle w:val="Bezriadkovania"/>
        <w:jc w:val="both"/>
        <w:rPr>
          <w:rFonts w:ascii="Calibri" w:hAnsi="Calibri"/>
          <w:b/>
        </w:rPr>
      </w:pPr>
    </w:p>
    <w:p w:rsidR="00954F83" w:rsidRDefault="00AD63E7" w:rsidP="00834E86">
      <w:pPr>
        <w:jc w:val="both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 xml:space="preserve">AKTUÁLNY STAV PREDAJA </w:t>
      </w:r>
    </w:p>
    <w:p w:rsidR="00834E86" w:rsidRPr="00834E86" w:rsidRDefault="00834E86" w:rsidP="00834E86">
      <w:pPr>
        <w:jc w:val="both"/>
        <w:rPr>
          <w:rFonts w:ascii="Calibri" w:hAnsi="Calibri"/>
          <w:b/>
          <w:lang w:val="sk-SK"/>
        </w:rPr>
      </w:pPr>
    </w:p>
    <w:p w:rsidR="00834E86" w:rsidRPr="00834E86" w:rsidRDefault="00AD63E7" w:rsidP="00834E86">
      <w:pPr>
        <w:spacing w:after="160" w:line="259" w:lineRule="auto"/>
        <w:jc w:val="both"/>
        <w:rPr>
          <w:rFonts w:ascii="Calibri" w:eastAsia="Calibri" w:hAnsi="Calibri" w:cs="Times New Roman"/>
          <w:lang w:val="sk-SK"/>
        </w:rPr>
      </w:pPr>
      <w:r w:rsidRPr="000D1BB1">
        <w:rPr>
          <w:rFonts w:ascii="Calibri" w:eastAsia="Calibri" w:hAnsi="Calibri" w:cs="Times New Roman"/>
          <w:lang w:val="sk-SK"/>
        </w:rPr>
        <w:t xml:space="preserve">Na základe rozhodnutia vedenia STU je areál ÚZ STU Gabčíkovo na predaj. Dňa 28.3.2017 bol vypracovaný znaleckou organizáciou FINDEX, s.r.o., </w:t>
      </w:r>
      <w:proofErr w:type="spellStart"/>
      <w:r w:rsidRPr="000D1BB1">
        <w:rPr>
          <w:rFonts w:ascii="Calibri" w:eastAsia="Calibri" w:hAnsi="Calibri" w:cs="Times New Roman"/>
          <w:lang w:val="sk-SK"/>
        </w:rPr>
        <w:t>Čajakova</w:t>
      </w:r>
      <w:proofErr w:type="spellEnd"/>
      <w:r w:rsidRPr="000D1BB1">
        <w:rPr>
          <w:rFonts w:ascii="Calibri" w:eastAsia="Calibri" w:hAnsi="Calibri" w:cs="Times New Roman"/>
          <w:lang w:val="sk-SK"/>
        </w:rPr>
        <w:t xml:space="preserve"> 21, 811 05 Bratislava znalecký posudok, v ktorom je stanovená hodnota areálu ÚZ v Gabčíkove na 7 340 000 €. </w:t>
      </w:r>
      <w:r w:rsidR="00954F83">
        <w:rPr>
          <w:rFonts w:ascii="Calibri" w:eastAsia="Calibri" w:hAnsi="Calibri" w:cs="Times New Roman"/>
          <w:lang w:val="sk-SK"/>
        </w:rPr>
        <w:t xml:space="preserve">V mesiacoch september a október 2018 prebehlo prvé kolo verejno – obchodnej súťaže s cieľom predať areál ÚZ STU Gabčíkovo. Celkovo bolo oslovených 94 potencionálnych investorov, inzerát bol publikovaný celkovo 5 krát v rôznych </w:t>
      </w:r>
      <w:r w:rsidR="001461A1">
        <w:rPr>
          <w:rFonts w:ascii="Calibri" w:eastAsia="Calibri" w:hAnsi="Calibri" w:cs="Times New Roman"/>
          <w:lang w:val="sk-SK"/>
        </w:rPr>
        <w:t>médiách</w:t>
      </w:r>
      <w:r w:rsidR="00954F83">
        <w:rPr>
          <w:rFonts w:ascii="Calibri" w:eastAsia="Calibri" w:hAnsi="Calibri" w:cs="Times New Roman"/>
          <w:lang w:val="sk-SK"/>
        </w:rPr>
        <w:t>. Záujem prejavila j</w:t>
      </w:r>
      <w:r w:rsidR="001461A1">
        <w:rPr>
          <w:rFonts w:ascii="Calibri" w:eastAsia="Calibri" w:hAnsi="Calibri" w:cs="Times New Roman"/>
          <w:lang w:val="sk-SK"/>
        </w:rPr>
        <w:t>edna spoločnosť (</w:t>
      </w:r>
      <w:proofErr w:type="spellStart"/>
      <w:r w:rsidR="001461A1">
        <w:rPr>
          <w:rFonts w:ascii="Calibri" w:eastAsia="Calibri" w:hAnsi="Calibri" w:cs="Times New Roman"/>
          <w:lang w:val="sk-SK"/>
        </w:rPr>
        <w:t>Workhaus</w:t>
      </w:r>
      <w:proofErr w:type="spellEnd"/>
      <w:r w:rsidR="001461A1">
        <w:rPr>
          <w:rFonts w:ascii="Calibri" w:eastAsia="Calibri" w:hAnsi="Calibri" w:cs="Times New Roman"/>
          <w:lang w:val="sk-SK"/>
        </w:rPr>
        <w:t xml:space="preserve">), ktorá však </w:t>
      </w:r>
      <w:r w:rsidR="001461A1">
        <w:rPr>
          <w:rFonts w:ascii="Calibri" w:eastAsia="Calibri" w:hAnsi="Calibri" w:cs="Times New Roman"/>
          <w:lang w:val="sk-SK"/>
        </w:rPr>
        <w:lastRenderedPageBreak/>
        <w:t>po fyzickej obhliadke areálu nepredložila cenovú ponuku</w:t>
      </w:r>
      <w:r w:rsidR="00954F83">
        <w:rPr>
          <w:rFonts w:ascii="Calibri" w:eastAsia="Calibri" w:hAnsi="Calibri" w:cs="Times New Roman"/>
          <w:lang w:val="sk-SK"/>
        </w:rPr>
        <w:t xml:space="preserve">. </w:t>
      </w:r>
      <w:r w:rsidRPr="000D1BB1">
        <w:rPr>
          <w:rFonts w:ascii="Calibri" w:eastAsia="Calibri" w:hAnsi="Calibri" w:cs="Times New Roman"/>
          <w:lang w:val="sk-SK"/>
        </w:rPr>
        <w:t>V</w:t>
      </w:r>
      <w:r w:rsidR="00B23D45">
        <w:rPr>
          <w:rFonts w:ascii="Calibri" w:eastAsia="Calibri" w:hAnsi="Calibri" w:cs="Times New Roman"/>
          <w:lang w:val="sk-SK"/>
        </w:rPr>
        <w:t> </w:t>
      </w:r>
      <w:r w:rsidRPr="000D1BB1">
        <w:rPr>
          <w:rFonts w:ascii="Calibri" w:eastAsia="Calibri" w:hAnsi="Calibri" w:cs="Times New Roman"/>
          <w:lang w:val="sk-SK"/>
        </w:rPr>
        <w:t xml:space="preserve">súčasnosti </w:t>
      </w:r>
      <w:r w:rsidR="00B23D45">
        <w:rPr>
          <w:rFonts w:ascii="Calibri" w:eastAsia="Calibri" w:hAnsi="Calibri" w:cs="Times New Roman"/>
          <w:lang w:val="sk-SK"/>
        </w:rPr>
        <w:t>prebieha</w:t>
      </w:r>
      <w:r w:rsidRPr="000D1BB1">
        <w:rPr>
          <w:rFonts w:ascii="Calibri" w:eastAsia="Calibri" w:hAnsi="Calibri" w:cs="Times New Roman"/>
          <w:lang w:val="sk-SK"/>
        </w:rPr>
        <w:t xml:space="preserve"> </w:t>
      </w:r>
      <w:r w:rsidR="00B23D45">
        <w:rPr>
          <w:rFonts w:ascii="Calibri" w:eastAsia="Calibri" w:hAnsi="Calibri" w:cs="Times New Roman"/>
          <w:lang w:val="sk-SK"/>
        </w:rPr>
        <w:t>opakovaná</w:t>
      </w:r>
      <w:r>
        <w:rPr>
          <w:rFonts w:ascii="Calibri" w:eastAsia="Calibri" w:hAnsi="Calibri" w:cs="Times New Roman"/>
          <w:lang w:val="sk-SK"/>
        </w:rPr>
        <w:t xml:space="preserve"> </w:t>
      </w:r>
      <w:r w:rsidR="00B23D45">
        <w:rPr>
          <w:rFonts w:ascii="Calibri" w:eastAsia="Calibri" w:hAnsi="Calibri" w:cs="Times New Roman"/>
          <w:lang w:val="sk-SK"/>
        </w:rPr>
        <w:t>verejno – obchodná</w:t>
      </w:r>
      <w:r w:rsidRPr="000D1BB1">
        <w:rPr>
          <w:rFonts w:ascii="Calibri" w:eastAsia="Calibri" w:hAnsi="Calibri" w:cs="Times New Roman"/>
          <w:lang w:val="sk-SK"/>
        </w:rPr>
        <w:t xml:space="preserve"> súťaž </w:t>
      </w:r>
      <w:r w:rsidR="00B23D45">
        <w:rPr>
          <w:rFonts w:ascii="Calibri" w:eastAsia="Calibri" w:hAnsi="Calibri" w:cs="Times New Roman"/>
          <w:lang w:val="sk-SK"/>
        </w:rPr>
        <w:t>na predaj areálu, ktorú zabezpečuje</w:t>
      </w:r>
      <w:r w:rsidRPr="000D1BB1">
        <w:rPr>
          <w:rFonts w:ascii="Calibri" w:eastAsia="Calibri" w:hAnsi="Calibri" w:cs="Times New Roman"/>
          <w:lang w:val="sk-SK"/>
        </w:rPr>
        <w:t xml:space="preserve"> spoločnosť Colliers S</w:t>
      </w:r>
      <w:r w:rsidR="00B23D45">
        <w:rPr>
          <w:rFonts w:ascii="Calibri" w:eastAsia="Calibri" w:hAnsi="Calibri" w:cs="Times New Roman"/>
          <w:lang w:val="sk-SK"/>
        </w:rPr>
        <w:t>lovakia, s.r.o. na základe zmluvy o sprostredkovaní</w:t>
      </w:r>
      <w:r w:rsidRPr="000D1BB1">
        <w:rPr>
          <w:rFonts w:ascii="Calibri" w:eastAsia="Calibri" w:hAnsi="Calibri" w:cs="Times New Roman"/>
          <w:lang w:val="sk-SK"/>
        </w:rPr>
        <w:t xml:space="preserve">. </w:t>
      </w:r>
    </w:p>
    <w:p w:rsidR="00254A99" w:rsidRPr="00254A99" w:rsidRDefault="00254A99" w:rsidP="00254A99">
      <w:pPr>
        <w:jc w:val="both"/>
        <w:rPr>
          <w:rFonts w:ascii="Calibri" w:hAnsi="Calibri"/>
          <w:b/>
          <w:lang w:val="sk-SK"/>
        </w:rPr>
      </w:pPr>
      <w:r w:rsidRPr="00254A99">
        <w:rPr>
          <w:rFonts w:ascii="Calibri" w:hAnsi="Calibri"/>
          <w:b/>
          <w:lang w:val="sk-SK"/>
        </w:rPr>
        <w:t>ZÁVER</w:t>
      </w:r>
    </w:p>
    <w:p w:rsidR="00254A99" w:rsidRPr="00254A99" w:rsidRDefault="00254A99" w:rsidP="00254A99">
      <w:pPr>
        <w:jc w:val="both"/>
        <w:rPr>
          <w:rFonts w:ascii="Calibri" w:hAnsi="Calibri"/>
          <w:lang w:val="sk-SK"/>
        </w:rPr>
      </w:pPr>
      <w:r w:rsidRPr="00254A99">
        <w:rPr>
          <w:rFonts w:ascii="Calibri" w:hAnsi="Calibri"/>
          <w:lang w:val="sk-SK"/>
        </w:rPr>
        <w:t xml:space="preserve"> </w:t>
      </w:r>
    </w:p>
    <w:p w:rsidR="00834E86" w:rsidRDefault="00254A99" w:rsidP="00834E86">
      <w:pPr>
        <w:jc w:val="both"/>
        <w:rPr>
          <w:rFonts w:ascii="Calibri" w:hAnsi="Calibri"/>
          <w:lang w:val="sk-SK"/>
        </w:rPr>
      </w:pPr>
      <w:r w:rsidRPr="00254A99">
        <w:rPr>
          <w:rFonts w:ascii="Calibri" w:hAnsi="Calibri"/>
          <w:lang w:val="sk-SK"/>
        </w:rPr>
        <w:t>Hl</w:t>
      </w:r>
      <w:r w:rsidR="00BD3FF9">
        <w:rPr>
          <w:rFonts w:ascii="Calibri" w:hAnsi="Calibri"/>
          <w:lang w:val="sk-SK"/>
        </w:rPr>
        <w:t xml:space="preserve">avným </w:t>
      </w:r>
      <w:r w:rsidR="00E70122">
        <w:rPr>
          <w:rFonts w:ascii="Calibri" w:hAnsi="Calibri"/>
          <w:lang w:val="sk-SK"/>
        </w:rPr>
        <w:t>cieľom</w:t>
      </w:r>
      <w:r w:rsidR="00BD3FF9">
        <w:rPr>
          <w:rFonts w:ascii="Calibri" w:hAnsi="Calibri"/>
          <w:lang w:val="sk-SK"/>
        </w:rPr>
        <w:t xml:space="preserve"> </w:t>
      </w:r>
      <w:r w:rsidR="00834E86">
        <w:rPr>
          <w:rFonts w:ascii="Calibri" w:hAnsi="Calibri"/>
          <w:lang w:val="sk-SK"/>
        </w:rPr>
        <w:t>Účelového zariadenia STU</w:t>
      </w:r>
      <w:r w:rsidR="00FF73EE">
        <w:rPr>
          <w:rFonts w:ascii="Calibri" w:hAnsi="Calibri"/>
          <w:lang w:val="sk-SK"/>
        </w:rPr>
        <w:t xml:space="preserve"> v roku 2018</w:t>
      </w:r>
      <w:r w:rsidR="00807E0D">
        <w:rPr>
          <w:rFonts w:ascii="Calibri" w:hAnsi="Calibri"/>
          <w:lang w:val="sk-SK"/>
        </w:rPr>
        <w:t xml:space="preserve"> bolo zlepšenie hospodárskeho</w:t>
      </w:r>
      <w:r w:rsidR="00BD3FF9">
        <w:rPr>
          <w:rFonts w:ascii="Calibri" w:hAnsi="Calibri"/>
          <w:lang w:val="sk-SK"/>
        </w:rPr>
        <w:t xml:space="preserve"> výsledku oproti predchádzajúcemu obdobiu</w:t>
      </w:r>
      <w:r w:rsidR="00807E0D">
        <w:rPr>
          <w:rFonts w:ascii="Calibri" w:hAnsi="Calibri"/>
          <w:lang w:val="sk-SK"/>
        </w:rPr>
        <w:t xml:space="preserve">. </w:t>
      </w:r>
      <w:r w:rsidR="00B31B59">
        <w:rPr>
          <w:rFonts w:ascii="Calibri" w:hAnsi="Calibri"/>
          <w:lang w:val="sk-SK"/>
        </w:rPr>
        <w:t>Tento cieľ sa podarilo naplniť a ako je vidieť z účtovných závierok za roky 2017 a 2018, hospodársky výsledok sa medziročne zmenil z  - 408 725 € v roku 2017 na 33 779 v roku 2018. K tejto pozitívnej zmene došlo hlavne z dôvodu obsadenosti areálu spoločnosťou VW Slovakia a tiež ponížením prevádzkových nákladov.</w:t>
      </w:r>
      <w:r w:rsidR="00E91EF1">
        <w:rPr>
          <w:rFonts w:ascii="Calibri" w:hAnsi="Calibri"/>
          <w:lang w:val="sk-SK"/>
        </w:rPr>
        <w:t xml:space="preserve"> </w:t>
      </w:r>
    </w:p>
    <w:p w:rsidR="00254A99" w:rsidRPr="00254A99" w:rsidRDefault="00254A99" w:rsidP="00254A99">
      <w:pPr>
        <w:ind w:firstLine="708"/>
        <w:jc w:val="both"/>
        <w:rPr>
          <w:rFonts w:ascii="Calibri" w:hAnsi="Calibri"/>
          <w:lang w:val="sk-SK"/>
        </w:rPr>
      </w:pPr>
    </w:p>
    <w:p w:rsidR="00254A99" w:rsidRPr="00254A99" w:rsidRDefault="00254A99" w:rsidP="00254A99">
      <w:pPr>
        <w:ind w:firstLine="708"/>
        <w:jc w:val="both"/>
        <w:rPr>
          <w:rFonts w:ascii="Calibri" w:hAnsi="Calibri"/>
          <w:lang w:val="sk-SK"/>
        </w:rPr>
      </w:pPr>
    </w:p>
    <w:p w:rsidR="00254A99" w:rsidRPr="00254A99" w:rsidRDefault="00254A99" w:rsidP="00254A99">
      <w:pPr>
        <w:ind w:firstLine="708"/>
        <w:jc w:val="both"/>
        <w:rPr>
          <w:rFonts w:ascii="Calibri" w:hAnsi="Calibri"/>
          <w:lang w:val="sk-SK"/>
        </w:rPr>
      </w:pPr>
    </w:p>
    <w:p w:rsidR="00254A99" w:rsidRPr="00254A99" w:rsidRDefault="00254A99" w:rsidP="00254A99">
      <w:pPr>
        <w:ind w:firstLine="708"/>
        <w:jc w:val="both"/>
        <w:rPr>
          <w:rFonts w:ascii="Calibri" w:hAnsi="Calibri"/>
          <w:lang w:val="sk-SK"/>
        </w:rPr>
      </w:pPr>
    </w:p>
    <w:p w:rsidR="00254A99" w:rsidRPr="00254A99" w:rsidRDefault="00254A99" w:rsidP="00254A99">
      <w:pPr>
        <w:jc w:val="both"/>
        <w:rPr>
          <w:rFonts w:ascii="Calibri" w:hAnsi="Calibri"/>
          <w:lang w:val="sk-SK"/>
        </w:rPr>
      </w:pPr>
      <w:r w:rsidRPr="00254A99">
        <w:rPr>
          <w:rFonts w:ascii="Calibri" w:hAnsi="Calibri"/>
          <w:lang w:val="sk-SK"/>
        </w:rPr>
        <w:t xml:space="preserve"> </w:t>
      </w:r>
    </w:p>
    <w:p w:rsidR="0048608E" w:rsidRPr="00254A99" w:rsidRDefault="0048608E" w:rsidP="0048608E">
      <w:pPr>
        <w:pStyle w:val="Bezriadkovania"/>
        <w:rPr>
          <w:rFonts w:asciiTheme="majorHAnsi" w:hAnsiTheme="majorHAnsi" w:cstheme="majorHAnsi"/>
          <w:sz w:val="24"/>
          <w:szCs w:val="24"/>
        </w:rPr>
      </w:pP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="009B29ED" w:rsidRPr="00254A99">
        <w:rPr>
          <w:rFonts w:asciiTheme="majorHAnsi" w:hAnsiTheme="majorHAnsi" w:cstheme="majorHAnsi"/>
          <w:sz w:val="24"/>
          <w:szCs w:val="24"/>
        </w:rPr>
        <w:t xml:space="preserve"> </w:t>
      </w:r>
      <w:r w:rsidRPr="00254A99">
        <w:rPr>
          <w:rFonts w:asciiTheme="majorHAnsi" w:hAnsiTheme="majorHAnsi" w:cstheme="majorHAnsi"/>
          <w:sz w:val="24"/>
          <w:szCs w:val="24"/>
        </w:rPr>
        <w:t>Ing. Jozef Benka</w:t>
      </w:r>
    </w:p>
    <w:p w:rsidR="0048608E" w:rsidRPr="00254A99" w:rsidRDefault="0048608E" w:rsidP="0048608E">
      <w:pPr>
        <w:pStyle w:val="Bezriadkovania"/>
        <w:rPr>
          <w:rFonts w:asciiTheme="majorHAnsi" w:hAnsiTheme="majorHAnsi" w:cstheme="majorHAnsi"/>
          <w:sz w:val="24"/>
          <w:szCs w:val="24"/>
        </w:rPr>
      </w:pP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  <w:t>poverený riadením ÚZ STU Gabčíkovo</w:t>
      </w:r>
    </w:p>
    <w:p w:rsidR="0096333A" w:rsidRPr="00254A99" w:rsidRDefault="0096333A" w:rsidP="0096333A">
      <w:pPr>
        <w:spacing w:after="160" w:line="259" w:lineRule="auto"/>
        <w:jc w:val="both"/>
        <w:rPr>
          <w:rFonts w:ascii="Calibri" w:eastAsia="Calibri" w:hAnsi="Calibri" w:cs="Times New Roman"/>
          <w:lang w:val="sk-SK"/>
        </w:rPr>
      </w:pPr>
    </w:p>
    <w:p w:rsidR="0096333A" w:rsidRPr="00254A99" w:rsidRDefault="0096333A" w:rsidP="0096333A">
      <w:pPr>
        <w:spacing w:after="160" w:line="259" w:lineRule="auto"/>
        <w:rPr>
          <w:rFonts w:ascii="Calibri" w:eastAsia="Calibri" w:hAnsi="Calibri" w:cs="Times New Roman"/>
          <w:lang w:val="sk-SK"/>
        </w:rPr>
      </w:pPr>
    </w:p>
    <w:p w:rsidR="0096333A" w:rsidRPr="00254A99" w:rsidRDefault="0096333A" w:rsidP="0096333A">
      <w:pPr>
        <w:spacing w:after="160" w:line="259" w:lineRule="auto"/>
        <w:rPr>
          <w:rFonts w:ascii="Calibri" w:eastAsia="Calibri" w:hAnsi="Calibri" w:cs="Times New Roman"/>
          <w:lang w:val="sk-SK"/>
        </w:rPr>
      </w:pPr>
    </w:p>
    <w:p w:rsidR="0096333A" w:rsidRPr="00254A99" w:rsidRDefault="0096333A" w:rsidP="0096333A">
      <w:pPr>
        <w:spacing w:after="160" w:line="259" w:lineRule="auto"/>
        <w:rPr>
          <w:rFonts w:ascii="Calibri" w:eastAsia="Calibri" w:hAnsi="Calibri" w:cs="Times New Roman"/>
          <w:lang w:val="sk-SK"/>
        </w:rPr>
      </w:pPr>
    </w:p>
    <w:p w:rsidR="0096333A" w:rsidRPr="00254A99" w:rsidRDefault="0096333A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</w:p>
    <w:p w:rsidR="005C53E8" w:rsidRPr="00254A99" w:rsidRDefault="005C53E8" w:rsidP="00CB395A">
      <w:pPr>
        <w:pStyle w:val="Default"/>
        <w:jc w:val="both"/>
        <w:rPr>
          <w:rFonts w:asciiTheme="majorHAnsi" w:hAnsiTheme="majorHAnsi" w:cs="Times New Roman"/>
          <w:lang w:val="sk-SK"/>
        </w:rPr>
      </w:pPr>
    </w:p>
    <w:sectPr w:rsidR="005C53E8" w:rsidRPr="00254A99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CD" w:rsidRDefault="004B43CD" w:rsidP="0030006A">
      <w:r>
        <w:separator/>
      </w:r>
    </w:p>
  </w:endnote>
  <w:endnote w:type="continuationSeparator" w:id="0">
    <w:p w:rsidR="004B43CD" w:rsidRDefault="004B43CD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A5" w:rsidRDefault="00C86DA5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86DA5" w:rsidRDefault="00C86DA5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86DA5" w:rsidRDefault="00C86DA5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A5" w:rsidRDefault="00C86DA5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A5" w:rsidRPr="00F72759" w:rsidRDefault="00C86DA5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9436BA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C86DA5" w:rsidRDefault="00C86DA5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CD" w:rsidRDefault="004B43CD" w:rsidP="0030006A">
      <w:r>
        <w:separator/>
      </w:r>
    </w:p>
  </w:footnote>
  <w:footnote w:type="continuationSeparator" w:id="0">
    <w:p w:rsidR="004B43CD" w:rsidRDefault="004B43CD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A5" w:rsidRDefault="00C86DA5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A5" w:rsidRDefault="00C86DA5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CD3AF" wp14:editId="1BC1BAB7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635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6DA5" w:rsidRDefault="009436BA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04. zasadnutie V </w:t>
                          </w:r>
                          <w:r w:rsidR="00C86DA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STU, 06.03.2019</w:t>
                          </w:r>
                        </w:p>
                        <w:p w:rsidR="00C86DA5" w:rsidRDefault="00C86DA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Správa o stave a hospodárení ÚZ STU Gabčíkovo za rok 2018</w:t>
                          </w:r>
                        </w:p>
                        <w:p w:rsidR="00C86DA5" w:rsidRPr="00A20866" w:rsidRDefault="00C86DA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Dušan Faktor,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" filled="f" stroked="f">
              <v:path arrowok="t"/>
              <v:textbox>
                <w:txbxContent>
                  <w:p w:rsidR="00C86DA5" w:rsidRDefault="009436BA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04. zasadnutie V </w:t>
                    </w:r>
                    <w:r w:rsidR="00C86DA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STU, 06.03.2019</w:t>
                    </w:r>
                  </w:p>
                  <w:p w:rsidR="00C86DA5" w:rsidRDefault="00C86DA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Správa o stave a hospodárení ÚZ STU Gabčíkovo za rok 2018</w:t>
                    </w:r>
                  </w:p>
                  <w:p w:rsidR="00C86DA5" w:rsidRPr="00A20866" w:rsidRDefault="00C86DA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Dušan Faktor,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224C5A9" wp14:editId="07BFD3AB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14E"/>
    <w:multiLevelType w:val="hybridMultilevel"/>
    <w:tmpl w:val="A704E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42400"/>
    <w:multiLevelType w:val="hybridMultilevel"/>
    <w:tmpl w:val="6D0A9636"/>
    <w:lvl w:ilvl="0" w:tplc="89227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B6175A"/>
    <w:multiLevelType w:val="hybridMultilevel"/>
    <w:tmpl w:val="6A34B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34"/>
  </w:num>
  <w:num w:numId="5">
    <w:abstractNumId w:val="4"/>
  </w:num>
  <w:num w:numId="6">
    <w:abstractNumId w:val="14"/>
  </w:num>
  <w:num w:numId="7">
    <w:abstractNumId w:val="10"/>
  </w:num>
  <w:num w:numId="8">
    <w:abstractNumId w:val="20"/>
  </w:num>
  <w:num w:numId="9">
    <w:abstractNumId w:val="18"/>
  </w:num>
  <w:num w:numId="10">
    <w:abstractNumId w:val="13"/>
  </w:num>
  <w:num w:numId="11">
    <w:abstractNumId w:val="31"/>
  </w:num>
  <w:num w:numId="12">
    <w:abstractNumId w:val="7"/>
  </w:num>
  <w:num w:numId="13">
    <w:abstractNumId w:val="23"/>
  </w:num>
  <w:num w:numId="14">
    <w:abstractNumId w:val="30"/>
  </w:num>
  <w:num w:numId="15">
    <w:abstractNumId w:val="6"/>
  </w:num>
  <w:num w:numId="16">
    <w:abstractNumId w:val="16"/>
  </w:num>
  <w:num w:numId="17">
    <w:abstractNumId w:val="8"/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4"/>
  </w:num>
  <w:num w:numId="22">
    <w:abstractNumId w:val="3"/>
  </w:num>
  <w:num w:numId="23">
    <w:abstractNumId w:val="36"/>
  </w:num>
  <w:num w:numId="24">
    <w:abstractNumId w:val="15"/>
  </w:num>
  <w:num w:numId="25">
    <w:abstractNumId w:val="35"/>
  </w:num>
  <w:num w:numId="26">
    <w:abstractNumId w:val="27"/>
  </w:num>
  <w:num w:numId="27">
    <w:abstractNumId w:val="12"/>
  </w:num>
  <w:num w:numId="28">
    <w:abstractNumId w:val="29"/>
  </w:num>
  <w:num w:numId="29">
    <w:abstractNumId w:val="1"/>
  </w:num>
  <w:num w:numId="30">
    <w:abstractNumId w:val="32"/>
  </w:num>
  <w:num w:numId="31">
    <w:abstractNumId w:val="2"/>
  </w:num>
  <w:num w:numId="32">
    <w:abstractNumId w:val="0"/>
  </w:num>
  <w:num w:numId="33">
    <w:abstractNumId w:val="26"/>
  </w:num>
  <w:num w:numId="34">
    <w:abstractNumId w:val="28"/>
  </w:num>
  <w:num w:numId="35">
    <w:abstractNumId w:val="19"/>
  </w:num>
  <w:num w:numId="36">
    <w:abstractNumId w:val="5"/>
  </w:num>
  <w:num w:numId="37">
    <w:abstractNumId w:val="17"/>
  </w:num>
  <w:num w:numId="3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33129"/>
    <w:rsid w:val="00033BEA"/>
    <w:rsid w:val="000343D7"/>
    <w:rsid w:val="00036F48"/>
    <w:rsid w:val="00040A79"/>
    <w:rsid w:val="00043B1E"/>
    <w:rsid w:val="0006307B"/>
    <w:rsid w:val="00067FC1"/>
    <w:rsid w:val="00070B9E"/>
    <w:rsid w:val="00080573"/>
    <w:rsid w:val="00080A1F"/>
    <w:rsid w:val="00080A61"/>
    <w:rsid w:val="0009293E"/>
    <w:rsid w:val="00096686"/>
    <w:rsid w:val="000A6D3A"/>
    <w:rsid w:val="000C12CF"/>
    <w:rsid w:val="000D1BB1"/>
    <w:rsid w:val="000E6EED"/>
    <w:rsid w:val="000E75A1"/>
    <w:rsid w:val="000F3EE8"/>
    <w:rsid w:val="000F79A1"/>
    <w:rsid w:val="00111106"/>
    <w:rsid w:val="0012074B"/>
    <w:rsid w:val="00120C86"/>
    <w:rsid w:val="0012316A"/>
    <w:rsid w:val="001234F7"/>
    <w:rsid w:val="00124A7C"/>
    <w:rsid w:val="001353B9"/>
    <w:rsid w:val="0014594D"/>
    <w:rsid w:val="001461A1"/>
    <w:rsid w:val="00160F38"/>
    <w:rsid w:val="00171408"/>
    <w:rsid w:val="00174735"/>
    <w:rsid w:val="00174D4C"/>
    <w:rsid w:val="00177481"/>
    <w:rsid w:val="00186999"/>
    <w:rsid w:val="001879B5"/>
    <w:rsid w:val="001A0C97"/>
    <w:rsid w:val="001A5B63"/>
    <w:rsid w:val="001B4C78"/>
    <w:rsid w:val="001C060B"/>
    <w:rsid w:val="001C2A15"/>
    <w:rsid w:val="001C4454"/>
    <w:rsid w:val="001C57C6"/>
    <w:rsid w:val="001C6CA3"/>
    <w:rsid w:val="001D1012"/>
    <w:rsid w:val="001D5227"/>
    <w:rsid w:val="001F0DC0"/>
    <w:rsid w:val="0020522D"/>
    <w:rsid w:val="00206FB7"/>
    <w:rsid w:val="00214A5E"/>
    <w:rsid w:val="00221A86"/>
    <w:rsid w:val="00224C5A"/>
    <w:rsid w:val="002323C0"/>
    <w:rsid w:val="00244EB4"/>
    <w:rsid w:val="00246CCA"/>
    <w:rsid w:val="00250EBE"/>
    <w:rsid w:val="00254A99"/>
    <w:rsid w:val="00255FB3"/>
    <w:rsid w:val="00264784"/>
    <w:rsid w:val="00264CBF"/>
    <w:rsid w:val="0026567C"/>
    <w:rsid w:val="002659E5"/>
    <w:rsid w:val="00274482"/>
    <w:rsid w:val="00274843"/>
    <w:rsid w:val="002958F8"/>
    <w:rsid w:val="002B0E19"/>
    <w:rsid w:val="002B490F"/>
    <w:rsid w:val="002B7307"/>
    <w:rsid w:val="002D164A"/>
    <w:rsid w:val="002D1E4B"/>
    <w:rsid w:val="002D2833"/>
    <w:rsid w:val="002D29E3"/>
    <w:rsid w:val="002E1A97"/>
    <w:rsid w:val="002E3CF0"/>
    <w:rsid w:val="002E58D1"/>
    <w:rsid w:val="0030006A"/>
    <w:rsid w:val="0032493D"/>
    <w:rsid w:val="00347951"/>
    <w:rsid w:val="003515D7"/>
    <w:rsid w:val="00352D10"/>
    <w:rsid w:val="00360EA7"/>
    <w:rsid w:val="00361726"/>
    <w:rsid w:val="0036356A"/>
    <w:rsid w:val="00370677"/>
    <w:rsid w:val="0037718C"/>
    <w:rsid w:val="003833BD"/>
    <w:rsid w:val="00385C90"/>
    <w:rsid w:val="003869A7"/>
    <w:rsid w:val="00387EAF"/>
    <w:rsid w:val="00391B41"/>
    <w:rsid w:val="003923EB"/>
    <w:rsid w:val="00393693"/>
    <w:rsid w:val="00393EF7"/>
    <w:rsid w:val="003D067B"/>
    <w:rsid w:val="003D219E"/>
    <w:rsid w:val="003D44CD"/>
    <w:rsid w:val="003E2E25"/>
    <w:rsid w:val="003F0552"/>
    <w:rsid w:val="003F23A9"/>
    <w:rsid w:val="003F25D9"/>
    <w:rsid w:val="00402F8E"/>
    <w:rsid w:val="004160C0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76BB"/>
    <w:rsid w:val="00467D3C"/>
    <w:rsid w:val="00474AD8"/>
    <w:rsid w:val="004778F4"/>
    <w:rsid w:val="00481A02"/>
    <w:rsid w:val="0048608E"/>
    <w:rsid w:val="004860E6"/>
    <w:rsid w:val="004864BD"/>
    <w:rsid w:val="0048698F"/>
    <w:rsid w:val="00487325"/>
    <w:rsid w:val="004977A3"/>
    <w:rsid w:val="004A0C50"/>
    <w:rsid w:val="004B0D60"/>
    <w:rsid w:val="004B43CD"/>
    <w:rsid w:val="004C2CB5"/>
    <w:rsid w:val="004E5427"/>
    <w:rsid w:val="004F3AA5"/>
    <w:rsid w:val="004F4E93"/>
    <w:rsid w:val="0051535D"/>
    <w:rsid w:val="00520AC6"/>
    <w:rsid w:val="005279E6"/>
    <w:rsid w:val="0053784B"/>
    <w:rsid w:val="00546A05"/>
    <w:rsid w:val="00552A42"/>
    <w:rsid w:val="00556247"/>
    <w:rsid w:val="0058077B"/>
    <w:rsid w:val="00587603"/>
    <w:rsid w:val="0059583F"/>
    <w:rsid w:val="00595DBE"/>
    <w:rsid w:val="005A0384"/>
    <w:rsid w:val="005A1790"/>
    <w:rsid w:val="005A3E1D"/>
    <w:rsid w:val="005A5C73"/>
    <w:rsid w:val="005A7337"/>
    <w:rsid w:val="005B1F1F"/>
    <w:rsid w:val="005B31E8"/>
    <w:rsid w:val="005B7DCA"/>
    <w:rsid w:val="005C3AD3"/>
    <w:rsid w:val="005C53E8"/>
    <w:rsid w:val="005E3355"/>
    <w:rsid w:val="005E3EEA"/>
    <w:rsid w:val="005F4987"/>
    <w:rsid w:val="005F4FE6"/>
    <w:rsid w:val="005F546F"/>
    <w:rsid w:val="005F59EC"/>
    <w:rsid w:val="006042A8"/>
    <w:rsid w:val="00607A69"/>
    <w:rsid w:val="00610A86"/>
    <w:rsid w:val="0061168E"/>
    <w:rsid w:val="00620C94"/>
    <w:rsid w:val="00623D29"/>
    <w:rsid w:val="00627E9B"/>
    <w:rsid w:val="006338E7"/>
    <w:rsid w:val="00644FC6"/>
    <w:rsid w:val="0064534F"/>
    <w:rsid w:val="006546E5"/>
    <w:rsid w:val="00665A1C"/>
    <w:rsid w:val="006849B7"/>
    <w:rsid w:val="0069756A"/>
    <w:rsid w:val="006A2B37"/>
    <w:rsid w:val="006A65EA"/>
    <w:rsid w:val="006D279A"/>
    <w:rsid w:val="006D36AE"/>
    <w:rsid w:val="006D4342"/>
    <w:rsid w:val="006E4870"/>
    <w:rsid w:val="006F2B97"/>
    <w:rsid w:val="006F4AFD"/>
    <w:rsid w:val="007000C1"/>
    <w:rsid w:val="00704767"/>
    <w:rsid w:val="0071101F"/>
    <w:rsid w:val="007162FB"/>
    <w:rsid w:val="007349F8"/>
    <w:rsid w:val="00734DCC"/>
    <w:rsid w:val="007474BB"/>
    <w:rsid w:val="007573EB"/>
    <w:rsid w:val="007609D9"/>
    <w:rsid w:val="00774D8A"/>
    <w:rsid w:val="00787002"/>
    <w:rsid w:val="007A0307"/>
    <w:rsid w:val="007B2B53"/>
    <w:rsid w:val="007D1479"/>
    <w:rsid w:val="007E6C16"/>
    <w:rsid w:val="007F5771"/>
    <w:rsid w:val="007F6286"/>
    <w:rsid w:val="00804406"/>
    <w:rsid w:val="00806635"/>
    <w:rsid w:val="00807E0D"/>
    <w:rsid w:val="008115BE"/>
    <w:rsid w:val="00827CB5"/>
    <w:rsid w:val="00834E86"/>
    <w:rsid w:val="00835A13"/>
    <w:rsid w:val="00835E8A"/>
    <w:rsid w:val="00842CEC"/>
    <w:rsid w:val="00851E9D"/>
    <w:rsid w:val="00862CA1"/>
    <w:rsid w:val="00864442"/>
    <w:rsid w:val="00874CC3"/>
    <w:rsid w:val="008864AE"/>
    <w:rsid w:val="008870A4"/>
    <w:rsid w:val="008872A6"/>
    <w:rsid w:val="00892A17"/>
    <w:rsid w:val="008A3544"/>
    <w:rsid w:val="008A7142"/>
    <w:rsid w:val="008B7003"/>
    <w:rsid w:val="008E31E0"/>
    <w:rsid w:val="008E79A7"/>
    <w:rsid w:val="008F1046"/>
    <w:rsid w:val="008F60F3"/>
    <w:rsid w:val="00904A1A"/>
    <w:rsid w:val="009132B5"/>
    <w:rsid w:val="00927B5B"/>
    <w:rsid w:val="009413BF"/>
    <w:rsid w:val="009436BA"/>
    <w:rsid w:val="00954F83"/>
    <w:rsid w:val="00960093"/>
    <w:rsid w:val="00961BFE"/>
    <w:rsid w:val="0096333A"/>
    <w:rsid w:val="0096605A"/>
    <w:rsid w:val="00966F10"/>
    <w:rsid w:val="00976159"/>
    <w:rsid w:val="009778B7"/>
    <w:rsid w:val="0099242C"/>
    <w:rsid w:val="00993C38"/>
    <w:rsid w:val="009962EC"/>
    <w:rsid w:val="00997058"/>
    <w:rsid w:val="009A2DAB"/>
    <w:rsid w:val="009B13A6"/>
    <w:rsid w:val="009B29ED"/>
    <w:rsid w:val="009B4FEE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20866"/>
    <w:rsid w:val="00A22B18"/>
    <w:rsid w:val="00A31EC2"/>
    <w:rsid w:val="00A33225"/>
    <w:rsid w:val="00A42603"/>
    <w:rsid w:val="00A5310A"/>
    <w:rsid w:val="00A540AA"/>
    <w:rsid w:val="00A56326"/>
    <w:rsid w:val="00A7717E"/>
    <w:rsid w:val="00A90E84"/>
    <w:rsid w:val="00AA5FA6"/>
    <w:rsid w:val="00AB495A"/>
    <w:rsid w:val="00AC4F8A"/>
    <w:rsid w:val="00AC603B"/>
    <w:rsid w:val="00AC640C"/>
    <w:rsid w:val="00AC7BD5"/>
    <w:rsid w:val="00AD63E7"/>
    <w:rsid w:val="00AE2BB0"/>
    <w:rsid w:val="00AE41A3"/>
    <w:rsid w:val="00AE545A"/>
    <w:rsid w:val="00AF34FB"/>
    <w:rsid w:val="00AF7046"/>
    <w:rsid w:val="00B11B42"/>
    <w:rsid w:val="00B1442E"/>
    <w:rsid w:val="00B224BE"/>
    <w:rsid w:val="00B23D45"/>
    <w:rsid w:val="00B31B59"/>
    <w:rsid w:val="00B54E3F"/>
    <w:rsid w:val="00B555F0"/>
    <w:rsid w:val="00B57693"/>
    <w:rsid w:val="00B63307"/>
    <w:rsid w:val="00B659B0"/>
    <w:rsid w:val="00B66DED"/>
    <w:rsid w:val="00B706B0"/>
    <w:rsid w:val="00B82E01"/>
    <w:rsid w:val="00B93927"/>
    <w:rsid w:val="00B96ED4"/>
    <w:rsid w:val="00B97A27"/>
    <w:rsid w:val="00B97E87"/>
    <w:rsid w:val="00BA05EC"/>
    <w:rsid w:val="00BA09C1"/>
    <w:rsid w:val="00BA5F4A"/>
    <w:rsid w:val="00BB04A2"/>
    <w:rsid w:val="00BB18FF"/>
    <w:rsid w:val="00BB1939"/>
    <w:rsid w:val="00BB1BAE"/>
    <w:rsid w:val="00BB2072"/>
    <w:rsid w:val="00BC0322"/>
    <w:rsid w:val="00BC3BD7"/>
    <w:rsid w:val="00BC7A0B"/>
    <w:rsid w:val="00BD3FF9"/>
    <w:rsid w:val="00BD5CF7"/>
    <w:rsid w:val="00BD67BE"/>
    <w:rsid w:val="00BE2F67"/>
    <w:rsid w:val="00BE683C"/>
    <w:rsid w:val="00BF1886"/>
    <w:rsid w:val="00BF72EE"/>
    <w:rsid w:val="00C017CB"/>
    <w:rsid w:val="00C04C17"/>
    <w:rsid w:val="00C07B32"/>
    <w:rsid w:val="00C07CC7"/>
    <w:rsid w:val="00C127AC"/>
    <w:rsid w:val="00C15155"/>
    <w:rsid w:val="00C23A69"/>
    <w:rsid w:val="00C2794E"/>
    <w:rsid w:val="00C33F57"/>
    <w:rsid w:val="00C36BDA"/>
    <w:rsid w:val="00C44DAA"/>
    <w:rsid w:val="00C60F45"/>
    <w:rsid w:val="00C657B0"/>
    <w:rsid w:val="00C65A69"/>
    <w:rsid w:val="00C7084F"/>
    <w:rsid w:val="00C80AE1"/>
    <w:rsid w:val="00C819BF"/>
    <w:rsid w:val="00C822A4"/>
    <w:rsid w:val="00C85A5D"/>
    <w:rsid w:val="00C86DA5"/>
    <w:rsid w:val="00C87207"/>
    <w:rsid w:val="00C975A4"/>
    <w:rsid w:val="00CB2C98"/>
    <w:rsid w:val="00CB395A"/>
    <w:rsid w:val="00CB6635"/>
    <w:rsid w:val="00CC2A80"/>
    <w:rsid w:val="00CC520F"/>
    <w:rsid w:val="00CD2A6D"/>
    <w:rsid w:val="00CE6990"/>
    <w:rsid w:val="00CF1FEE"/>
    <w:rsid w:val="00CF5B5C"/>
    <w:rsid w:val="00CF7C2D"/>
    <w:rsid w:val="00D0198A"/>
    <w:rsid w:val="00D05BFB"/>
    <w:rsid w:val="00D272E9"/>
    <w:rsid w:val="00D27B2D"/>
    <w:rsid w:val="00D3392D"/>
    <w:rsid w:val="00D34342"/>
    <w:rsid w:val="00D3624B"/>
    <w:rsid w:val="00D36BF6"/>
    <w:rsid w:val="00D44C79"/>
    <w:rsid w:val="00D45297"/>
    <w:rsid w:val="00D46457"/>
    <w:rsid w:val="00D540A1"/>
    <w:rsid w:val="00D55202"/>
    <w:rsid w:val="00D55AB3"/>
    <w:rsid w:val="00D60679"/>
    <w:rsid w:val="00D746E5"/>
    <w:rsid w:val="00D80C23"/>
    <w:rsid w:val="00D8123A"/>
    <w:rsid w:val="00D83C42"/>
    <w:rsid w:val="00D915DE"/>
    <w:rsid w:val="00DA3820"/>
    <w:rsid w:val="00DB0C2E"/>
    <w:rsid w:val="00DB4503"/>
    <w:rsid w:val="00DD0DA7"/>
    <w:rsid w:val="00DD2732"/>
    <w:rsid w:val="00DD48B6"/>
    <w:rsid w:val="00DF054C"/>
    <w:rsid w:val="00DF3DE3"/>
    <w:rsid w:val="00DF7502"/>
    <w:rsid w:val="00E008E6"/>
    <w:rsid w:val="00E01527"/>
    <w:rsid w:val="00E0422A"/>
    <w:rsid w:val="00E17FE6"/>
    <w:rsid w:val="00E23859"/>
    <w:rsid w:val="00E2688F"/>
    <w:rsid w:val="00E27DEE"/>
    <w:rsid w:val="00E35A85"/>
    <w:rsid w:val="00E35B46"/>
    <w:rsid w:val="00E57F3A"/>
    <w:rsid w:val="00E614E5"/>
    <w:rsid w:val="00E70122"/>
    <w:rsid w:val="00E73FE2"/>
    <w:rsid w:val="00E862B0"/>
    <w:rsid w:val="00E9196C"/>
    <w:rsid w:val="00E91EF1"/>
    <w:rsid w:val="00EA0707"/>
    <w:rsid w:val="00EA6061"/>
    <w:rsid w:val="00EA7C07"/>
    <w:rsid w:val="00EB0E67"/>
    <w:rsid w:val="00EC1E95"/>
    <w:rsid w:val="00EC260C"/>
    <w:rsid w:val="00ED00CD"/>
    <w:rsid w:val="00ED4504"/>
    <w:rsid w:val="00ED6887"/>
    <w:rsid w:val="00ED6EE1"/>
    <w:rsid w:val="00ED7E3F"/>
    <w:rsid w:val="00EE03EB"/>
    <w:rsid w:val="00EE4F8C"/>
    <w:rsid w:val="00EE7DEC"/>
    <w:rsid w:val="00F05E8D"/>
    <w:rsid w:val="00F10CAB"/>
    <w:rsid w:val="00F1182E"/>
    <w:rsid w:val="00F1249E"/>
    <w:rsid w:val="00F24DC7"/>
    <w:rsid w:val="00F2534F"/>
    <w:rsid w:val="00F25923"/>
    <w:rsid w:val="00F33747"/>
    <w:rsid w:val="00F3433C"/>
    <w:rsid w:val="00F56006"/>
    <w:rsid w:val="00F56337"/>
    <w:rsid w:val="00F60A34"/>
    <w:rsid w:val="00F62A1D"/>
    <w:rsid w:val="00F63268"/>
    <w:rsid w:val="00F72759"/>
    <w:rsid w:val="00F75C03"/>
    <w:rsid w:val="00F83699"/>
    <w:rsid w:val="00F84035"/>
    <w:rsid w:val="00F84775"/>
    <w:rsid w:val="00FA0B3E"/>
    <w:rsid w:val="00FA5AD7"/>
    <w:rsid w:val="00FA6352"/>
    <w:rsid w:val="00FA6F1C"/>
    <w:rsid w:val="00FB6E45"/>
    <w:rsid w:val="00FC6BB7"/>
    <w:rsid w:val="00FD08AF"/>
    <w:rsid w:val="00FD0C81"/>
    <w:rsid w:val="00FD599D"/>
    <w:rsid w:val="00FD6B82"/>
    <w:rsid w:val="00FF0AE7"/>
    <w:rsid w:val="00FF5E46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71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96333A"/>
    <w:rPr>
      <w:rFonts w:eastAsia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96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171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71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96333A"/>
    <w:rPr>
      <w:rFonts w:eastAsia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96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171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D93D3-A1E9-431B-9D6F-00182F09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1083</TotalTime>
  <Pages>6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Danekova</cp:lastModifiedBy>
  <cp:revision>43</cp:revision>
  <cp:lastPrinted>2019-03-01T09:12:00Z</cp:lastPrinted>
  <dcterms:created xsi:type="dcterms:W3CDTF">2018-04-12T05:49:00Z</dcterms:created>
  <dcterms:modified xsi:type="dcterms:W3CDTF">2019-03-04T07:49:00Z</dcterms:modified>
</cp:coreProperties>
</file>