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A9" w:rsidRDefault="00E46AA9" w:rsidP="00657220">
      <w:pPr>
        <w:tabs>
          <w:tab w:val="left" w:pos="1134"/>
        </w:tabs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E46AA9" w:rsidRDefault="00E46AA9" w:rsidP="00087E58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E46AA9" w:rsidRDefault="00E46AA9" w:rsidP="00087E58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F31444" w:rsidRDefault="006F4DCA" w:rsidP="00F31444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30006A" w:rsidRDefault="006F4DCA" w:rsidP="00F31444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29</w:t>
      </w:r>
      <w:r w:rsidR="00775CEB">
        <w:rPr>
          <w:rFonts w:asciiTheme="majorHAnsi" w:hAnsiTheme="majorHAnsi"/>
          <w:sz w:val="36"/>
          <w:szCs w:val="36"/>
          <w:lang w:val="sk-SK"/>
        </w:rPr>
        <w:t>.02</w:t>
      </w:r>
      <w:r w:rsidR="003A5DF8">
        <w:rPr>
          <w:rFonts w:asciiTheme="majorHAnsi" w:hAnsiTheme="majorHAnsi"/>
          <w:sz w:val="36"/>
          <w:szCs w:val="36"/>
          <w:lang w:val="sk-SK"/>
        </w:rPr>
        <w:t>.2016</w:t>
      </w:r>
    </w:p>
    <w:p w:rsidR="00BA2E4B" w:rsidRDefault="00BA2E4B" w:rsidP="00F31444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6F4DCA" w:rsidRDefault="006F4DCA" w:rsidP="006F4DC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Žiadosť o predchádzajúci písomný súhlas Akademického  </w:t>
      </w:r>
    </w:p>
    <w:p w:rsidR="006F4DCA" w:rsidRDefault="006F4DCA" w:rsidP="006F4DC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senátu Slovenskej technickej univerzity na nájom</w:t>
      </w:r>
    </w:p>
    <w:p w:rsidR="006F4DCA" w:rsidRPr="00AF7046" w:rsidRDefault="006F4DCA" w:rsidP="006F4DC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nehnuteľných vecí STU </w:t>
      </w:r>
    </w:p>
    <w:p w:rsidR="006F4DCA" w:rsidRDefault="006F4DCA" w:rsidP="006F4DC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6F4DCA" w:rsidRDefault="006F4DCA" w:rsidP="006F4DC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6F4DCA" w:rsidRPr="00AF7046" w:rsidRDefault="006F4DCA" w:rsidP="006F4DC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b/>
          <w:lang w:val="sk-SK"/>
        </w:rPr>
        <w:t>prof. Ing. Robert Redhammer, PhD.</w:t>
      </w:r>
    </w:p>
    <w:p w:rsidR="006F4DCA" w:rsidRPr="00AF7046" w:rsidRDefault="006F4DCA" w:rsidP="006F4DC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rektor</w:t>
      </w:r>
    </w:p>
    <w:p w:rsidR="006F4DCA" w:rsidRPr="00AF7046" w:rsidRDefault="006F4DCA" w:rsidP="006F4DC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6F4DCA" w:rsidRDefault="006F4DCA" w:rsidP="006F4DCA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b/>
          <w:lang w:val="sk-SK"/>
        </w:rPr>
        <w:t>Ing. Dušan Faktor, PhD.</w:t>
      </w:r>
    </w:p>
    <w:p w:rsidR="006F4DCA" w:rsidRPr="0011711C" w:rsidRDefault="006F4DCA" w:rsidP="006F4DC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 xml:space="preserve">                                       </w:t>
      </w:r>
      <w:r w:rsidRPr="0011711C">
        <w:rPr>
          <w:rFonts w:asciiTheme="majorHAnsi" w:hAnsiTheme="majorHAnsi"/>
          <w:lang w:val="sk-SK"/>
        </w:rPr>
        <w:t>kvestor</w:t>
      </w:r>
    </w:p>
    <w:p w:rsidR="006F4DCA" w:rsidRPr="00AF7046" w:rsidRDefault="006F4DCA" w:rsidP="006F4DC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6F4DCA" w:rsidRDefault="006F4DCA" w:rsidP="006F4DCA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</w:p>
    <w:p w:rsidR="006F4DCA" w:rsidRPr="00C630AC" w:rsidRDefault="006F4DCA" w:rsidP="006F4DCA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  <w:t xml:space="preserve">Postup podľa článku 3 bod 3 smernice rektora číslo 9/2013-SR zo dňa 12. 12. 2013 Nájom nehnuteľného majetku vo vlastníctve   </w:t>
      </w:r>
      <w:r w:rsidRPr="00C630AC">
        <w:rPr>
          <w:rFonts w:asciiTheme="majorHAnsi" w:hAnsiTheme="majorHAnsi"/>
          <w:lang w:val="sk-SK"/>
        </w:rPr>
        <w:t>Slovenskej technickej univerzity v Bratislave</w:t>
      </w:r>
    </w:p>
    <w:p w:rsidR="006F4DCA" w:rsidRPr="00C630AC" w:rsidRDefault="006F4DCA" w:rsidP="006F4DC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6F4DCA" w:rsidRDefault="006F4DCA" w:rsidP="006F4DCA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6F4DCA" w:rsidRDefault="006F4DCA" w:rsidP="006F4DCA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 xml:space="preserve">AS STU schvaľuje žiadosti o nájom dočasne nepotrebného nehnuteľného majetku uvedeného v tabuľke číslo 1 až 23 tohto materiálu. </w:t>
      </w:r>
    </w:p>
    <w:p w:rsidR="008D56DB" w:rsidRDefault="008D56DB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6F4DCA" w:rsidRDefault="006F4DCA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6F4DCA" w:rsidRDefault="006F4DCA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6F4DCA" w:rsidRDefault="006F4DCA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6F4DCA" w:rsidRDefault="006F4DCA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6F4DCA" w:rsidRDefault="006F4DCA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6F4DCA" w:rsidRDefault="006F4DCA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6F4DCA" w:rsidRDefault="006F4DCA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6F4DCA" w:rsidRDefault="006F4DCA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6F4DCA" w:rsidRDefault="006F4DCA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6F4DCA" w:rsidRDefault="006F4DCA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6F4DCA" w:rsidRDefault="006F4DCA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E15887" w:rsidRDefault="00E15887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BA2E4B" w:rsidRDefault="00BA2E4B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264F87" w:rsidRPr="007F5822" w:rsidTr="007A7D0C">
        <w:tc>
          <w:tcPr>
            <w:tcW w:w="426" w:type="dxa"/>
          </w:tcPr>
          <w:p w:rsidR="00264F87" w:rsidRPr="007C340F" w:rsidRDefault="00DD76BC" w:rsidP="00C9714F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lastRenderedPageBreak/>
              <w:t>1</w:t>
            </w:r>
            <w:r w:rsidR="00264F8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43" w:type="dxa"/>
          </w:tcPr>
          <w:p w:rsidR="00264F87" w:rsidRPr="007C340F" w:rsidRDefault="00264F87" w:rsidP="00930267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64F87" w:rsidRPr="003837A0" w:rsidRDefault="00545E8C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STYLON, spol.. s r. o.</w:t>
            </w:r>
            <w:r w:rsidR="00775CEB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, </w:t>
            </w:r>
            <w:r w:rsidR="00AA3255">
              <w:rPr>
                <w:rFonts w:asciiTheme="majorHAnsi" w:hAnsiTheme="majorHAnsi"/>
                <w:sz w:val="20"/>
                <w:szCs w:val="20"/>
                <w:lang w:val="sk-SK"/>
              </w:rPr>
              <w:t>Starohá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jska 29, 851 02</w:t>
            </w:r>
            <w:r w:rsidR="00264F87" w:rsidRPr="003837A0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Bratislava</w:t>
            </w:r>
          </w:p>
          <w:p w:rsidR="00264F87" w:rsidRPr="00E04140" w:rsidRDefault="00AA3255" w:rsidP="00E04140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je podnikateľom zapísaným v OR OS Ba I, oddiel Sa, vložka č. 9015/B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75CEB" w:rsidRPr="008E454E" w:rsidTr="007A7D0C">
        <w:tc>
          <w:tcPr>
            <w:tcW w:w="426" w:type="dxa"/>
          </w:tcPr>
          <w:p w:rsidR="00775CEB" w:rsidRPr="00DC29AA" w:rsidRDefault="00775CEB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75CEB" w:rsidRPr="00DC29AA" w:rsidRDefault="00775CEB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A3255" w:rsidRDefault="00775CEB" w:rsidP="004F720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E454E">
              <w:rPr>
                <w:rFonts w:asciiTheme="majorHAnsi" w:hAnsiTheme="majorHAnsi"/>
                <w:sz w:val="20"/>
                <w:szCs w:val="20"/>
              </w:rPr>
              <w:t>doča</w:t>
            </w:r>
            <w:r>
              <w:rPr>
                <w:rFonts w:asciiTheme="majorHAnsi" w:hAnsiTheme="majorHAnsi"/>
                <w:sz w:val="20"/>
                <w:szCs w:val="20"/>
              </w:rPr>
              <w:t>sne nepotrebný majetok, nebytový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 priestor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(NP)</w:t>
            </w:r>
            <w:r w:rsidR="00545E8C">
              <w:rPr>
                <w:rFonts w:asciiTheme="majorHAnsi" w:hAnsiTheme="majorHAnsi"/>
                <w:sz w:val="20"/>
                <w:szCs w:val="20"/>
              </w:rPr>
              <w:t>, časť parcel č. 16954/2 k.</w:t>
            </w:r>
            <w:r w:rsidR="00AA32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45E8C">
              <w:rPr>
                <w:rFonts w:asciiTheme="majorHAnsi" w:hAnsiTheme="majorHAnsi"/>
                <w:sz w:val="20"/>
                <w:szCs w:val="20"/>
              </w:rPr>
              <w:t>ú</w:t>
            </w:r>
            <w:r w:rsidR="00AA3255">
              <w:rPr>
                <w:rFonts w:asciiTheme="majorHAnsi" w:hAnsiTheme="majorHAnsi"/>
                <w:sz w:val="20"/>
                <w:szCs w:val="20"/>
              </w:rPr>
              <w:t>. Trná</w:t>
            </w:r>
            <w:r w:rsidR="004F7208">
              <w:rPr>
                <w:rFonts w:asciiTheme="majorHAnsi" w:hAnsiTheme="majorHAnsi"/>
                <w:sz w:val="20"/>
                <w:szCs w:val="20"/>
              </w:rPr>
              <w:t xml:space="preserve">vka </w:t>
            </w:r>
          </w:p>
          <w:p w:rsidR="004F7208" w:rsidRDefault="004F7208" w:rsidP="004F720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 výmere 80,0m</w:t>
            </w:r>
            <w:r w:rsidRPr="004F7208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="00775CEB">
              <w:rPr>
                <w:rFonts w:asciiTheme="majorHAnsi" w:hAnsiTheme="majorHAnsi"/>
                <w:sz w:val="20"/>
                <w:szCs w:val="20"/>
              </w:rPr>
              <w:t xml:space="preserve"> nachádzajúci sa  v areáli Centrálnych laboratórií SvF STU, Technická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5, Bratislava,</w:t>
            </w:r>
          </w:p>
          <w:p w:rsidR="00775CEB" w:rsidRPr="008E454E" w:rsidRDefault="00775CEB" w:rsidP="004F720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E454E">
              <w:rPr>
                <w:rFonts w:asciiTheme="majorHAnsi" w:hAnsiTheme="majorHAnsi"/>
                <w:sz w:val="20"/>
                <w:szCs w:val="20"/>
              </w:rPr>
              <w:t>predm</w:t>
            </w:r>
            <w:r>
              <w:rPr>
                <w:rFonts w:asciiTheme="majorHAnsi" w:hAnsiTheme="majorHAnsi"/>
                <w:sz w:val="20"/>
                <w:szCs w:val="20"/>
              </w:rPr>
              <w:t>et nájmu spolu vo výmere</w:t>
            </w:r>
            <w:r w:rsidRPr="00223B7C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4F7208">
              <w:rPr>
                <w:rFonts w:asciiTheme="majorHAnsi" w:hAnsiTheme="majorHAnsi"/>
                <w:b/>
                <w:sz w:val="20"/>
                <w:szCs w:val="20"/>
              </w:rPr>
              <w:t xml:space="preserve"> 80,0</w:t>
            </w:r>
            <w:r w:rsidRPr="00223B7C">
              <w:rPr>
                <w:rFonts w:asciiTheme="majorHAnsi" w:hAnsiTheme="majorHAnsi"/>
                <w:b/>
                <w:sz w:val="20"/>
                <w:szCs w:val="20"/>
              </w:rPr>
              <w:t xml:space="preserve"> m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2</w:t>
            </w:r>
            <w:r w:rsidRPr="008E454E">
              <w:rPr>
                <w:rFonts w:asciiTheme="majorHAnsi" w:hAnsiTheme="majorHAnsi"/>
                <w:sz w:val="20"/>
                <w:szCs w:val="20"/>
              </w:rPr>
              <w:t xml:space="preserve"> .  </w:t>
            </w:r>
          </w:p>
        </w:tc>
      </w:tr>
      <w:tr w:rsidR="00775CEB" w:rsidRPr="008E454E" w:rsidTr="007A7D0C">
        <w:tc>
          <w:tcPr>
            <w:tcW w:w="426" w:type="dxa"/>
          </w:tcPr>
          <w:p w:rsidR="00775CEB" w:rsidRPr="00DC29AA" w:rsidRDefault="00775CEB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75CEB" w:rsidRPr="00DC29AA" w:rsidRDefault="00775CEB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775CEB" w:rsidRPr="008E454E" w:rsidRDefault="00B47C5B" w:rsidP="008708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uskdanenie oceľových prvkov.</w:t>
            </w:r>
          </w:p>
        </w:tc>
      </w:tr>
      <w:tr w:rsidR="00775CEB" w:rsidRPr="008E454E" w:rsidTr="00E16C61">
        <w:trPr>
          <w:trHeight w:val="259"/>
        </w:trPr>
        <w:tc>
          <w:tcPr>
            <w:tcW w:w="426" w:type="dxa"/>
          </w:tcPr>
          <w:p w:rsidR="00775CEB" w:rsidRPr="00DC29AA" w:rsidRDefault="00775CEB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5CEB" w:rsidRPr="00DC29AA" w:rsidRDefault="00775CEB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75CEB" w:rsidRPr="008E454E" w:rsidRDefault="00B47C5B" w:rsidP="008708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 01.03.2016 do 31.12.2016</w:t>
            </w:r>
            <w:r w:rsidR="00775CE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775CEB" w:rsidRPr="008E454E" w:rsidTr="00A12E57">
        <w:trPr>
          <w:trHeight w:val="422"/>
        </w:trPr>
        <w:tc>
          <w:tcPr>
            <w:tcW w:w="426" w:type="dxa"/>
            <w:tcBorders>
              <w:right w:val="single" w:sz="4" w:space="0" w:color="auto"/>
            </w:tcBorders>
          </w:tcPr>
          <w:p w:rsidR="00775CEB" w:rsidRPr="00DC29AA" w:rsidRDefault="00775CEB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75CEB" w:rsidRDefault="00775CEB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775CEB" w:rsidRPr="000B1A3B" w:rsidRDefault="00775CEB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775CEB" w:rsidRPr="00A12E57" w:rsidRDefault="002D50A7" w:rsidP="0004028D">
            <w:pPr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zmluvné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strany sa dohodli na nájomnom za predmet a účel nájmu a celé obdobie nájmu – 10 mesiacov - 270,00 €</w:t>
            </w:r>
            <w:r w:rsidR="00775CEB" w:rsidRPr="0004028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A12E57">
              <w:rPr>
                <w:rFonts w:asciiTheme="majorHAnsi" w:hAnsiTheme="majorHAnsi" w:cs="Times New Roman"/>
                <w:sz w:val="20"/>
                <w:szCs w:val="20"/>
              </w:rPr>
              <w:t xml:space="preserve">t. j. </w:t>
            </w:r>
            <w:r w:rsidR="00A12E57" w:rsidRPr="00A12E57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ročné nájomné je</w:t>
            </w:r>
            <w:r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 xml:space="preserve"> 324,00</w:t>
            </w:r>
            <w:r w:rsidR="00A12E57" w:rsidRPr="00A12E57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 xml:space="preserve">  </w:t>
            </w:r>
            <w:r w:rsidR="00775CEB" w:rsidRPr="00A12E57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 xml:space="preserve"> €.</w:t>
            </w:r>
          </w:p>
          <w:p w:rsidR="00775CEB" w:rsidRPr="0004028D" w:rsidRDefault="00775CEB" w:rsidP="0004028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2E57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nájomné je v súlade</w:t>
            </w:r>
            <w:r w:rsidRPr="0004028D">
              <w:rPr>
                <w:rFonts w:asciiTheme="majorHAnsi" w:hAnsiTheme="majorHAnsi" w:cs="Times New Roman"/>
                <w:sz w:val="20"/>
                <w:szCs w:val="20"/>
              </w:rPr>
              <w:t xml:space="preserve"> so smernicou</w:t>
            </w:r>
            <w:r w:rsidR="0004028D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775CEB" w:rsidRPr="00427FCF" w:rsidTr="00E16C61">
        <w:trPr>
          <w:trHeight w:val="50"/>
        </w:trPr>
        <w:tc>
          <w:tcPr>
            <w:tcW w:w="426" w:type="dxa"/>
          </w:tcPr>
          <w:p w:rsidR="00775CEB" w:rsidRPr="00DC29AA" w:rsidRDefault="00775CEB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75CEB" w:rsidRPr="00DC29AA" w:rsidRDefault="00775CEB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55" w:type="dxa"/>
          </w:tcPr>
          <w:p w:rsidR="00775CEB" w:rsidRPr="00427FCF" w:rsidRDefault="00775CEB" w:rsidP="0087084B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</w:t>
            </w:r>
            <w:r w:rsidRPr="00493318">
              <w:rPr>
                <w:rFonts w:asciiTheme="majorHAnsi" w:hAnsiTheme="majorHAnsi"/>
                <w:sz w:val="20"/>
              </w:rPr>
              <w:t>reddavky na náklady  za opakované  dodanie energií a služieb budú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nájomcovi fakturované zálohovo do 15 dňa 1. mesiaca príslušného štvrťroka</w:t>
            </w:r>
            <w:r>
              <w:rPr>
                <w:rFonts w:asciiTheme="majorHAnsi" w:hAnsiTheme="majorHAnsi"/>
                <w:sz w:val="20"/>
              </w:rPr>
              <w:t xml:space="preserve"> vopred</w:t>
            </w:r>
            <w:r w:rsidRPr="00493318">
              <w:rPr>
                <w:rFonts w:asciiTheme="majorHAnsi" w:hAnsiTheme="majorHAnsi"/>
                <w:sz w:val="20"/>
              </w:rPr>
              <w:t>.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 xml:space="preserve">Nájomca </w:t>
            </w:r>
            <w:r>
              <w:rPr>
                <w:rFonts w:asciiTheme="majorHAnsi" w:hAnsiTheme="majorHAnsi"/>
                <w:sz w:val="20"/>
              </w:rPr>
              <w:t>je povinný uhradiť faktúru do 7</w:t>
            </w:r>
            <w:r w:rsidRPr="00493318">
              <w:rPr>
                <w:rFonts w:asciiTheme="majorHAnsi" w:hAnsiTheme="majorHAnsi"/>
                <w:sz w:val="20"/>
              </w:rPr>
              <w:t xml:space="preserve"> dní odo dňa vystavenia faktúry.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Výška zálohových platieb bude vypočítaná ako aritmetický priemer z</w:t>
            </w:r>
            <w:r>
              <w:rPr>
                <w:rFonts w:asciiTheme="majorHAnsi" w:hAnsiTheme="majorHAnsi"/>
                <w:sz w:val="20"/>
              </w:rPr>
              <w:t> </w:t>
            </w:r>
            <w:r w:rsidRPr="00493318">
              <w:rPr>
                <w:rFonts w:asciiTheme="majorHAnsi" w:hAnsiTheme="majorHAnsi"/>
                <w:sz w:val="20"/>
              </w:rPr>
              <w:t>platieb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za uplynulý kalendárny rok. Prenajímateľ vyhotoví po uplynutí zúčtovacieho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obdobia, najneskôr do 20 dní zúčtovaciu fa</w:t>
            </w:r>
            <w:r>
              <w:rPr>
                <w:rFonts w:asciiTheme="majorHAnsi" w:hAnsiTheme="majorHAnsi"/>
                <w:sz w:val="20"/>
              </w:rPr>
              <w:t>ktúru so splatnosťou 7 kalendárnych</w:t>
            </w:r>
            <w:r w:rsidRPr="00493318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d</w:t>
            </w:r>
            <w:r w:rsidRPr="00493318">
              <w:rPr>
                <w:rFonts w:asciiTheme="majorHAnsi" w:hAnsiTheme="majorHAnsi"/>
                <w:sz w:val="20"/>
              </w:rPr>
              <w:t>ní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odo dňa jej vyhotovenia.</w:t>
            </w:r>
          </w:p>
        </w:tc>
      </w:tr>
      <w:tr w:rsidR="00775CEB" w:rsidRPr="008A745F" w:rsidTr="00E16C61">
        <w:tc>
          <w:tcPr>
            <w:tcW w:w="426" w:type="dxa"/>
          </w:tcPr>
          <w:p w:rsidR="00775CEB" w:rsidRPr="00DC29AA" w:rsidRDefault="00775CEB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75CEB" w:rsidRPr="00DC29AA" w:rsidRDefault="00775CEB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775CEB" w:rsidRPr="008A745F" w:rsidRDefault="00775CEB" w:rsidP="0087084B">
            <w:pPr>
              <w:rPr>
                <w:rFonts w:asciiTheme="majorHAnsi" w:hAnsiTheme="majorHAnsi"/>
                <w:sz w:val="20"/>
                <w:szCs w:val="20"/>
              </w:rPr>
            </w:pP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>dekan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SvF </w:t>
            </w:r>
            <w:r w:rsidRPr="008A745F">
              <w:rPr>
                <w:rFonts w:asciiTheme="majorHAnsi" w:hAnsiTheme="majorHAnsi"/>
                <w:sz w:val="20"/>
                <w:szCs w:val="20"/>
              </w:rPr>
              <w:t> STU</w:t>
            </w:r>
          </w:p>
        </w:tc>
      </w:tr>
    </w:tbl>
    <w:p w:rsidR="005E4F6D" w:rsidRDefault="005E4F6D" w:rsidP="008D722A">
      <w:pPr>
        <w:jc w:val="both"/>
        <w:rPr>
          <w:rFonts w:asciiTheme="majorHAnsi" w:hAnsiTheme="majorHAnsi"/>
          <w:lang w:val="sk-SK"/>
        </w:rPr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74616D" w:rsidRPr="00301D14" w:rsidTr="0074616D">
        <w:tc>
          <w:tcPr>
            <w:tcW w:w="426" w:type="dxa"/>
          </w:tcPr>
          <w:p w:rsidR="0074616D" w:rsidRPr="00EF6A42" w:rsidRDefault="0074616D" w:rsidP="0087084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2.</w:t>
            </w:r>
          </w:p>
        </w:tc>
        <w:tc>
          <w:tcPr>
            <w:tcW w:w="1843" w:type="dxa"/>
          </w:tcPr>
          <w:p w:rsidR="0074616D" w:rsidRPr="00302217" w:rsidRDefault="0074616D" w:rsidP="00880BE9">
            <w:pPr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30221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4616D" w:rsidRPr="00A12E57" w:rsidRDefault="0074616D" w:rsidP="0087084B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A12E5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Občianske združenie Ynet, </w:t>
            </w:r>
            <w:r w:rsidR="0090664C" w:rsidRPr="00A12E5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ŠDaJ Mladosť, </w:t>
            </w: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Bratislava </w:t>
            </w:r>
          </w:p>
          <w:p w:rsidR="0074616D" w:rsidRPr="00A12E57" w:rsidRDefault="0074616D" w:rsidP="0074616D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>nájomca je registrovaný na NV SR pod č. VVS/1-900/90-17701.</w:t>
            </w:r>
          </w:p>
        </w:tc>
      </w:tr>
      <w:tr w:rsidR="0074616D" w:rsidRPr="008E454E" w:rsidTr="0074616D">
        <w:tc>
          <w:tcPr>
            <w:tcW w:w="426" w:type="dxa"/>
          </w:tcPr>
          <w:p w:rsidR="0074616D" w:rsidRPr="008A745F" w:rsidRDefault="0074616D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4616D" w:rsidRPr="008A745F" w:rsidRDefault="0074616D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74616D" w:rsidRPr="00A12E57" w:rsidRDefault="0074616D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>dočasne nepotrebný majetok,  nebytové priestory (NP) :</w:t>
            </w:r>
            <w:r w:rsidR="00FE443B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 ŠD N.</w:t>
            </w:r>
            <w:r w:rsidR="00A12E5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Belojanisa</w:t>
            </w: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>,</w:t>
            </w:r>
            <w:r w:rsidR="00A12E5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Wilsonova 6, Bratislava</w:t>
            </w:r>
            <w:r w:rsidR="00FE443B">
              <w:rPr>
                <w:rFonts w:asciiTheme="majorHAnsi" w:hAnsiTheme="majorHAnsi"/>
                <w:sz w:val="20"/>
                <w:szCs w:val="20"/>
                <w:lang w:val="sk-SK"/>
              </w:rPr>
              <w:t>,  miestnosť č. 02NB-04 337 - rysovňa  o výmere 124,27</w:t>
            </w: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>m</w:t>
            </w:r>
            <w:r w:rsidRPr="00A12E57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="00FE443B">
              <w:rPr>
                <w:rFonts w:asciiTheme="majorHAnsi" w:hAnsiTheme="majorHAnsi"/>
                <w:sz w:val="20"/>
                <w:szCs w:val="20"/>
                <w:lang w:val="sk-SK"/>
              </w:rPr>
              <w:t>nachádzajúcej</w:t>
            </w: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sa na </w:t>
            </w:r>
            <w:r w:rsidR="00FE443B">
              <w:rPr>
                <w:rFonts w:asciiTheme="majorHAnsi" w:hAnsiTheme="majorHAnsi"/>
                <w:sz w:val="20"/>
                <w:szCs w:val="20"/>
                <w:lang w:val="sk-SK"/>
              </w:rPr>
              <w:t>3.nadzemnom podlaží ŠD spolu</w:t>
            </w: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 pomernou časťou spoločných priestorov </w:t>
            </w:r>
            <w:r w:rsidR="00FE443B">
              <w:rPr>
                <w:rFonts w:asciiTheme="majorHAnsi" w:hAnsiTheme="majorHAnsi"/>
                <w:sz w:val="20"/>
                <w:szCs w:val="20"/>
                <w:lang w:val="sk-SK"/>
              </w:rPr>
              <w:t>(WC a chodba)</w:t>
            </w: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>. Jedná sa o novú nájomnú zmluvu,</w:t>
            </w:r>
          </w:p>
          <w:p w:rsidR="0074616D" w:rsidRPr="00A12E57" w:rsidRDefault="0074616D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>predmet nájmu spolu vo výmere:</w:t>
            </w:r>
            <w:r w:rsidR="00FE443B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124,27</w:t>
            </w: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m</w:t>
            </w:r>
            <w:r w:rsidRPr="00A12E57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. </w:t>
            </w:r>
          </w:p>
        </w:tc>
      </w:tr>
      <w:tr w:rsidR="0074616D" w:rsidRPr="008E454E" w:rsidTr="0074616D">
        <w:tc>
          <w:tcPr>
            <w:tcW w:w="426" w:type="dxa"/>
          </w:tcPr>
          <w:p w:rsidR="0074616D" w:rsidRPr="008A745F" w:rsidRDefault="0074616D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4616D" w:rsidRPr="008A745F" w:rsidRDefault="0074616D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74616D" w:rsidRPr="00DC29AA" w:rsidRDefault="00605615" w:rsidP="008708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študovňa pre potreby ubytovaných študentov STU ubytovaných v ŠD NB STU. </w:t>
            </w:r>
          </w:p>
        </w:tc>
      </w:tr>
      <w:tr w:rsidR="0074616D" w:rsidRPr="008E454E" w:rsidTr="0074616D">
        <w:trPr>
          <w:trHeight w:val="259"/>
        </w:trPr>
        <w:tc>
          <w:tcPr>
            <w:tcW w:w="426" w:type="dxa"/>
          </w:tcPr>
          <w:p w:rsidR="0074616D" w:rsidRPr="008A745F" w:rsidRDefault="0074616D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4616D" w:rsidRPr="008A745F" w:rsidRDefault="0074616D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74616D" w:rsidRPr="00DC29AA" w:rsidRDefault="0074616D" w:rsidP="0087084B">
            <w:pPr>
              <w:rPr>
                <w:rFonts w:asciiTheme="majorHAnsi" w:hAnsiTheme="majorHAnsi"/>
                <w:sz w:val="20"/>
                <w:szCs w:val="20"/>
              </w:rPr>
            </w:pPr>
            <w:r w:rsidRPr="00DC29AA">
              <w:rPr>
                <w:rFonts w:asciiTheme="majorHAnsi" w:hAnsiTheme="majorHAnsi"/>
                <w:sz w:val="20"/>
                <w:szCs w:val="20"/>
              </w:rPr>
              <w:t xml:space="preserve">od </w:t>
            </w:r>
            <w:r w:rsidR="00605615">
              <w:rPr>
                <w:rFonts w:asciiTheme="majorHAnsi" w:hAnsiTheme="majorHAnsi"/>
                <w:sz w:val="20"/>
                <w:szCs w:val="20"/>
              </w:rPr>
              <w:t>01.03.2016 do 28.02.2019</w:t>
            </w:r>
          </w:p>
        </w:tc>
      </w:tr>
      <w:tr w:rsidR="0074616D" w:rsidRPr="00000C78" w:rsidTr="0074616D">
        <w:tc>
          <w:tcPr>
            <w:tcW w:w="426" w:type="dxa"/>
          </w:tcPr>
          <w:p w:rsidR="0074616D" w:rsidRPr="00BE3D00" w:rsidRDefault="0074616D" w:rsidP="0087084B">
            <w:pPr>
              <w:jc w:val="both"/>
              <w:rPr>
                <w:rFonts w:asciiTheme="majorHAnsi" w:hAnsiTheme="majorHAnsi"/>
                <w:strike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4616D" w:rsidRPr="003629E1" w:rsidRDefault="0074616D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629E1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655" w:type="dxa"/>
          </w:tcPr>
          <w:p w:rsidR="0074616D" w:rsidRPr="00692146" w:rsidRDefault="00605615" w:rsidP="0087084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miestnosť 1,00</w:t>
            </w:r>
            <w:r w:rsidR="0074616D">
              <w:rPr>
                <w:rFonts w:asciiTheme="majorHAnsi" w:hAnsiTheme="majorHAnsi"/>
                <w:sz w:val="20"/>
                <w:szCs w:val="20"/>
              </w:rPr>
              <w:t xml:space="preserve"> €/m2/rok - </w:t>
            </w:r>
            <w:r>
              <w:rPr>
                <w:rFonts w:asciiTheme="majorHAnsi" w:hAnsiTheme="majorHAnsi"/>
                <w:sz w:val="20"/>
                <w:szCs w:val="20"/>
              </w:rPr>
              <w:t>124,27</w:t>
            </w:r>
            <w:r w:rsidR="0074616D" w:rsidRPr="00134E0D">
              <w:rPr>
                <w:rFonts w:asciiTheme="majorHAnsi" w:hAnsiTheme="majorHAnsi"/>
                <w:sz w:val="20"/>
                <w:szCs w:val="20"/>
              </w:rPr>
              <w:t>€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="0074616D">
              <w:rPr>
                <w:rFonts w:asciiTheme="majorHAnsi" w:hAnsiTheme="majorHAnsi"/>
                <w:sz w:val="20"/>
                <w:szCs w:val="20"/>
              </w:rPr>
              <w:t xml:space="preserve"> t. j.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nájomné spolu ročne 124,27</w:t>
            </w:r>
            <w:r w:rsidR="0074616D" w:rsidRPr="00692146">
              <w:rPr>
                <w:rFonts w:asciiTheme="majorHAnsi" w:hAnsiTheme="majorHAnsi"/>
                <w:b/>
                <w:sz w:val="20"/>
                <w:szCs w:val="20"/>
              </w:rPr>
              <w:t xml:space="preserve"> €</w:t>
            </w:r>
            <w:r w:rsidR="0074616D">
              <w:rPr>
                <w:rFonts w:asciiTheme="majorHAnsi" w:hAnsiTheme="majorHAnsi"/>
                <w:b/>
                <w:sz w:val="20"/>
                <w:szCs w:val="20"/>
              </w:rPr>
              <w:t>,</w:t>
            </w:r>
          </w:p>
          <w:p w:rsidR="0074616D" w:rsidRPr="00A47BAB" w:rsidRDefault="0074616D" w:rsidP="0087084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Pr="00A47BAB">
              <w:rPr>
                <w:rFonts w:asciiTheme="majorHAnsi" w:hAnsiTheme="majorHAnsi"/>
                <w:sz w:val="20"/>
                <w:szCs w:val="20"/>
              </w:rPr>
              <w:t>ájomné hradí nájomca štvrťročne vopred vždy k 15. dňu prvého mesiaca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47BAB">
              <w:rPr>
                <w:rFonts w:asciiTheme="majorHAnsi" w:hAnsiTheme="majorHAnsi"/>
                <w:sz w:val="20"/>
                <w:szCs w:val="20"/>
              </w:rPr>
              <w:t xml:space="preserve">daného štvrťroka </w:t>
            </w:r>
            <w:r w:rsidR="00605615">
              <w:rPr>
                <w:rFonts w:asciiTheme="majorHAnsi" w:hAnsiTheme="majorHAnsi"/>
                <w:sz w:val="20"/>
                <w:szCs w:val="20"/>
              </w:rPr>
              <w:t>vo výške  31,07</w:t>
            </w:r>
            <w:r w:rsidRPr="00A47BAB">
              <w:rPr>
                <w:rFonts w:asciiTheme="majorHAnsi" w:hAnsiTheme="majorHAnsi"/>
                <w:sz w:val="20"/>
                <w:szCs w:val="20"/>
              </w:rPr>
              <w:t xml:space="preserve"> €.</w:t>
            </w:r>
          </w:p>
          <w:p w:rsidR="0074616D" w:rsidRPr="00801C1E" w:rsidRDefault="00605615" w:rsidP="0060561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znížené 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 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súlade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 Čl. 5 bod 3 písm. d)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smernice</w:t>
            </w:r>
            <w:r w:rsidR="0074616D">
              <w:rPr>
                <w:rStyle w:val="Odkaznapoznmkupodiarou"/>
                <w:rFonts w:asciiTheme="majorHAnsi" w:hAnsiTheme="majorHAnsi"/>
                <w:sz w:val="20"/>
                <w:szCs w:val="20"/>
              </w:rPr>
              <w:footnoteReference w:id="1"/>
            </w:r>
          </w:p>
        </w:tc>
      </w:tr>
      <w:tr w:rsidR="0074616D" w:rsidRPr="00427FCF" w:rsidTr="0074616D">
        <w:trPr>
          <w:trHeight w:val="50"/>
        </w:trPr>
        <w:tc>
          <w:tcPr>
            <w:tcW w:w="426" w:type="dxa"/>
          </w:tcPr>
          <w:p w:rsidR="0074616D" w:rsidRPr="008A745F" w:rsidRDefault="0074616D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4616D" w:rsidRDefault="0074616D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Náklady za služby </w:t>
            </w:r>
          </w:p>
          <w:p w:rsidR="0074616D" w:rsidRPr="008A745F" w:rsidRDefault="0074616D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a energie:</w:t>
            </w:r>
          </w:p>
        </w:tc>
        <w:tc>
          <w:tcPr>
            <w:tcW w:w="7655" w:type="dxa"/>
          </w:tcPr>
          <w:p w:rsidR="0074616D" w:rsidRPr="00801C1E" w:rsidRDefault="00440E5C" w:rsidP="008708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bez úhrady</w:t>
            </w:r>
          </w:p>
        </w:tc>
      </w:tr>
      <w:tr w:rsidR="0074616D" w:rsidRPr="008A745F" w:rsidTr="0074616D">
        <w:tc>
          <w:tcPr>
            <w:tcW w:w="426" w:type="dxa"/>
          </w:tcPr>
          <w:p w:rsidR="0074616D" w:rsidRPr="008A745F" w:rsidRDefault="0074616D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74616D" w:rsidRPr="008A745F" w:rsidRDefault="0074616D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74616D" w:rsidRPr="00DC29AA" w:rsidRDefault="0074616D" w:rsidP="008708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riaditeľ ÚZ ŠD a J  </w:t>
            </w:r>
            <w:r w:rsidRPr="00DC29AA">
              <w:rPr>
                <w:rFonts w:asciiTheme="majorHAnsi" w:hAnsiTheme="majorHAnsi"/>
                <w:sz w:val="20"/>
                <w:szCs w:val="20"/>
              </w:rPr>
              <w:t xml:space="preserve"> STU</w:t>
            </w:r>
          </w:p>
        </w:tc>
      </w:tr>
    </w:tbl>
    <w:p w:rsidR="00880BE9" w:rsidRDefault="00880BE9" w:rsidP="00880BE9">
      <w:pPr>
        <w:pStyle w:val="Textpoznmkypodiarou"/>
        <w:jc w:val="both"/>
        <w:rPr>
          <w:rFonts w:asciiTheme="majorHAnsi" w:hAnsiTheme="majorHAnsi"/>
          <w:lang w:val="sk-SK"/>
        </w:rPr>
      </w:pPr>
    </w:p>
    <w:p w:rsidR="003E4341" w:rsidRDefault="003E4341" w:rsidP="00880BE9">
      <w:pPr>
        <w:pStyle w:val="Textpoznmkypodiarou"/>
        <w:jc w:val="both"/>
        <w:rPr>
          <w:rFonts w:asciiTheme="majorHAnsi" w:hAnsiTheme="majorHAnsi"/>
          <w:lang w:val="sk-SK"/>
        </w:rPr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832428" w:rsidRPr="00301D14" w:rsidTr="00832428">
        <w:tc>
          <w:tcPr>
            <w:tcW w:w="426" w:type="dxa"/>
          </w:tcPr>
          <w:p w:rsidR="00832428" w:rsidRPr="00EF6A42" w:rsidRDefault="00832428" w:rsidP="0087084B">
            <w:pPr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3.</w:t>
            </w:r>
          </w:p>
        </w:tc>
        <w:tc>
          <w:tcPr>
            <w:tcW w:w="1843" w:type="dxa"/>
          </w:tcPr>
          <w:p w:rsidR="00832428" w:rsidRPr="00302217" w:rsidRDefault="00832428" w:rsidP="0087084B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30221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832428" w:rsidRPr="00405FA0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JUDr.Barbora Vrbová, advokátka</w:t>
            </w: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A.Gwerkovej1535/2, 851 04 Bratislava,</w:t>
            </w:r>
          </w:p>
          <w:p w:rsidR="00832428" w:rsidRPr="00405FA0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je podnikateľom zapísaný v zozname advokátov SAK</w:t>
            </w:r>
          </w:p>
        </w:tc>
      </w:tr>
      <w:tr w:rsidR="00832428" w:rsidRPr="008E454E" w:rsidTr="00832428">
        <w:tc>
          <w:tcPr>
            <w:tcW w:w="426" w:type="dxa"/>
          </w:tcPr>
          <w:p w:rsidR="00832428" w:rsidRPr="008A745F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32428" w:rsidRPr="008A745F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832428" w:rsidRPr="00A12E57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>dočasne nepotrebný majetok,  nebytové priestory (NP) 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 ŠD N. Belojanisa</w:t>
            </w: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>,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Wilsonova 6, Bratislava,  miestnosť č. 02NB-0109 – kancelária   o výmere 24,09</w:t>
            </w: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>m</w:t>
            </w:r>
            <w:r w:rsidRPr="00A12E57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nachádzajúcej</w:t>
            </w: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sa na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prízemí ŠD spolu</w:t>
            </w: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 pomernou časťou spoločných priestorov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(WC a chodba)</w:t>
            </w: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>. Jedná sa o novú nájomnú zmluvu,</w:t>
            </w:r>
          </w:p>
          <w:p w:rsidR="00832428" w:rsidRPr="00A12E57" w:rsidRDefault="00832428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>predmet nájmu spolu vo výmere: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24,09</w:t>
            </w: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m</w:t>
            </w:r>
            <w:r w:rsidRPr="00A12E57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 w:rsidRPr="00A12E5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. </w:t>
            </w:r>
          </w:p>
        </w:tc>
      </w:tr>
      <w:tr w:rsidR="00832428" w:rsidRPr="008E454E" w:rsidTr="00832428">
        <w:tc>
          <w:tcPr>
            <w:tcW w:w="426" w:type="dxa"/>
          </w:tcPr>
          <w:p w:rsidR="00832428" w:rsidRPr="008A745F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32428" w:rsidRPr="008A745F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832428" w:rsidRPr="00DC29AA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vykonávanie advokátskej praxe.</w:t>
            </w:r>
          </w:p>
        </w:tc>
      </w:tr>
      <w:tr w:rsidR="00832428" w:rsidRPr="008E454E" w:rsidTr="00832428">
        <w:trPr>
          <w:trHeight w:val="259"/>
        </w:trPr>
        <w:tc>
          <w:tcPr>
            <w:tcW w:w="426" w:type="dxa"/>
          </w:tcPr>
          <w:p w:rsidR="00832428" w:rsidRPr="008A745F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32428" w:rsidRPr="008A745F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832428" w:rsidRPr="00DC29AA" w:rsidRDefault="00832428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01.04.2016 do 31.03.2018</w:t>
            </w:r>
          </w:p>
        </w:tc>
      </w:tr>
      <w:tr w:rsidR="00832428" w:rsidRPr="00000C78" w:rsidTr="00832428">
        <w:tc>
          <w:tcPr>
            <w:tcW w:w="426" w:type="dxa"/>
          </w:tcPr>
          <w:p w:rsidR="00832428" w:rsidRPr="00BE3D00" w:rsidRDefault="00832428" w:rsidP="0087084B">
            <w:pPr>
              <w:jc w:val="both"/>
              <w:rPr>
                <w:rFonts w:asciiTheme="majorHAnsi" w:hAnsiTheme="majorHAnsi"/>
                <w:strike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32428" w:rsidRPr="003629E1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629E1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655" w:type="dxa"/>
          </w:tcPr>
          <w:p w:rsidR="00832428" w:rsidRPr="00692146" w:rsidRDefault="00832428" w:rsidP="0087084B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kancelária 90,00 €/m</w:t>
            </w:r>
            <w:r w:rsidRPr="00161BAD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/ročne– 2 168,10 €, t. j.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nájomné spolu ročne 2 168,10 </w:t>
            </w:r>
            <w:r w:rsidRPr="00692146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€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,</w:t>
            </w:r>
          </w:p>
          <w:p w:rsidR="00832428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</w:t>
            </w:r>
            <w:r w:rsidRPr="00A47BAB">
              <w:rPr>
                <w:rFonts w:asciiTheme="majorHAnsi" w:hAnsiTheme="majorHAnsi"/>
                <w:sz w:val="20"/>
                <w:szCs w:val="20"/>
                <w:lang w:val="sk-SK"/>
              </w:rPr>
              <w:t>ájomné hradí nájomca štvrťročne vopred vždy k 15. dňu prvého mesiaca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 w:rsidRPr="00A47BAB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daného štvrťroka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vo výške  542,03 €, </w:t>
            </w:r>
          </w:p>
          <w:p w:rsidR="00832428" w:rsidRPr="005D35C6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</w:pPr>
            <w:r w:rsidRPr="00A47BAB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A47BAB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832428" w:rsidRPr="000F23D7" w:rsidTr="00832428">
        <w:trPr>
          <w:trHeight w:val="50"/>
        </w:trPr>
        <w:tc>
          <w:tcPr>
            <w:tcW w:w="426" w:type="dxa"/>
          </w:tcPr>
          <w:p w:rsidR="00832428" w:rsidRPr="008A745F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32428" w:rsidRPr="008A745F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832428" w:rsidRDefault="00832428" w:rsidP="0087084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p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reddavky na náklady za opakov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ané dodávanie energií a služieb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bude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prenajímateľ</w:t>
            </w:r>
          </w:p>
          <w:p w:rsidR="00832428" w:rsidRDefault="00832428" w:rsidP="0087084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fakturovať štvrťročne; za dodanie energií vyfakturuje prenajímateľ  </w:t>
            </w:r>
            <w:r w:rsidRPr="00F21CC9">
              <w:rPr>
                <w:rFonts w:ascii="Calibri" w:hAnsi="Calibri"/>
                <w:sz w:val="20"/>
                <w:szCs w:val="20"/>
                <w:u w:val="single"/>
                <w:lang w:val="sk-SK"/>
              </w:rPr>
              <w:t>zálohovo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 do 15 dní po</w:t>
            </w:r>
          </w:p>
          <w:p w:rsidR="00832428" w:rsidRDefault="00832428" w:rsidP="0087084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uplynutí daného štvrťroka.  Náklady za dodanie služieb budú fakturované paušálnou</w:t>
            </w:r>
          </w:p>
          <w:p w:rsidR="00832428" w:rsidRDefault="00832428" w:rsidP="0087084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sumou do 15 dní po uplynutí príslušného štvrťroka. Prenajímateľ po obdržaní zúčtovacích</w:t>
            </w:r>
          </w:p>
          <w:p w:rsidR="00832428" w:rsidRDefault="00832428" w:rsidP="0087084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faktúr od dodávateľov energií vyhotoví nájomcovi vyúčtovaciu faktúru za príslušný</w:t>
            </w:r>
          </w:p>
          <w:p w:rsidR="00832428" w:rsidRDefault="00832428" w:rsidP="0087084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kalendárny rok.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Splatnosť nedoplatku alebo preplatku zo zúčtovacej faktúry je 15</w:t>
            </w:r>
          </w:p>
          <w:p w:rsidR="00832428" w:rsidRPr="00801C1E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kalendárnych dní odo dňa doručenia vyúčtovania nájomcovi.</w:t>
            </w:r>
          </w:p>
        </w:tc>
      </w:tr>
      <w:tr w:rsidR="00832428" w:rsidRPr="008A745F" w:rsidTr="00832428">
        <w:tc>
          <w:tcPr>
            <w:tcW w:w="426" w:type="dxa"/>
          </w:tcPr>
          <w:p w:rsidR="00832428" w:rsidRPr="008A745F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832428" w:rsidRPr="008A745F" w:rsidRDefault="00832428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832428" w:rsidRPr="00DC29AA" w:rsidRDefault="00832428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riaditeľ ÚZ ŠD a J  </w:t>
            </w: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STU</w:t>
            </w:r>
          </w:p>
        </w:tc>
      </w:tr>
    </w:tbl>
    <w:p w:rsidR="00880BE9" w:rsidRDefault="00880BE9" w:rsidP="008D722A">
      <w:pPr>
        <w:jc w:val="both"/>
        <w:rPr>
          <w:rFonts w:asciiTheme="majorHAnsi" w:hAnsiTheme="majorHAnsi"/>
          <w:lang w:val="sk-SK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440E5C" w:rsidRPr="00493318" w:rsidTr="00440E5C">
        <w:tc>
          <w:tcPr>
            <w:tcW w:w="426" w:type="dxa"/>
          </w:tcPr>
          <w:p w:rsidR="00440E5C" w:rsidRPr="007C340F" w:rsidRDefault="00440E5C" w:rsidP="0087084B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4</w:t>
            </w: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43" w:type="dxa"/>
          </w:tcPr>
          <w:p w:rsidR="00440E5C" w:rsidRPr="007C340F" w:rsidRDefault="00440E5C" w:rsidP="0087084B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440E5C" w:rsidRDefault="00440E5C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Richard Tahotný,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Cajlanská 49, 902 01 Pezinok,</w:t>
            </w:r>
          </w:p>
          <w:p w:rsidR="00440E5C" w:rsidRPr="00493318" w:rsidRDefault="00440E5C" w:rsidP="0087084B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je podnikateľom zapísaným na OÚ v Pezimku, živnostenský reg. č. 107-13120.  </w:t>
            </w:r>
          </w:p>
        </w:tc>
      </w:tr>
      <w:tr w:rsidR="00440E5C" w:rsidRPr="007B0C3B" w:rsidTr="00440E5C">
        <w:tc>
          <w:tcPr>
            <w:tcW w:w="426" w:type="dxa"/>
          </w:tcPr>
          <w:p w:rsidR="00440E5C" w:rsidRPr="00DC29AA" w:rsidRDefault="00440E5C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40E5C" w:rsidRPr="00DC29AA" w:rsidRDefault="00440E5C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902D2D" w:rsidRDefault="00440E5C" w:rsidP="00902D2D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dočasne nepotrebný majetok, nebytový priestor (NP) nachádzajúci sa  v ŠD Mladosť, Staré</w:t>
            </w:r>
          </w:p>
          <w:p w:rsidR="00902D2D" w:rsidRDefault="00440E5C" w:rsidP="00902D2D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grunty 53, Bratislava</w:t>
            </w:r>
            <w:r w:rsidR="00503459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pred blokom „D1“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</w:t>
            </w:r>
            <w:r w:rsidR="00503459">
              <w:rPr>
                <w:rFonts w:asciiTheme="majorHAnsi" w:hAnsiTheme="majorHAnsi"/>
                <w:sz w:val="20"/>
                <w:szCs w:val="20"/>
                <w:lang w:val="sk-SK"/>
              </w:rPr>
              <w:t>označený v PD ako smetník č. 1  o výmere 22,00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m</w:t>
            </w:r>
            <w:r w:rsidRPr="00D87562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 w:rsidR="00503459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  <w:p w:rsidR="00902D2D" w:rsidRDefault="00503459" w:rsidP="00902D2D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503459">
              <w:rPr>
                <w:rFonts w:asciiTheme="majorHAnsi" w:hAnsiTheme="majorHAnsi"/>
                <w:sz w:val="20"/>
                <w:szCs w:val="20"/>
                <w:lang w:val="sk-SK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prevá</w:t>
            </w:r>
            <w:r w:rsidRPr="00503459">
              <w:rPr>
                <w:rFonts w:asciiTheme="majorHAnsi" w:hAnsiTheme="majorHAnsi"/>
                <w:sz w:val="20"/>
                <w:szCs w:val="20"/>
                <w:lang w:val="sk-SK"/>
              </w:rPr>
              <w:t>dzkový priestor a skladový priestor o výmere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o výmere 5,72</w:t>
            </w:r>
            <w:r w:rsidR="00440E5C">
              <w:rPr>
                <w:rFonts w:asciiTheme="majorHAnsi" w:hAnsiTheme="majorHAnsi"/>
                <w:sz w:val="20"/>
                <w:szCs w:val="20"/>
                <w:lang w:val="sk-SK"/>
              </w:rPr>
              <w:t>m</w:t>
            </w:r>
            <w:r w:rsidR="00440E5C" w:rsidRPr="00D87562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. </w:t>
            </w:r>
          </w:p>
          <w:p w:rsidR="00902D2D" w:rsidRDefault="00902D2D" w:rsidP="00902D2D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Jedná sa </w:t>
            </w:r>
            <w:r w:rsidRPr="00902D2D">
              <w:rPr>
                <w:rFonts w:asciiTheme="majorHAnsi" w:hAnsiTheme="majorHAnsi"/>
                <w:sz w:val="20"/>
                <w:szCs w:val="20"/>
                <w:lang w:val="sk-SK"/>
              </w:rPr>
              <w:t>o zmluvu opakovanú a predloženú z dôvodu akceptácie platných predpisov</w:t>
            </w:r>
          </w:p>
          <w:p w:rsidR="00902D2D" w:rsidRDefault="00902D2D" w:rsidP="00902D2D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902D2D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v súčinnosti s § 47 ods. 1, § 47a ods. 4 Obč. zákonníka a zákona 211/2000 Z. z. a zákona </w:t>
            </w:r>
          </w:p>
          <w:p w:rsidR="00902D2D" w:rsidRPr="00902D2D" w:rsidRDefault="00902D2D" w:rsidP="00902D2D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902D2D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546/2010 Z. z., ktorým sa nemí a dopĺňa Obč. zákonník.   </w:t>
            </w:r>
          </w:p>
          <w:p w:rsidR="00440E5C" w:rsidRPr="007B0C3B" w:rsidRDefault="00440E5C" w:rsidP="0050345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predmet nájmu spolu vo výmere </w:t>
            </w:r>
            <w:r w:rsidR="00503459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27,72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m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</w:tr>
      <w:tr w:rsidR="00440E5C" w:rsidRPr="008E454E" w:rsidTr="00440E5C">
        <w:tc>
          <w:tcPr>
            <w:tcW w:w="426" w:type="dxa"/>
          </w:tcPr>
          <w:p w:rsidR="00440E5C" w:rsidRPr="00DC29AA" w:rsidRDefault="00440E5C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40E5C" w:rsidRPr="00DC29AA" w:rsidRDefault="00440E5C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503459" w:rsidRDefault="00902D2D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p</w:t>
            </w:r>
            <w:r w:rsidR="00503459">
              <w:rPr>
                <w:rFonts w:asciiTheme="majorHAnsi" w:hAnsiTheme="majorHAnsi"/>
                <w:sz w:val="20"/>
                <w:szCs w:val="20"/>
                <w:lang w:val="sk-SK"/>
              </w:rPr>
              <w:t>ohostinská činnosť v súlade s prevádzkovým poriadkom, ktorý musí byť potvrdený</w:t>
            </w:r>
          </w:p>
          <w:p w:rsidR="00440E5C" w:rsidRPr="008E454E" w:rsidRDefault="00503459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riaditeľom ŠD Mladosť</w:t>
            </w:r>
            <w:r w:rsidR="00440E5C"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</w:p>
        </w:tc>
      </w:tr>
      <w:tr w:rsidR="00440E5C" w:rsidRPr="008E454E" w:rsidTr="00440E5C">
        <w:trPr>
          <w:trHeight w:val="259"/>
        </w:trPr>
        <w:tc>
          <w:tcPr>
            <w:tcW w:w="426" w:type="dxa"/>
          </w:tcPr>
          <w:p w:rsidR="00440E5C" w:rsidRPr="00DC29AA" w:rsidRDefault="00440E5C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0E5C" w:rsidRPr="00DC29AA" w:rsidRDefault="00440E5C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40E5C" w:rsidRPr="008E454E" w:rsidRDefault="00503459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01.04.2016 do 31.03.2020</w:t>
            </w:r>
          </w:p>
        </w:tc>
      </w:tr>
      <w:tr w:rsidR="00440E5C" w:rsidRPr="002D2A91" w:rsidTr="00440E5C">
        <w:trPr>
          <w:trHeight w:val="1240"/>
        </w:trPr>
        <w:tc>
          <w:tcPr>
            <w:tcW w:w="426" w:type="dxa"/>
            <w:tcBorders>
              <w:right w:val="single" w:sz="4" w:space="0" w:color="auto"/>
            </w:tcBorders>
          </w:tcPr>
          <w:p w:rsidR="00440E5C" w:rsidRPr="00DC29AA" w:rsidRDefault="00440E5C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0E5C" w:rsidRDefault="00440E5C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440E5C" w:rsidRPr="000B1A3B" w:rsidRDefault="00440E5C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440E5C" w:rsidRPr="00E846D7" w:rsidRDefault="00902D2D" w:rsidP="0087084B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prevádzková miestnosť  – 40</w:t>
            </w:r>
            <w:r w:rsidR="00440E5C" w:rsidRPr="00E83934">
              <w:rPr>
                <w:rFonts w:asciiTheme="majorHAnsi" w:hAnsiTheme="majorHAnsi"/>
                <w:sz w:val="20"/>
                <w:szCs w:val="20"/>
                <w:lang w:val="sk-SK"/>
              </w:rPr>
              <w:t>,00 €/m</w:t>
            </w:r>
            <w:r w:rsidR="00440E5C" w:rsidRPr="00E83934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 w:rsidR="00440E5C" w:rsidRPr="00E83934">
              <w:rPr>
                <w:rFonts w:asciiTheme="majorHAnsi" w:hAnsiTheme="majorHAnsi"/>
                <w:sz w:val="20"/>
                <w:szCs w:val="20"/>
                <w:lang w:val="sk-SK"/>
              </w:rPr>
              <w:t>/rok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- 880,00 € a skladový priestor – 2</w:t>
            </w:r>
            <w:r w:rsidR="00440E5C" w:rsidRPr="00E83934">
              <w:rPr>
                <w:rFonts w:asciiTheme="majorHAnsi" w:hAnsiTheme="majorHAnsi"/>
                <w:sz w:val="20"/>
                <w:szCs w:val="20"/>
                <w:lang w:val="sk-SK"/>
              </w:rPr>
              <w:t>0,00€/m</w:t>
            </w:r>
            <w:r w:rsidR="00440E5C" w:rsidRPr="00D87562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/rok – 114,40</w:t>
            </w:r>
            <w:r w:rsidR="00440E5C" w:rsidRPr="00E83934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</w:t>
            </w:r>
            <w:r w:rsidR="00440E5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 w:rsidR="00440E5C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="00440E5C" w:rsidRPr="00B10AB3">
              <w:rPr>
                <w:rFonts w:asciiTheme="majorHAnsi" w:hAnsiTheme="majorHAnsi"/>
                <w:sz w:val="20"/>
                <w:szCs w:val="20"/>
                <w:lang w:val="sk-SK"/>
              </w:rPr>
              <w:t>t. j.</w:t>
            </w:r>
            <w:r w:rsidR="00440E5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v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ýška nájomného ročne je 994,40</w:t>
            </w:r>
            <w:r w:rsidR="00440E5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€.</w:t>
            </w:r>
          </w:p>
          <w:p w:rsidR="00440E5C" w:rsidRPr="008E454E" w:rsidRDefault="00440E5C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ájomné hradí </w:t>
            </w:r>
            <w:r w:rsidRPr="008E454E">
              <w:rPr>
                <w:rFonts w:asciiTheme="majorHAnsi" w:hAnsiTheme="majorHAnsi" w:cs="Arial"/>
                <w:sz w:val="20"/>
                <w:szCs w:val="20"/>
                <w:lang w:val="sk-SK"/>
              </w:rPr>
              <w:t>nájomca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štvrťročne vopred vždy k 15. dňu prvého mesiaca</w:t>
            </w:r>
            <w:r w:rsidRPr="008E454E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d</w:t>
            </w:r>
            <w:r w:rsidR="00902D2D">
              <w:rPr>
                <w:rFonts w:asciiTheme="majorHAnsi" w:hAnsiTheme="majorHAnsi"/>
                <w:sz w:val="20"/>
                <w:szCs w:val="20"/>
                <w:lang w:val="sk-SK"/>
              </w:rPr>
              <w:t>aného štvrťroka vo výške  248,60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€,</w:t>
            </w:r>
          </w:p>
          <w:p w:rsidR="00440E5C" w:rsidRPr="004C3FE4" w:rsidRDefault="00440E5C" w:rsidP="00902D2D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 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súlade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so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smernicou </w:t>
            </w:r>
            <w:r w:rsidRPr="00223B7C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</w:p>
        </w:tc>
      </w:tr>
      <w:tr w:rsidR="00440E5C" w:rsidRPr="00170F8F" w:rsidTr="00440E5C">
        <w:trPr>
          <w:trHeight w:val="50"/>
        </w:trPr>
        <w:tc>
          <w:tcPr>
            <w:tcW w:w="426" w:type="dxa"/>
          </w:tcPr>
          <w:p w:rsidR="00440E5C" w:rsidRPr="00DC29AA" w:rsidRDefault="00440E5C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40E5C" w:rsidRPr="00DC29AA" w:rsidRDefault="00440E5C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55" w:type="dxa"/>
          </w:tcPr>
          <w:p w:rsidR="00440E5C" w:rsidRDefault="00440E5C" w:rsidP="0087084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p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reddavky na náklady za opakov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ané dodávanie energií a služieb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bude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prenajímateľ</w:t>
            </w:r>
          </w:p>
          <w:p w:rsidR="00440E5C" w:rsidRDefault="00440E5C" w:rsidP="0087084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fakturovať štvrťročne; za dodanie energií vyfakturuje prenajímateľ  </w:t>
            </w:r>
            <w:r w:rsidRPr="00F21CC9">
              <w:rPr>
                <w:rFonts w:ascii="Calibri" w:hAnsi="Calibri"/>
                <w:sz w:val="20"/>
                <w:szCs w:val="20"/>
                <w:u w:val="single"/>
                <w:lang w:val="sk-SK"/>
              </w:rPr>
              <w:t>zálohovo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 do 15 dní</w:t>
            </w:r>
          </w:p>
          <w:p w:rsidR="00440E5C" w:rsidRDefault="00440E5C" w:rsidP="0087084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po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uplynutí daného štvrťroka.  Náklady za dodanie služieb budú fakturované paušálnou</w:t>
            </w:r>
          </w:p>
          <w:p w:rsidR="00440E5C" w:rsidRDefault="00440E5C" w:rsidP="0087084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sumou do 15 dní po uplynutí príslušného štv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>rťroka. Prenajímateľ po obdržaní</w:t>
            </w:r>
          </w:p>
          <w:p w:rsidR="00440E5C" w:rsidRDefault="00440E5C" w:rsidP="0087084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zúčtovacích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faktúr od dodávateľov energií vyhotoví nájomcovi vyúčtovaciu faktúru za</w:t>
            </w:r>
          </w:p>
          <w:p w:rsidR="00440E5C" w:rsidRDefault="00440E5C" w:rsidP="0087084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príslušný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kalendárny rok.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Splatnosť nedoplatku alebo pre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>platku zo zúčtovacej faktúry je</w:t>
            </w:r>
          </w:p>
          <w:p w:rsidR="00440E5C" w:rsidRPr="00170F8F" w:rsidRDefault="00440E5C" w:rsidP="0087084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15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</w:rPr>
              <w:t>kalendárnych dní odo dňa doručenia vyúčtovania nájomcovi.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</w:p>
        </w:tc>
      </w:tr>
      <w:tr w:rsidR="00440E5C" w:rsidRPr="008A745F" w:rsidTr="00440E5C">
        <w:tc>
          <w:tcPr>
            <w:tcW w:w="426" w:type="dxa"/>
          </w:tcPr>
          <w:p w:rsidR="00440E5C" w:rsidRPr="00DC29AA" w:rsidRDefault="00440E5C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40E5C" w:rsidRPr="00DC29AA" w:rsidRDefault="00440E5C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440E5C" w:rsidRPr="008A745F" w:rsidRDefault="00440E5C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riaditeľ ÚZ ŠD a J STU</w:t>
            </w:r>
          </w:p>
        </w:tc>
      </w:tr>
    </w:tbl>
    <w:p w:rsidR="00483A86" w:rsidRDefault="00483A86" w:rsidP="008D722A">
      <w:pPr>
        <w:jc w:val="both"/>
        <w:rPr>
          <w:rFonts w:asciiTheme="majorHAnsi" w:hAnsiTheme="majorHAnsi"/>
          <w:lang w:val="sk-SK"/>
        </w:rPr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7655"/>
      </w:tblGrid>
      <w:tr w:rsidR="00AB6196" w:rsidRPr="00301D14" w:rsidTr="0087084B">
        <w:tc>
          <w:tcPr>
            <w:tcW w:w="567" w:type="dxa"/>
          </w:tcPr>
          <w:p w:rsidR="00AB6196" w:rsidRPr="00EF6A42" w:rsidRDefault="00AB6196" w:rsidP="0087084B">
            <w:pPr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5.</w:t>
            </w:r>
          </w:p>
        </w:tc>
        <w:tc>
          <w:tcPr>
            <w:tcW w:w="1702" w:type="dxa"/>
          </w:tcPr>
          <w:p w:rsidR="00AB6196" w:rsidRPr="00302217" w:rsidRDefault="00AB6196" w:rsidP="0087084B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30221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AB6196" w:rsidRPr="00405FA0" w:rsidRDefault="00AB6196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405FA0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iDomy, s. r. o</w:t>
            </w: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>., Pionierska 15, 831 02 Bratislava</w:t>
            </w:r>
          </w:p>
          <w:p w:rsidR="00AB6196" w:rsidRPr="00405FA0" w:rsidRDefault="00AB6196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>nájomca je zapísaný   v OR OS Bratislava I , oddiel: Sro, vložka č. 60842/B.</w:t>
            </w:r>
          </w:p>
        </w:tc>
      </w:tr>
      <w:tr w:rsidR="00AB6196" w:rsidRPr="00D95892" w:rsidTr="0087084B">
        <w:tc>
          <w:tcPr>
            <w:tcW w:w="567" w:type="dxa"/>
          </w:tcPr>
          <w:p w:rsidR="00AB6196" w:rsidRPr="008A745F" w:rsidRDefault="00AB6196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AB6196" w:rsidRPr="008A745F" w:rsidRDefault="00AB6196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AB6196" w:rsidRPr="00405FA0" w:rsidRDefault="00AB6196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AB6196">
              <w:rPr>
                <w:rFonts w:asciiTheme="majorHAnsi" w:hAnsiTheme="majorHAnsi"/>
                <w:sz w:val="20"/>
                <w:szCs w:val="20"/>
                <w:lang w:val="sk-SK"/>
              </w:rPr>
              <w:t>dočasne nepotrebný majetok   -  nebytový priestor(NP)  – miestnosť č. 352 nachádzajúca sa na 3. poschodí  budovy UTI na Pionierskej 15, Bratislava a hnuteľné veci nachádzajúce sa v predmetnom NP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>spolu s pomernou časťou spoločných priestorov (chodba, WC, kuchynka a pod.).  Jedná sa opakovaný nájom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,</w:t>
            </w:r>
          </w:p>
          <w:p w:rsidR="00AB6196" w:rsidRPr="00405FA0" w:rsidRDefault="00AB6196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c</w:t>
            </w: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elková výmera podlahovej plochy  je </w:t>
            </w:r>
            <w:r w:rsidRPr="00405FA0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31,00m</w:t>
            </w:r>
            <w:r w:rsidRPr="00405FA0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405FA0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</w:p>
        </w:tc>
      </w:tr>
      <w:tr w:rsidR="00AB6196" w:rsidRPr="008E454E" w:rsidTr="0087084B">
        <w:tc>
          <w:tcPr>
            <w:tcW w:w="567" w:type="dxa"/>
          </w:tcPr>
          <w:p w:rsidR="00AB6196" w:rsidRPr="008A745F" w:rsidRDefault="00AB6196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AB6196" w:rsidRPr="008A745F" w:rsidRDefault="00AB6196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AB6196" w:rsidRPr="00405FA0" w:rsidRDefault="00AB6196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>vykonávania p</w:t>
            </w:r>
            <w:r w:rsidR="0010374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odnikateľskej  činnosti </w:t>
            </w:r>
          </w:p>
        </w:tc>
      </w:tr>
      <w:tr w:rsidR="00AB6196" w:rsidRPr="008E454E" w:rsidTr="0087084B">
        <w:trPr>
          <w:trHeight w:val="259"/>
        </w:trPr>
        <w:tc>
          <w:tcPr>
            <w:tcW w:w="567" w:type="dxa"/>
          </w:tcPr>
          <w:p w:rsidR="00AB6196" w:rsidRPr="008A745F" w:rsidRDefault="00AB6196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AB6196" w:rsidRPr="008A745F" w:rsidRDefault="00AB6196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AB6196" w:rsidRPr="00405FA0" w:rsidRDefault="00AB6196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01.03.2016 do 31.01.2017</w:t>
            </w:r>
          </w:p>
        </w:tc>
      </w:tr>
      <w:tr w:rsidR="00AB6196" w:rsidRPr="00000C78" w:rsidTr="0087084B">
        <w:tc>
          <w:tcPr>
            <w:tcW w:w="567" w:type="dxa"/>
          </w:tcPr>
          <w:p w:rsidR="00AB6196" w:rsidRPr="00BE3D00" w:rsidRDefault="00AB6196" w:rsidP="0087084B">
            <w:pPr>
              <w:jc w:val="both"/>
              <w:rPr>
                <w:rFonts w:asciiTheme="majorHAnsi" w:hAnsiTheme="majorHAnsi"/>
                <w:strike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AB6196" w:rsidRPr="003629E1" w:rsidRDefault="00AB6196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629E1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655" w:type="dxa"/>
          </w:tcPr>
          <w:p w:rsidR="00AB6196" w:rsidRPr="00405FA0" w:rsidRDefault="00AB6196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miestnosti spolu </w:t>
            </w: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>31,00m</w:t>
            </w:r>
            <w:r w:rsidRPr="00405FA0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>-</w:t>
            </w:r>
            <w:r w:rsidRPr="00405FA0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 xml:space="preserve"> </w:t>
            </w: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>149,85 €/mesačne najneskôr do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15. dňa príslušného kalendárneho mesiaca za daný mesiac. Nájomné za hnuteľné veci zaplatí nájomca vždy do 15. dňa príslušného mesiaca vo výške 69,73 €/mes. spolu s úhradou sa služby vo výške 116,25 €/mes. a  </w:t>
            </w:r>
            <w:r w:rsidRPr="00405FA0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t. j.   335,83€/mesiac.</w:t>
            </w:r>
          </w:p>
          <w:p w:rsidR="00AB6196" w:rsidRPr="00405FA0" w:rsidRDefault="00AB6196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405FA0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Ročne 4 029,96 €,</w:t>
            </w:r>
            <w:r w:rsidR="00DA762E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    </w:t>
            </w:r>
            <w:r w:rsidR="00B933BA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 </w:t>
            </w:r>
          </w:p>
          <w:p w:rsidR="00AB6196" w:rsidRPr="00C66C2F" w:rsidRDefault="00AB6196" w:rsidP="0087084B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DA762E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 w:rsidR="00C66C2F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- - čl.5, bod 2 a v súlade s platným cenníkom UTI STU</w:t>
            </w:r>
          </w:p>
        </w:tc>
      </w:tr>
      <w:tr w:rsidR="00AB6196" w:rsidRPr="00427FCF" w:rsidTr="0087084B">
        <w:trPr>
          <w:trHeight w:val="50"/>
        </w:trPr>
        <w:tc>
          <w:tcPr>
            <w:tcW w:w="567" w:type="dxa"/>
          </w:tcPr>
          <w:p w:rsidR="00AB6196" w:rsidRPr="008A745F" w:rsidRDefault="00AB6196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AB6196" w:rsidRPr="008A745F" w:rsidRDefault="00AB6196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Náklady za služby:</w:t>
            </w:r>
          </w:p>
        </w:tc>
        <w:tc>
          <w:tcPr>
            <w:tcW w:w="7655" w:type="dxa"/>
          </w:tcPr>
          <w:p w:rsidR="00AB6196" w:rsidRPr="00405FA0" w:rsidRDefault="00AB6196" w:rsidP="0087084B">
            <w:pPr>
              <w:pStyle w:val="Zkladntext"/>
              <w:rPr>
                <w:rFonts w:asciiTheme="majorHAnsi" w:hAnsiTheme="majorHAnsi"/>
                <w:sz w:val="20"/>
              </w:rPr>
            </w:pPr>
            <w:r w:rsidRPr="00405FA0">
              <w:rPr>
                <w:rFonts w:asciiTheme="majorHAnsi" w:hAnsiTheme="majorHAnsi"/>
                <w:sz w:val="20"/>
              </w:rPr>
              <w:t>elektrina, teplo, TÚV a SÚV, OLO – 116,25 € mesačne  a sú súčasťou mesačného</w:t>
            </w:r>
          </w:p>
          <w:p w:rsidR="00AB6196" w:rsidRPr="00405FA0" w:rsidRDefault="00AB6196" w:rsidP="0087084B">
            <w:pPr>
              <w:pStyle w:val="Zkladntext"/>
              <w:rPr>
                <w:rFonts w:asciiTheme="majorHAnsi" w:hAnsiTheme="majorHAnsi"/>
                <w:sz w:val="20"/>
              </w:rPr>
            </w:pPr>
            <w:r w:rsidRPr="00405FA0">
              <w:rPr>
                <w:rFonts w:asciiTheme="majorHAnsi" w:hAnsiTheme="majorHAnsi"/>
                <w:sz w:val="20"/>
              </w:rPr>
              <w:t xml:space="preserve">nájomného </w:t>
            </w:r>
          </w:p>
        </w:tc>
      </w:tr>
      <w:tr w:rsidR="00AB6196" w:rsidRPr="008A745F" w:rsidTr="0087084B">
        <w:tc>
          <w:tcPr>
            <w:tcW w:w="567" w:type="dxa"/>
          </w:tcPr>
          <w:p w:rsidR="00AB6196" w:rsidRPr="008A745F" w:rsidRDefault="00AB6196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AB6196" w:rsidRPr="008A745F" w:rsidRDefault="00AB6196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AB6196" w:rsidRPr="00405FA0" w:rsidRDefault="00AB6196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>vedúca UTI STU</w:t>
            </w:r>
          </w:p>
        </w:tc>
      </w:tr>
    </w:tbl>
    <w:p w:rsidR="005E4F6D" w:rsidRDefault="005E4F6D" w:rsidP="008D722A">
      <w:pPr>
        <w:jc w:val="both"/>
        <w:rPr>
          <w:rFonts w:asciiTheme="majorHAnsi" w:hAnsiTheme="majorHAnsi"/>
          <w:b/>
          <w:lang w:val="sk-SK"/>
        </w:rPr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7655"/>
      </w:tblGrid>
      <w:tr w:rsidR="0010374F" w:rsidRPr="00301D14" w:rsidTr="0087084B">
        <w:tc>
          <w:tcPr>
            <w:tcW w:w="567" w:type="dxa"/>
          </w:tcPr>
          <w:p w:rsidR="0010374F" w:rsidRPr="00EF6A42" w:rsidRDefault="0010374F" w:rsidP="0087084B">
            <w:pPr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6.</w:t>
            </w:r>
          </w:p>
        </w:tc>
        <w:tc>
          <w:tcPr>
            <w:tcW w:w="1702" w:type="dxa"/>
          </w:tcPr>
          <w:p w:rsidR="0010374F" w:rsidRPr="00302217" w:rsidRDefault="0010374F" w:rsidP="0087084B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30221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10374F" w:rsidRPr="00405FA0" w:rsidRDefault="0010374F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AI-MAPS</w:t>
            </w:r>
            <w:r w:rsidRPr="00405FA0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, s. r. o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., Tallerova 4, 81</w:t>
            </w: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>1 02 Bratislava</w:t>
            </w:r>
          </w:p>
          <w:p w:rsidR="0010374F" w:rsidRPr="00405FA0" w:rsidRDefault="0010374F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nájomca je zapísaný   v OR OS Bratislava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I , oddiel: Sro, vložka č. 105762</w:t>
            </w: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>/B.</w:t>
            </w:r>
          </w:p>
        </w:tc>
      </w:tr>
      <w:tr w:rsidR="0010374F" w:rsidRPr="00D95892" w:rsidTr="0087084B">
        <w:tc>
          <w:tcPr>
            <w:tcW w:w="567" w:type="dxa"/>
          </w:tcPr>
          <w:p w:rsidR="0010374F" w:rsidRPr="008A745F" w:rsidRDefault="0010374F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10374F" w:rsidRPr="008A745F" w:rsidRDefault="0010374F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10374F" w:rsidRPr="00405FA0" w:rsidRDefault="0010374F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AB6196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dočasne nepotrebný majetok   -  nebytový priestor(NP)  –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miestnosť č. 323</w:t>
            </w:r>
            <w:r w:rsidRPr="00AB6196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nachádzajúca sa na 3. poschodí  budovy UTI na Pionierskej 15, Bratislava a hnuteľné veci nachádzajúce sa v predmetnom NP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>spolu s pomernou časťou spoločných priestorov (chodba, WC, kuchynka a pod.).  Jedná sa opakovaný nájom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,</w:t>
            </w:r>
          </w:p>
          <w:p w:rsidR="0010374F" w:rsidRPr="00405FA0" w:rsidRDefault="0010374F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c</w:t>
            </w: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elková výmera podlahovej plochy  je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15,10</w:t>
            </w:r>
            <w:r w:rsidRPr="00405FA0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m</w:t>
            </w:r>
            <w:r w:rsidRPr="00405FA0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405FA0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</w:p>
        </w:tc>
      </w:tr>
      <w:tr w:rsidR="0010374F" w:rsidRPr="008E454E" w:rsidTr="0087084B">
        <w:tc>
          <w:tcPr>
            <w:tcW w:w="567" w:type="dxa"/>
          </w:tcPr>
          <w:p w:rsidR="0010374F" w:rsidRPr="008A745F" w:rsidRDefault="0010374F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10374F" w:rsidRPr="008A745F" w:rsidRDefault="0010374F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10374F" w:rsidRPr="00405FA0" w:rsidRDefault="0010374F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>vykonávania podnikateľskej  činnosti nájomcu na základe podnikateľského plánu</w:t>
            </w:r>
          </w:p>
        </w:tc>
      </w:tr>
      <w:tr w:rsidR="0010374F" w:rsidRPr="008E454E" w:rsidTr="0087084B">
        <w:trPr>
          <w:trHeight w:val="259"/>
        </w:trPr>
        <w:tc>
          <w:tcPr>
            <w:tcW w:w="567" w:type="dxa"/>
          </w:tcPr>
          <w:p w:rsidR="0010374F" w:rsidRPr="008A745F" w:rsidRDefault="0010374F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10374F" w:rsidRPr="008A745F" w:rsidRDefault="0010374F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10374F" w:rsidRPr="00405FA0" w:rsidRDefault="0010374F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01.03.2016 do 30.11.2016</w:t>
            </w:r>
          </w:p>
        </w:tc>
      </w:tr>
      <w:tr w:rsidR="0010374F" w:rsidRPr="00000C78" w:rsidTr="0087084B">
        <w:tc>
          <w:tcPr>
            <w:tcW w:w="567" w:type="dxa"/>
          </w:tcPr>
          <w:p w:rsidR="0010374F" w:rsidRPr="00BE3D00" w:rsidRDefault="0010374F" w:rsidP="0087084B">
            <w:pPr>
              <w:jc w:val="both"/>
              <w:rPr>
                <w:rFonts w:asciiTheme="majorHAnsi" w:hAnsiTheme="majorHAnsi"/>
                <w:strike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10374F" w:rsidRPr="003629E1" w:rsidRDefault="0010374F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629E1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655" w:type="dxa"/>
          </w:tcPr>
          <w:p w:rsidR="0010374F" w:rsidRPr="00DA762E" w:rsidRDefault="0010374F" w:rsidP="0087084B">
            <w:pPr>
              <w:jc w:val="both"/>
              <w:rPr>
                <w:rFonts w:asciiTheme="majorHAnsi" w:hAnsiTheme="majorHAnsi"/>
                <w:i/>
                <w:sz w:val="18"/>
                <w:szCs w:val="18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miestnosti spolu 15,10</w:t>
            </w: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>m</w:t>
            </w:r>
            <w:r w:rsidRPr="00405FA0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>-</w:t>
            </w:r>
            <w:r w:rsidRPr="00405FA0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32,77</w:t>
            </w: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€/mesačne najneskôr do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>15. dňa príslušného kalendárneho mesiaca za daný mesiac. Nájomné za hnuteľné veci zaplatí nájomca vždy do 15. dňa pr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íslušného mesiaca vo výške 30,15</w:t>
            </w: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€/mes. spolu s ú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hradou sa služby vo výške 56,62</w:t>
            </w: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€/mes. a 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t. j.   119,54</w:t>
            </w:r>
            <w:r w:rsidRPr="00405FA0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€/mesiac.</w:t>
            </w:r>
            <w:r w:rsidR="000A2FCA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</w:p>
          <w:p w:rsidR="00C66C2F" w:rsidRDefault="0010374F" w:rsidP="00C66C2F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Ročne </w:t>
            </w:r>
            <w:r w:rsidR="000A2FCA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1 434,48 €</w:t>
            </w:r>
            <w:r w:rsidR="00DA762E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    </w:t>
            </w:r>
          </w:p>
          <w:p w:rsidR="0010374F" w:rsidRPr="00C66C2F" w:rsidRDefault="0010374F" w:rsidP="00C66C2F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DA762E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 w:rsidR="00C66C2F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 xml:space="preserve"> </w:t>
            </w:r>
            <w:r w:rsidR="00C66C2F">
              <w:rPr>
                <w:rFonts w:asciiTheme="majorHAnsi" w:hAnsiTheme="majorHAnsi"/>
                <w:sz w:val="20"/>
                <w:szCs w:val="20"/>
                <w:lang w:val="sk-SK"/>
              </w:rPr>
              <w:t>- - čl.5,  bod 2 a v súlade s platným cenníkom UTI STU</w:t>
            </w:r>
          </w:p>
        </w:tc>
      </w:tr>
      <w:tr w:rsidR="0010374F" w:rsidRPr="00427FCF" w:rsidTr="0087084B">
        <w:trPr>
          <w:trHeight w:val="50"/>
        </w:trPr>
        <w:tc>
          <w:tcPr>
            <w:tcW w:w="567" w:type="dxa"/>
          </w:tcPr>
          <w:p w:rsidR="0010374F" w:rsidRPr="008A745F" w:rsidRDefault="0010374F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10374F" w:rsidRPr="008A745F" w:rsidRDefault="0010374F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Náklady za služby:</w:t>
            </w:r>
          </w:p>
        </w:tc>
        <w:tc>
          <w:tcPr>
            <w:tcW w:w="7655" w:type="dxa"/>
          </w:tcPr>
          <w:p w:rsidR="0010374F" w:rsidRPr="00405FA0" w:rsidRDefault="0010374F" w:rsidP="0087084B">
            <w:pPr>
              <w:pStyle w:val="Zkladntext"/>
              <w:rPr>
                <w:rFonts w:asciiTheme="majorHAnsi" w:hAnsiTheme="majorHAnsi"/>
                <w:sz w:val="20"/>
              </w:rPr>
            </w:pPr>
            <w:r w:rsidRPr="00405FA0">
              <w:rPr>
                <w:rFonts w:asciiTheme="majorHAnsi" w:hAnsiTheme="majorHAnsi"/>
                <w:sz w:val="20"/>
              </w:rPr>
              <w:t>elektrina,</w:t>
            </w:r>
            <w:r w:rsidR="00DA762E">
              <w:rPr>
                <w:rFonts w:asciiTheme="majorHAnsi" w:hAnsiTheme="majorHAnsi"/>
                <w:sz w:val="20"/>
              </w:rPr>
              <w:t xml:space="preserve"> teplo, TÚV a SÚV, OLO – 56,62</w:t>
            </w:r>
            <w:r w:rsidRPr="00405FA0">
              <w:rPr>
                <w:rFonts w:asciiTheme="majorHAnsi" w:hAnsiTheme="majorHAnsi"/>
                <w:sz w:val="20"/>
              </w:rPr>
              <w:t>€ mesačne  a sú súčasťou mesačného</w:t>
            </w:r>
          </w:p>
          <w:p w:rsidR="0010374F" w:rsidRPr="00405FA0" w:rsidRDefault="0010374F" w:rsidP="0087084B">
            <w:pPr>
              <w:pStyle w:val="Zkladntext"/>
              <w:rPr>
                <w:rFonts w:asciiTheme="majorHAnsi" w:hAnsiTheme="majorHAnsi"/>
                <w:sz w:val="20"/>
              </w:rPr>
            </w:pPr>
            <w:r w:rsidRPr="00405FA0">
              <w:rPr>
                <w:rFonts w:asciiTheme="majorHAnsi" w:hAnsiTheme="majorHAnsi"/>
                <w:sz w:val="20"/>
              </w:rPr>
              <w:t xml:space="preserve">nájomného </w:t>
            </w:r>
          </w:p>
        </w:tc>
      </w:tr>
      <w:tr w:rsidR="0010374F" w:rsidRPr="008A745F" w:rsidTr="0087084B">
        <w:tc>
          <w:tcPr>
            <w:tcW w:w="567" w:type="dxa"/>
          </w:tcPr>
          <w:p w:rsidR="0010374F" w:rsidRPr="008A745F" w:rsidRDefault="0010374F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10374F" w:rsidRPr="008A745F" w:rsidRDefault="0010374F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10374F" w:rsidRPr="00405FA0" w:rsidRDefault="0010374F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>vedúca UTI STU</w:t>
            </w:r>
          </w:p>
        </w:tc>
      </w:tr>
    </w:tbl>
    <w:p w:rsidR="0010374F" w:rsidRDefault="0010374F" w:rsidP="0010374F">
      <w:pPr>
        <w:jc w:val="both"/>
        <w:rPr>
          <w:rFonts w:asciiTheme="majorHAnsi" w:hAnsiTheme="majorHAnsi"/>
          <w:b/>
          <w:lang w:val="sk-SK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3"/>
        <w:gridCol w:w="1778"/>
        <w:gridCol w:w="7723"/>
      </w:tblGrid>
      <w:tr w:rsidR="00926402" w:rsidRPr="00493318" w:rsidTr="00C740F5">
        <w:tc>
          <w:tcPr>
            <w:tcW w:w="423" w:type="dxa"/>
          </w:tcPr>
          <w:p w:rsidR="00926402" w:rsidRPr="007C340F" w:rsidRDefault="00926402" w:rsidP="0087084B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7</w:t>
            </w: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78" w:type="dxa"/>
          </w:tcPr>
          <w:p w:rsidR="00926402" w:rsidRPr="007C340F" w:rsidRDefault="00926402" w:rsidP="0087084B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23" w:type="dxa"/>
          </w:tcPr>
          <w:p w:rsidR="00926402" w:rsidRPr="00BF67EC" w:rsidRDefault="00926402" w:rsidP="0087084B">
            <w:pPr>
              <w:pStyle w:val="Odsekzoznamu"/>
              <w:ind w:left="644" w:hanging="611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Občianske združenie Ynet</w:t>
            </w:r>
            <w:r w:rsidRPr="00BF67E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ŠD aJ Mladosť, Staré grunty 53, 841 04</w:t>
            </w:r>
            <w:r w:rsidRPr="00BF67EC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Bratislava</w:t>
            </w:r>
          </w:p>
          <w:p w:rsidR="00926402" w:rsidRPr="00493318" w:rsidRDefault="00926402" w:rsidP="0087084B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je občianske združenie registrované na MV SR pod č. VVS/1-900/90-17701-1.</w:t>
            </w:r>
          </w:p>
        </w:tc>
      </w:tr>
      <w:tr w:rsidR="00926402" w:rsidRPr="007B0C3B" w:rsidTr="00C740F5">
        <w:tc>
          <w:tcPr>
            <w:tcW w:w="423" w:type="dxa"/>
          </w:tcPr>
          <w:p w:rsidR="00926402" w:rsidRPr="00DC29AA" w:rsidRDefault="00926402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78" w:type="dxa"/>
          </w:tcPr>
          <w:p w:rsidR="00926402" w:rsidRPr="00DC29AA" w:rsidRDefault="00926402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23" w:type="dxa"/>
          </w:tcPr>
          <w:p w:rsidR="00926402" w:rsidRDefault="00926402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926402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dodatkom č. 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k NZ č. 9707/0001/15; č. 20/2015 R-STU; dočasne nepotrebný majetok, nebytové priestory (NP) nachádzajúci sa  v ŠD Mladosť, Staré grunty 53, Bratislava  pozostávajúci z miestnosti č. 1 a 6 – skladový priestor  o výmere 43,00</w:t>
            </w:r>
            <w:r w:rsidRPr="00E92671">
              <w:rPr>
                <w:rFonts w:asciiTheme="majorHAnsi" w:hAnsiTheme="majorHAnsi"/>
                <w:sz w:val="20"/>
                <w:szCs w:val="20"/>
                <w:lang w:val="sk-SK"/>
              </w:rPr>
              <w:t>m</w:t>
            </w:r>
            <w:r w:rsidRPr="00E92671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, nachádzajúci sa na prízemí bloku A1-01, internát A spolu s pomernou časťou spoločných priestorov o výmere 9,31m</w:t>
            </w:r>
            <w:r w:rsidRPr="000965BA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926402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sa predlžuje doba nájmu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od. 01.05.2016 do 30.04.2018. </w:t>
            </w:r>
          </w:p>
          <w:p w:rsidR="00926402" w:rsidRPr="007B0C3B" w:rsidRDefault="00926402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predmet nájmu spolu vo výmere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52,31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m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</w:tr>
      <w:tr w:rsidR="00926402" w:rsidRPr="008E454E" w:rsidTr="00C740F5">
        <w:tc>
          <w:tcPr>
            <w:tcW w:w="423" w:type="dxa"/>
          </w:tcPr>
          <w:p w:rsidR="00926402" w:rsidRPr="00DC29AA" w:rsidRDefault="00926402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78" w:type="dxa"/>
          </w:tcPr>
          <w:p w:rsidR="00926402" w:rsidRPr="00DC29AA" w:rsidRDefault="00926402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23" w:type="dxa"/>
          </w:tcPr>
          <w:p w:rsidR="00926402" w:rsidRPr="008E454E" w:rsidRDefault="00926402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využitie NP ako úschovňa bicyklov pre svojich členov  OZ – študenti STU.</w:t>
            </w:r>
          </w:p>
        </w:tc>
      </w:tr>
      <w:tr w:rsidR="00926402" w:rsidRPr="008E454E" w:rsidTr="00C740F5">
        <w:trPr>
          <w:trHeight w:val="259"/>
        </w:trPr>
        <w:tc>
          <w:tcPr>
            <w:tcW w:w="423" w:type="dxa"/>
          </w:tcPr>
          <w:p w:rsidR="00926402" w:rsidRPr="00DC29AA" w:rsidRDefault="00926402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926402" w:rsidRPr="00DC29AA" w:rsidRDefault="00926402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926402" w:rsidRPr="008E454E" w:rsidRDefault="00926402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01.05.2016 do 30.04.2018</w:t>
            </w:r>
          </w:p>
        </w:tc>
      </w:tr>
      <w:tr w:rsidR="00926402" w:rsidRPr="002D2A91" w:rsidTr="00C740F5">
        <w:trPr>
          <w:trHeight w:val="532"/>
        </w:trPr>
        <w:tc>
          <w:tcPr>
            <w:tcW w:w="423" w:type="dxa"/>
            <w:tcBorders>
              <w:right w:val="single" w:sz="4" w:space="0" w:color="auto"/>
            </w:tcBorders>
          </w:tcPr>
          <w:p w:rsidR="00926402" w:rsidRPr="00DC29AA" w:rsidRDefault="00926402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926402" w:rsidRDefault="00926402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926402" w:rsidRPr="000B1A3B" w:rsidRDefault="00926402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926402" w:rsidRDefault="00926402" w:rsidP="0087084B">
            <w:pPr>
              <w:pStyle w:val="Odsekzoznamu"/>
              <w:ind w:left="644" w:hanging="644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zmluvné strany sa dohodli na nájomnom vo výške 1,00€/</w:t>
            </w:r>
            <w:r w:rsidRPr="002D2A91">
              <w:rPr>
                <w:rFonts w:asciiTheme="majorHAnsi" w:hAnsiTheme="majorHAnsi"/>
                <w:sz w:val="20"/>
                <w:szCs w:val="20"/>
                <w:lang w:val="sk-SK"/>
              </w:rPr>
              <w:t>m</w:t>
            </w:r>
            <w:r w:rsidRPr="002D2A91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/</w:t>
            </w:r>
            <w:r w:rsidRPr="003D05AD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ročne, t. j. 52,31 €</w:t>
            </w:r>
          </w:p>
          <w:p w:rsidR="00926402" w:rsidRPr="002D2A91" w:rsidRDefault="00926402" w:rsidP="0087084B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3D05AD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, čl. 5 bod 3, písm. d)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- znížené nájomné</w:t>
            </w:r>
          </w:p>
        </w:tc>
      </w:tr>
      <w:tr w:rsidR="00926402" w:rsidRPr="00170F8F" w:rsidTr="00C740F5">
        <w:trPr>
          <w:trHeight w:val="50"/>
        </w:trPr>
        <w:tc>
          <w:tcPr>
            <w:tcW w:w="423" w:type="dxa"/>
          </w:tcPr>
          <w:p w:rsidR="00926402" w:rsidRPr="00DC29AA" w:rsidRDefault="00926402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78" w:type="dxa"/>
          </w:tcPr>
          <w:p w:rsidR="00926402" w:rsidRPr="00DC29AA" w:rsidRDefault="00926402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23" w:type="dxa"/>
          </w:tcPr>
          <w:p w:rsidR="00926402" w:rsidRDefault="00926402" w:rsidP="0087084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p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reddavky na náklady za opakov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ané dodávanie energií a služieb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bude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prenajímateľ</w:t>
            </w:r>
          </w:p>
          <w:p w:rsidR="00926402" w:rsidRDefault="00926402" w:rsidP="0087084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fakturovať štvrťročne; za dodanie energií vyfakturuje prenajímateľ  </w:t>
            </w:r>
            <w:r w:rsidRPr="00F21CC9">
              <w:rPr>
                <w:rFonts w:ascii="Calibri" w:hAnsi="Calibri"/>
                <w:sz w:val="20"/>
                <w:szCs w:val="20"/>
                <w:u w:val="single"/>
                <w:lang w:val="sk-SK"/>
              </w:rPr>
              <w:t>zálohovo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 do 15 dní</w:t>
            </w:r>
          </w:p>
          <w:p w:rsidR="00926402" w:rsidRDefault="00926402" w:rsidP="0087084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po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uplynutí daného štvrťroka.  Náklady za dodanie služieb budú fakturované paušálnou</w:t>
            </w:r>
          </w:p>
          <w:p w:rsidR="00926402" w:rsidRDefault="00926402" w:rsidP="0087084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sumou do 15 dní po uplynutí príslušného štv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>rťroka. Prenajímateľ po obdržaní</w:t>
            </w:r>
          </w:p>
          <w:p w:rsidR="00926402" w:rsidRDefault="00926402" w:rsidP="0087084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zúčtovacích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faktúr od dodávateľov energií vyhotoví nájomcovi vyúčtovaciu faktúru za</w:t>
            </w:r>
          </w:p>
          <w:p w:rsidR="00926402" w:rsidRDefault="00926402" w:rsidP="0087084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príslušný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kalendárny rok.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Splatnosť nedoplatku alebo pre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>platku zo zúčtovacej faktúry je</w:t>
            </w:r>
          </w:p>
          <w:p w:rsidR="00926402" w:rsidRPr="00170F8F" w:rsidRDefault="00926402" w:rsidP="0087084B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15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</w:rPr>
              <w:t>kalendárnych dní odo dňa doručenia vyúčtovania nájomcovi.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</w:p>
        </w:tc>
      </w:tr>
      <w:tr w:rsidR="00926402" w:rsidRPr="008A745F" w:rsidTr="00C740F5">
        <w:tc>
          <w:tcPr>
            <w:tcW w:w="423" w:type="dxa"/>
          </w:tcPr>
          <w:p w:rsidR="00926402" w:rsidRPr="00DC29AA" w:rsidRDefault="00926402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78" w:type="dxa"/>
          </w:tcPr>
          <w:p w:rsidR="00926402" w:rsidRPr="00DC29AA" w:rsidRDefault="00926402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23" w:type="dxa"/>
          </w:tcPr>
          <w:p w:rsidR="00926402" w:rsidRPr="008A745F" w:rsidRDefault="00926402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riaditeľ ÚZ ŠD a J STU</w:t>
            </w:r>
          </w:p>
        </w:tc>
      </w:tr>
    </w:tbl>
    <w:p w:rsidR="00926402" w:rsidRPr="00255262" w:rsidRDefault="00926402" w:rsidP="0010374F">
      <w:pPr>
        <w:jc w:val="both"/>
        <w:rPr>
          <w:rFonts w:asciiTheme="majorHAnsi" w:hAnsiTheme="majorHAnsi"/>
          <w:b/>
          <w:lang w:val="sk-SK"/>
        </w:rPr>
      </w:pPr>
    </w:p>
    <w:tbl>
      <w:tblPr>
        <w:tblStyle w:val="Mriekatabuky"/>
        <w:tblW w:w="9713" w:type="dxa"/>
        <w:tblInd w:w="-743" w:type="dxa"/>
        <w:tblLook w:val="04A0" w:firstRow="1" w:lastRow="0" w:firstColumn="1" w:lastColumn="0" w:noHBand="0" w:noVBand="1"/>
      </w:tblPr>
      <w:tblGrid>
        <w:gridCol w:w="429"/>
        <w:gridCol w:w="1714"/>
        <w:gridCol w:w="7570"/>
      </w:tblGrid>
      <w:tr w:rsidR="0087084B" w:rsidRPr="00405FA0" w:rsidTr="0087084B">
        <w:tc>
          <w:tcPr>
            <w:tcW w:w="429" w:type="dxa"/>
          </w:tcPr>
          <w:p w:rsidR="0087084B" w:rsidRPr="007C340F" w:rsidRDefault="00F340BA" w:rsidP="0087084B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8</w:t>
            </w:r>
            <w:r w:rsidR="0087084B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14" w:type="dxa"/>
          </w:tcPr>
          <w:p w:rsidR="0087084B" w:rsidRPr="007C340F" w:rsidRDefault="0087084B" w:rsidP="0087084B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70" w:type="dxa"/>
          </w:tcPr>
          <w:p w:rsidR="0087084B" w:rsidRPr="00405FA0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Dušan Amrich</w:t>
            </w:r>
            <w:r w:rsidRPr="00405FA0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980 23 Teplý Vrch č. 33,</w:t>
            </w:r>
          </w:p>
          <w:p w:rsidR="0087084B" w:rsidRPr="00405FA0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je súkromná osoba.</w:t>
            </w:r>
          </w:p>
        </w:tc>
      </w:tr>
      <w:tr w:rsidR="0087084B" w:rsidRPr="00F607A3" w:rsidTr="0087084B">
        <w:tc>
          <w:tcPr>
            <w:tcW w:w="429" w:type="dxa"/>
          </w:tcPr>
          <w:p w:rsidR="0087084B" w:rsidRPr="00DC29AA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14" w:type="dxa"/>
          </w:tcPr>
          <w:p w:rsidR="0087084B" w:rsidRPr="00DC29AA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70" w:type="dxa"/>
          </w:tcPr>
          <w:p w:rsidR="0087084B" w:rsidRPr="00F632D6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926402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dodatkom č. 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k NZ č. 9702/0001/15; č. 12/2015 R-STU; 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dočasne nepotrebn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ý majetok, nebytové priestory: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v ŠD Mladá Garda,  miestnosť č. 01 HB-1 0026   o výmere 11,04m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, skladový priestor nachádzajúci sa v suteréne ŠD, blok „B“ </w:t>
            </w:r>
            <w:r w:rsidRPr="00926402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sa predlžuje doba nájmu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od 01.04.2016 do 31.03.2018,</w:t>
            </w:r>
          </w:p>
          <w:p w:rsidR="0087084B" w:rsidRPr="00F607A3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F607A3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predmet nájmu spolu vo výmere: </w:t>
            </w:r>
            <w:r w:rsidRPr="00F607A3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11,04 m</w:t>
            </w:r>
            <w:r w:rsidRPr="00F607A3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F607A3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.</w:t>
            </w:r>
          </w:p>
        </w:tc>
      </w:tr>
      <w:tr w:rsidR="0087084B" w:rsidRPr="008E454E" w:rsidTr="0087084B">
        <w:tc>
          <w:tcPr>
            <w:tcW w:w="429" w:type="dxa"/>
          </w:tcPr>
          <w:p w:rsidR="0087084B" w:rsidRPr="00DC29AA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14" w:type="dxa"/>
          </w:tcPr>
          <w:p w:rsidR="0087084B" w:rsidRPr="00DC29AA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70" w:type="dxa"/>
          </w:tcPr>
          <w:p w:rsidR="0087084B" w:rsidRPr="008E454E" w:rsidRDefault="0087084B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skladový priestor.</w:t>
            </w:r>
          </w:p>
        </w:tc>
      </w:tr>
      <w:tr w:rsidR="0087084B" w:rsidRPr="008E454E" w:rsidTr="0087084B">
        <w:trPr>
          <w:trHeight w:val="259"/>
        </w:trPr>
        <w:tc>
          <w:tcPr>
            <w:tcW w:w="429" w:type="dxa"/>
          </w:tcPr>
          <w:p w:rsidR="0087084B" w:rsidRPr="00DC29AA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87084B" w:rsidRPr="00DC29AA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87084B" w:rsidRPr="008E454E" w:rsidRDefault="0087084B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01.04.2016 do 31.03.2018</w:t>
            </w:r>
          </w:p>
        </w:tc>
      </w:tr>
      <w:tr w:rsidR="0087084B" w:rsidRPr="008E454E" w:rsidTr="0087084B">
        <w:trPr>
          <w:trHeight w:val="259"/>
        </w:trPr>
        <w:tc>
          <w:tcPr>
            <w:tcW w:w="429" w:type="dxa"/>
          </w:tcPr>
          <w:p w:rsidR="0087084B" w:rsidRPr="00DC29AA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87084B" w:rsidRPr="00DC29AA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87084B" w:rsidRPr="008E454E" w:rsidRDefault="0087084B" w:rsidP="008708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sklad 2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0,00 €/m</w:t>
            </w:r>
            <w:r w:rsidRPr="008E454E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/rok  -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t. j</w:t>
            </w:r>
            <w:r w:rsidRPr="00B0201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. ročne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220,80</w:t>
            </w:r>
            <w:r w:rsidRPr="00B0201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€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</w:p>
          <w:p w:rsidR="0087084B" w:rsidRPr="008E454E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ájomné hradí </w:t>
            </w:r>
            <w:r w:rsidRPr="008E454E">
              <w:rPr>
                <w:rFonts w:asciiTheme="majorHAnsi" w:hAnsiTheme="majorHAnsi" w:cs="Arial"/>
                <w:sz w:val="20"/>
                <w:szCs w:val="20"/>
                <w:lang w:val="sk-SK"/>
              </w:rPr>
              <w:t>nájomca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štvrťročne vopred vždy k 15. dňu prvého mesiaca</w:t>
            </w:r>
            <w:r w:rsidRPr="008E454E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d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aného štvrťroka vo výške  55,20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€,</w:t>
            </w:r>
          </w:p>
          <w:p w:rsidR="0087084B" w:rsidRPr="008E454E" w:rsidRDefault="0087084B" w:rsidP="0087084B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F607A3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 w:rsidRPr="008E454E">
              <w:rPr>
                <w:rFonts w:asciiTheme="majorHAnsi" w:hAnsiTheme="majorHAnsi"/>
                <w:strike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87084B" w:rsidRPr="00F607A3" w:rsidTr="0087084B">
        <w:trPr>
          <w:trHeight w:val="50"/>
        </w:trPr>
        <w:tc>
          <w:tcPr>
            <w:tcW w:w="429" w:type="dxa"/>
          </w:tcPr>
          <w:p w:rsidR="0087084B" w:rsidRPr="00FD65F7" w:rsidRDefault="0087084B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14" w:type="dxa"/>
          </w:tcPr>
          <w:p w:rsidR="0087084B" w:rsidRPr="00DC29AA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570" w:type="dxa"/>
          </w:tcPr>
          <w:p w:rsidR="0087084B" w:rsidRPr="00F607A3" w:rsidRDefault="0087084B" w:rsidP="0087084B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F607A3">
              <w:rPr>
                <w:rFonts w:asciiTheme="majorHAnsi" w:hAnsiTheme="majorHAnsi"/>
                <w:sz w:val="20"/>
                <w:szCs w:val="20"/>
                <w:lang w:val="sk-SK"/>
              </w:rPr>
              <w:t>preddavky na náklady za opakované dodávanie energií a služieb bude prenajímateľ</w:t>
            </w:r>
          </w:p>
          <w:p w:rsidR="0087084B" w:rsidRPr="00F607A3" w:rsidRDefault="0087084B" w:rsidP="0087084B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F607A3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fakturovať štvrťročne; za dodanie energií vyfakturuje prenajímateľ  </w:t>
            </w:r>
            <w:r w:rsidRPr="00F607A3">
              <w:rPr>
                <w:rFonts w:asciiTheme="majorHAnsi" w:hAnsiTheme="majorHAnsi"/>
                <w:sz w:val="20"/>
                <w:szCs w:val="20"/>
                <w:u w:val="single"/>
                <w:lang w:val="sk-SK"/>
              </w:rPr>
              <w:t>zálohovo</w:t>
            </w:r>
            <w:r w:rsidRPr="00F607A3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do 15 dní po</w:t>
            </w:r>
          </w:p>
          <w:p w:rsidR="0087084B" w:rsidRPr="00F607A3" w:rsidRDefault="0087084B" w:rsidP="0087084B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F607A3">
              <w:rPr>
                <w:rFonts w:asciiTheme="majorHAnsi" w:hAnsiTheme="majorHAnsi"/>
                <w:sz w:val="20"/>
                <w:szCs w:val="20"/>
                <w:lang w:val="sk-SK"/>
              </w:rPr>
              <w:t>uplynutí daného štvrťroka.  Náklady za dodanie služieb budú fakturované paušálnou</w:t>
            </w:r>
          </w:p>
          <w:p w:rsidR="0087084B" w:rsidRPr="00F607A3" w:rsidRDefault="0087084B" w:rsidP="0087084B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F607A3">
              <w:rPr>
                <w:rFonts w:asciiTheme="majorHAnsi" w:hAnsiTheme="majorHAnsi"/>
                <w:sz w:val="20"/>
                <w:szCs w:val="20"/>
                <w:lang w:val="sk-SK"/>
              </w:rPr>
              <w:t>sumou do 15 dní po uplynutí príslušného štvrťroka. Prenajímateľ po obdržaní zúčtovacích</w:t>
            </w:r>
          </w:p>
          <w:p w:rsidR="0087084B" w:rsidRPr="00F607A3" w:rsidRDefault="0087084B" w:rsidP="0087084B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F607A3">
              <w:rPr>
                <w:rFonts w:asciiTheme="majorHAnsi" w:hAnsiTheme="majorHAnsi"/>
                <w:sz w:val="20"/>
                <w:szCs w:val="20"/>
                <w:lang w:val="sk-SK"/>
              </w:rPr>
              <w:t>faktúr od dodávateľov energií vyhotoví nájomcovi vyúčtovaciu faktúru za príslušný</w:t>
            </w:r>
          </w:p>
          <w:p w:rsidR="0087084B" w:rsidRPr="00F607A3" w:rsidRDefault="0087084B" w:rsidP="0087084B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F607A3">
              <w:rPr>
                <w:rFonts w:asciiTheme="majorHAnsi" w:hAnsiTheme="majorHAnsi"/>
                <w:sz w:val="20"/>
                <w:szCs w:val="20"/>
                <w:lang w:val="sk-SK"/>
              </w:rPr>
              <w:t>kalendárny rok. Splatnosť nedoplatku alebo preplatku zo zúčtovacej faktúry je 15</w:t>
            </w:r>
          </w:p>
          <w:p w:rsidR="0087084B" w:rsidRPr="00F607A3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F607A3">
              <w:rPr>
                <w:rFonts w:asciiTheme="majorHAnsi" w:hAnsiTheme="majorHAnsi"/>
                <w:sz w:val="20"/>
                <w:szCs w:val="20"/>
                <w:lang w:val="sk-SK"/>
              </w:rPr>
              <w:t>kalendárnych dní odo dňa doručenia vyúčtovania nájomcovi.</w:t>
            </w:r>
          </w:p>
        </w:tc>
      </w:tr>
      <w:tr w:rsidR="0087084B" w:rsidRPr="00DC29AA" w:rsidTr="0087084B">
        <w:tc>
          <w:tcPr>
            <w:tcW w:w="429" w:type="dxa"/>
          </w:tcPr>
          <w:p w:rsidR="0087084B" w:rsidRPr="00DC29AA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14" w:type="dxa"/>
          </w:tcPr>
          <w:p w:rsidR="0087084B" w:rsidRPr="00DC29AA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70" w:type="dxa"/>
          </w:tcPr>
          <w:p w:rsidR="0087084B" w:rsidRPr="00DC29AA" w:rsidRDefault="0087084B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riaditeľ ÚZ ŠD a J  </w:t>
            </w: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STU</w:t>
            </w:r>
          </w:p>
        </w:tc>
      </w:tr>
    </w:tbl>
    <w:p w:rsidR="0010374F" w:rsidRDefault="0010374F" w:rsidP="008D722A">
      <w:pPr>
        <w:jc w:val="both"/>
        <w:rPr>
          <w:rFonts w:asciiTheme="majorHAnsi" w:hAnsiTheme="majorHAnsi"/>
          <w:b/>
          <w:lang w:val="sk-SK"/>
        </w:rPr>
      </w:pPr>
    </w:p>
    <w:tbl>
      <w:tblPr>
        <w:tblStyle w:val="Mriekatabuky"/>
        <w:tblW w:w="9640" w:type="dxa"/>
        <w:tblInd w:w="-743" w:type="dxa"/>
        <w:tblLook w:val="04A0" w:firstRow="1" w:lastRow="0" w:firstColumn="1" w:lastColumn="0" w:noHBand="0" w:noVBand="1"/>
      </w:tblPr>
      <w:tblGrid>
        <w:gridCol w:w="425"/>
        <w:gridCol w:w="1702"/>
        <w:gridCol w:w="7513"/>
      </w:tblGrid>
      <w:tr w:rsidR="0087084B" w:rsidRPr="00161BAD" w:rsidTr="0087084B">
        <w:tc>
          <w:tcPr>
            <w:tcW w:w="425" w:type="dxa"/>
          </w:tcPr>
          <w:p w:rsidR="0087084B" w:rsidRPr="007C340F" w:rsidRDefault="00F340BA" w:rsidP="0087084B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9</w:t>
            </w:r>
            <w:r w:rsidR="0087084B"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02" w:type="dxa"/>
          </w:tcPr>
          <w:p w:rsidR="0087084B" w:rsidRPr="007C340F" w:rsidRDefault="0087084B" w:rsidP="0087084B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13" w:type="dxa"/>
          </w:tcPr>
          <w:p w:rsidR="0087084B" w:rsidRPr="000C111C" w:rsidRDefault="0087084B" w:rsidP="0087084B">
            <w:pPr>
              <w:pStyle w:val="Odsekzoznamu"/>
              <w:ind w:left="644" w:hanging="611"/>
              <w:rPr>
                <w:rFonts w:asciiTheme="majorHAnsi" w:hAnsiTheme="majorHAnsi"/>
                <w:i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NEXT Vision, s. r. o.,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925 26 Réca č. 216,</w:t>
            </w:r>
          </w:p>
          <w:p w:rsidR="0087084B" w:rsidRPr="00161BAD" w:rsidRDefault="0087084B" w:rsidP="0087084B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je podnikateľom zapísaným   v OR OS Ba I, oddiel: Sro, vložka č. 95324/B.</w:t>
            </w:r>
          </w:p>
        </w:tc>
      </w:tr>
      <w:tr w:rsidR="0087084B" w:rsidRPr="00F607A3" w:rsidTr="0087084B">
        <w:tc>
          <w:tcPr>
            <w:tcW w:w="425" w:type="dxa"/>
          </w:tcPr>
          <w:p w:rsidR="0087084B" w:rsidRPr="00DC29AA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7084B" w:rsidRPr="00DC29AA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13" w:type="dxa"/>
          </w:tcPr>
          <w:p w:rsidR="0087084B" w:rsidRPr="00F632D6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926402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dodatkom č. 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k NZ č. 9702/0002/15; č. 11/2015 R-STU</w:t>
            </w:r>
            <w:r w:rsidR="00A46D09">
              <w:rPr>
                <w:rFonts w:asciiTheme="majorHAnsi" w:hAnsiTheme="majorHAnsi"/>
                <w:sz w:val="20"/>
                <w:szCs w:val="20"/>
                <w:lang w:val="sk-SK"/>
              </w:rPr>
              <w:t>;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dočasne nepotrebn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ý majetok, nebytové priestory: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v ŠD Mladá Garda,  miestnosti č. 01 HK-1 0127   o výmere 24,00m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a č. 01 HK -1 0128 o výmere 24,00m</w:t>
            </w:r>
            <w:r w:rsidRPr="001E37C8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,  skladové priestory nachádzajúce sa v suteréne ŠD, blok „K“ </w:t>
            </w:r>
            <w:r w:rsidRPr="00926402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sa predlžuje doba nájmu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od 01.04.2016 do 31.03.2018,</w:t>
            </w:r>
          </w:p>
          <w:p w:rsidR="0087084B" w:rsidRPr="00F607A3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F607A3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predmet nájmu spolu vo výmere: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48,00</w:t>
            </w:r>
            <w:r w:rsidRPr="00F607A3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m</w:t>
            </w:r>
            <w:r w:rsidRPr="00F607A3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F607A3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.</w:t>
            </w:r>
          </w:p>
        </w:tc>
      </w:tr>
      <w:tr w:rsidR="0087084B" w:rsidRPr="008E454E" w:rsidTr="0087084B">
        <w:tc>
          <w:tcPr>
            <w:tcW w:w="425" w:type="dxa"/>
          </w:tcPr>
          <w:p w:rsidR="0087084B" w:rsidRPr="00DC29AA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7084B" w:rsidRPr="00DC29AA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13" w:type="dxa"/>
          </w:tcPr>
          <w:p w:rsidR="0087084B" w:rsidRPr="008E454E" w:rsidRDefault="0087084B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skladový priestor.</w:t>
            </w:r>
          </w:p>
        </w:tc>
      </w:tr>
      <w:tr w:rsidR="0087084B" w:rsidRPr="008E454E" w:rsidTr="0087084B">
        <w:trPr>
          <w:trHeight w:val="259"/>
        </w:trPr>
        <w:tc>
          <w:tcPr>
            <w:tcW w:w="425" w:type="dxa"/>
          </w:tcPr>
          <w:p w:rsidR="0087084B" w:rsidRPr="00DC29AA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7084B" w:rsidRPr="00DC29AA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7084B" w:rsidRPr="008E454E" w:rsidRDefault="0087084B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01.04.2016 do 31.03.2018</w:t>
            </w:r>
          </w:p>
        </w:tc>
      </w:tr>
      <w:tr w:rsidR="0087084B" w:rsidRPr="008E454E" w:rsidTr="0087084B">
        <w:trPr>
          <w:trHeight w:val="816"/>
        </w:trPr>
        <w:tc>
          <w:tcPr>
            <w:tcW w:w="425" w:type="dxa"/>
            <w:tcBorders>
              <w:right w:val="single" w:sz="4" w:space="0" w:color="auto"/>
            </w:tcBorders>
          </w:tcPr>
          <w:p w:rsidR="0087084B" w:rsidRPr="00DC29AA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87084B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87084B" w:rsidRPr="000B1A3B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87084B" w:rsidRPr="008E454E" w:rsidRDefault="0087084B" w:rsidP="008708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sklad 2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0,00 €/m</w:t>
            </w:r>
            <w:r w:rsidRPr="008E454E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/rok  -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t. j</w:t>
            </w:r>
            <w:r w:rsidRPr="00B0201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. ročne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960,00</w:t>
            </w:r>
            <w:r w:rsidRPr="00B0201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€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</w:p>
          <w:p w:rsidR="0087084B" w:rsidRPr="008E454E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ájomné hradí </w:t>
            </w:r>
            <w:r w:rsidRPr="008E454E">
              <w:rPr>
                <w:rFonts w:asciiTheme="majorHAnsi" w:hAnsiTheme="majorHAnsi" w:cs="Arial"/>
                <w:sz w:val="20"/>
                <w:szCs w:val="20"/>
                <w:lang w:val="sk-SK"/>
              </w:rPr>
              <w:t>nájomca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štvrťročne vopred vždy k 15. dňu prvého mesiaca</w:t>
            </w:r>
            <w:r w:rsidRPr="008E454E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d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aného štvrťroka vo výške  240,00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€,</w:t>
            </w:r>
          </w:p>
          <w:p w:rsidR="0087084B" w:rsidRPr="008E454E" w:rsidRDefault="0087084B" w:rsidP="0087084B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F607A3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 w:rsidRPr="008E454E">
              <w:rPr>
                <w:rFonts w:asciiTheme="majorHAnsi" w:hAnsiTheme="majorHAnsi"/>
                <w:strike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87084B" w:rsidRPr="00F607A3" w:rsidTr="0087084B">
        <w:trPr>
          <w:trHeight w:val="50"/>
        </w:trPr>
        <w:tc>
          <w:tcPr>
            <w:tcW w:w="425" w:type="dxa"/>
          </w:tcPr>
          <w:p w:rsidR="0087084B" w:rsidRPr="00DC29AA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7084B" w:rsidRPr="00DC29AA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513" w:type="dxa"/>
          </w:tcPr>
          <w:p w:rsidR="0087084B" w:rsidRPr="00F607A3" w:rsidRDefault="0087084B" w:rsidP="0087084B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F607A3">
              <w:rPr>
                <w:rFonts w:asciiTheme="majorHAnsi" w:hAnsiTheme="majorHAnsi"/>
                <w:sz w:val="20"/>
                <w:szCs w:val="20"/>
                <w:lang w:val="sk-SK"/>
              </w:rPr>
              <w:t>preddavky na náklady za opakované dodávanie energií a služieb bude prenajímateľ</w:t>
            </w:r>
          </w:p>
          <w:p w:rsidR="0087084B" w:rsidRPr="00F607A3" w:rsidRDefault="0087084B" w:rsidP="0087084B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F607A3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fakturovať štvrťročne; za dodanie energií vyfakturuje prenajímateľ  </w:t>
            </w:r>
            <w:r w:rsidRPr="00F607A3">
              <w:rPr>
                <w:rFonts w:asciiTheme="majorHAnsi" w:hAnsiTheme="majorHAnsi"/>
                <w:sz w:val="20"/>
                <w:szCs w:val="20"/>
                <w:u w:val="single"/>
                <w:lang w:val="sk-SK"/>
              </w:rPr>
              <w:t>zálohovo</w:t>
            </w:r>
            <w:r w:rsidRPr="00F607A3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do 15 dní po</w:t>
            </w:r>
          </w:p>
          <w:p w:rsidR="0087084B" w:rsidRPr="00F607A3" w:rsidRDefault="0087084B" w:rsidP="0087084B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F607A3">
              <w:rPr>
                <w:rFonts w:asciiTheme="majorHAnsi" w:hAnsiTheme="majorHAnsi"/>
                <w:sz w:val="20"/>
                <w:szCs w:val="20"/>
                <w:lang w:val="sk-SK"/>
              </w:rPr>
              <w:t>uplynutí daného štvrťroka.  Náklady za dodanie služieb budú fakturované paušálnou</w:t>
            </w:r>
          </w:p>
          <w:p w:rsidR="0087084B" w:rsidRPr="00F607A3" w:rsidRDefault="0087084B" w:rsidP="0087084B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F607A3">
              <w:rPr>
                <w:rFonts w:asciiTheme="majorHAnsi" w:hAnsiTheme="majorHAnsi"/>
                <w:sz w:val="20"/>
                <w:szCs w:val="20"/>
                <w:lang w:val="sk-SK"/>
              </w:rPr>
              <w:t>sumou do 15 dní po uplynutí príslušného štvrťroka. Prenajímateľ po obdržaní zúčtovacích</w:t>
            </w:r>
          </w:p>
          <w:p w:rsidR="0087084B" w:rsidRPr="00F607A3" w:rsidRDefault="0087084B" w:rsidP="0087084B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F607A3">
              <w:rPr>
                <w:rFonts w:asciiTheme="majorHAnsi" w:hAnsiTheme="majorHAnsi"/>
                <w:sz w:val="20"/>
                <w:szCs w:val="20"/>
                <w:lang w:val="sk-SK"/>
              </w:rPr>
              <w:t>faktúr od dodávateľov energií vyhotoví nájomcovi vyúčtovaciu faktúru za príslušný</w:t>
            </w:r>
          </w:p>
          <w:p w:rsidR="0087084B" w:rsidRPr="00F607A3" w:rsidRDefault="0087084B" w:rsidP="0087084B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F607A3">
              <w:rPr>
                <w:rFonts w:asciiTheme="majorHAnsi" w:hAnsiTheme="majorHAnsi"/>
                <w:sz w:val="20"/>
                <w:szCs w:val="20"/>
                <w:lang w:val="sk-SK"/>
              </w:rPr>
              <w:t>kalendárny rok. Splatnosť nedoplatku alebo preplatku zo zúčtovacej faktúry je 15</w:t>
            </w:r>
          </w:p>
          <w:p w:rsidR="0087084B" w:rsidRPr="00F607A3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F607A3">
              <w:rPr>
                <w:rFonts w:asciiTheme="majorHAnsi" w:hAnsiTheme="majorHAnsi"/>
                <w:sz w:val="20"/>
                <w:szCs w:val="20"/>
                <w:lang w:val="sk-SK"/>
              </w:rPr>
              <w:t>kalendárnych dní odo dňa doručenia vyúčtovania nájomcovi.</w:t>
            </w:r>
          </w:p>
        </w:tc>
      </w:tr>
      <w:tr w:rsidR="0087084B" w:rsidRPr="00DC29AA" w:rsidTr="0087084B">
        <w:tc>
          <w:tcPr>
            <w:tcW w:w="425" w:type="dxa"/>
          </w:tcPr>
          <w:p w:rsidR="0087084B" w:rsidRPr="00DC29AA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7084B" w:rsidRPr="00DC29AA" w:rsidRDefault="0087084B" w:rsidP="0087084B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13" w:type="dxa"/>
          </w:tcPr>
          <w:p w:rsidR="0087084B" w:rsidRPr="00DC29AA" w:rsidRDefault="0087084B" w:rsidP="0087084B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riaditeľ ÚZ ŠD a J  </w:t>
            </w: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STU</w:t>
            </w:r>
          </w:p>
        </w:tc>
      </w:tr>
    </w:tbl>
    <w:p w:rsidR="0087084B" w:rsidRDefault="0087084B" w:rsidP="008D722A">
      <w:pPr>
        <w:jc w:val="both"/>
        <w:rPr>
          <w:rFonts w:asciiTheme="majorHAnsi" w:hAnsiTheme="majorHAnsi"/>
          <w:b/>
          <w:lang w:val="sk-SK"/>
        </w:rPr>
      </w:pPr>
    </w:p>
    <w:tbl>
      <w:tblPr>
        <w:tblStyle w:val="Mriekatabuky"/>
        <w:tblW w:w="9640" w:type="dxa"/>
        <w:tblInd w:w="-743" w:type="dxa"/>
        <w:tblLook w:val="04A0" w:firstRow="1" w:lastRow="0" w:firstColumn="1" w:lastColumn="0" w:noHBand="0" w:noVBand="1"/>
      </w:tblPr>
      <w:tblGrid>
        <w:gridCol w:w="507"/>
        <w:gridCol w:w="1762"/>
        <w:gridCol w:w="7371"/>
      </w:tblGrid>
      <w:tr w:rsidR="00A46D09" w:rsidRPr="00493318" w:rsidTr="004E3A86">
        <w:tc>
          <w:tcPr>
            <w:tcW w:w="507" w:type="dxa"/>
          </w:tcPr>
          <w:p w:rsidR="00A46D09" w:rsidRPr="008A745F" w:rsidRDefault="00F340BA" w:rsidP="003101E6">
            <w:pPr>
              <w:ind w:left="360" w:hanging="326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10</w:t>
            </w:r>
            <w:r w:rsidR="00A46D09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62" w:type="dxa"/>
          </w:tcPr>
          <w:p w:rsidR="00A46D09" w:rsidRPr="00302217" w:rsidRDefault="00A46D09" w:rsidP="003101E6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30221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371" w:type="dxa"/>
          </w:tcPr>
          <w:p w:rsidR="00A46D09" w:rsidRPr="00BF67EC" w:rsidRDefault="00A46D09" w:rsidP="003101E6">
            <w:pPr>
              <w:pStyle w:val="Odsekzoznamu"/>
              <w:ind w:left="644" w:hanging="611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Občianske združenie Ynet</w:t>
            </w:r>
            <w:r w:rsidRPr="00BF67E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Staré grunty 53, 841 04</w:t>
            </w:r>
            <w:r w:rsidRPr="00BF67EC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Bratislava</w:t>
            </w:r>
          </w:p>
          <w:p w:rsidR="00A46D09" w:rsidRPr="00493318" w:rsidRDefault="00A46D09" w:rsidP="003101E6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je občianske združenie registrované na MV SR pod č. VVS/1-900/90-17701-2.</w:t>
            </w:r>
          </w:p>
        </w:tc>
      </w:tr>
      <w:tr w:rsidR="00A46D09" w:rsidRPr="007B0C3B" w:rsidTr="004E3A86">
        <w:tc>
          <w:tcPr>
            <w:tcW w:w="507" w:type="dxa"/>
          </w:tcPr>
          <w:p w:rsidR="00A46D09" w:rsidRPr="008A745F" w:rsidRDefault="00A46D09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A46D09" w:rsidRPr="008A745F" w:rsidRDefault="00A46D09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371" w:type="dxa"/>
          </w:tcPr>
          <w:p w:rsidR="00A46D09" w:rsidRDefault="00A46D09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926402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dodatkom č. 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k NZ č. 9708/0003/15; č. 29/2015 R-STU;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dočasne nepotrebný majetok, nebytový priestor (NP) nachádzajúci sa  v ŠD, Dobrovičova 14, Bratislava  pozostávajúci z miestnosti č. 115 – študovňa  o výmere 54,34</w:t>
            </w:r>
            <w:r w:rsidRPr="00E92671">
              <w:rPr>
                <w:rFonts w:asciiTheme="majorHAnsi" w:hAnsiTheme="majorHAnsi"/>
                <w:sz w:val="20"/>
                <w:szCs w:val="20"/>
                <w:lang w:val="sk-SK"/>
              </w:rPr>
              <w:t>m</w:t>
            </w:r>
            <w:r w:rsidRPr="00E92671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na prvom poschodí ŠD Dobrovičova </w:t>
            </w:r>
            <w:r w:rsidRPr="00926402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lastRenderedPageBreak/>
              <w:t>sa predlžuje doba nájmu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od 01.05.2016 do 31.10.2017, </w:t>
            </w:r>
            <w:r w:rsidRPr="007B0C3B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  <w:p w:rsidR="00A46D09" w:rsidRPr="007B0C3B" w:rsidRDefault="00A46D09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predmet nájmu spolu vo výmere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54,34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m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89705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</w:tr>
      <w:tr w:rsidR="00A46D09" w:rsidRPr="008E454E" w:rsidTr="004E3A86">
        <w:tc>
          <w:tcPr>
            <w:tcW w:w="507" w:type="dxa"/>
          </w:tcPr>
          <w:p w:rsidR="00A46D09" w:rsidRPr="008A745F" w:rsidRDefault="00A46D09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A46D09" w:rsidRPr="008A745F" w:rsidRDefault="00A46D09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371" w:type="dxa"/>
          </w:tcPr>
          <w:p w:rsidR="00A46D09" w:rsidRPr="008E454E" w:rsidRDefault="00A46D09" w:rsidP="003101E6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využitie NP akoštudovňa pre študentov STU.</w:t>
            </w:r>
          </w:p>
        </w:tc>
      </w:tr>
      <w:tr w:rsidR="00A46D09" w:rsidRPr="008E454E" w:rsidTr="004E3A86">
        <w:trPr>
          <w:trHeight w:val="259"/>
        </w:trPr>
        <w:tc>
          <w:tcPr>
            <w:tcW w:w="507" w:type="dxa"/>
          </w:tcPr>
          <w:p w:rsidR="00A46D09" w:rsidRPr="008A745F" w:rsidRDefault="00A46D09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A46D09" w:rsidRPr="008A745F" w:rsidRDefault="00A46D09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371" w:type="dxa"/>
          </w:tcPr>
          <w:p w:rsidR="00A46D09" w:rsidRPr="008E454E" w:rsidRDefault="00A46D09" w:rsidP="003101E6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01.05.2016 do 31.10.2017</w:t>
            </w:r>
          </w:p>
        </w:tc>
      </w:tr>
      <w:tr w:rsidR="00A46D09" w:rsidRPr="002D2A91" w:rsidTr="004E3A86">
        <w:tc>
          <w:tcPr>
            <w:tcW w:w="507" w:type="dxa"/>
            <w:tcBorders>
              <w:right w:val="single" w:sz="4" w:space="0" w:color="auto"/>
            </w:tcBorders>
          </w:tcPr>
          <w:p w:rsidR="00A46D09" w:rsidRPr="00BE3D00" w:rsidRDefault="00A46D09" w:rsidP="003101E6">
            <w:pPr>
              <w:jc w:val="both"/>
              <w:rPr>
                <w:rFonts w:asciiTheme="majorHAnsi" w:hAnsiTheme="majorHAnsi"/>
                <w:strike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A46D09" w:rsidRPr="003629E1" w:rsidRDefault="00A46D09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629E1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46D09" w:rsidRDefault="00A46D09" w:rsidP="003101E6">
            <w:pPr>
              <w:pStyle w:val="Odsekzoznamu"/>
              <w:ind w:left="644" w:hanging="644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zmluvné strany sa dohodli na nájomnom vo výške 1,00€/</w:t>
            </w:r>
            <w:r w:rsidRPr="002D2A91">
              <w:rPr>
                <w:rFonts w:asciiTheme="majorHAnsi" w:hAnsiTheme="majorHAnsi"/>
                <w:sz w:val="20"/>
                <w:szCs w:val="20"/>
                <w:lang w:val="sk-SK"/>
              </w:rPr>
              <w:t>m</w:t>
            </w:r>
            <w:r w:rsidRPr="002D2A91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ročne, t. j. 54,34</w:t>
            </w:r>
            <w:r w:rsidRPr="003D05AD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€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,</w:t>
            </w:r>
          </w:p>
          <w:p w:rsidR="00A46D09" w:rsidRPr="00485F32" w:rsidRDefault="00A46D09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ájomné hradí </w:t>
            </w:r>
            <w:r w:rsidRPr="008E454E">
              <w:rPr>
                <w:rFonts w:asciiTheme="majorHAnsi" w:hAnsiTheme="majorHAnsi" w:cs="Arial"/>
                <w:sz w:val="20"/>
                <w:szCs w:val="20"/>
                <w:lang w:val="sk-SK"/>
              </w:rPr>
              <w:t>nájomca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štvrťročne vopred vždy k 15. dňu prvého mesiaca</w:t>
            </w:r>
            <w:r w:rsidRPr="008E454E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d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aného štvrťroka vo výške  13,59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€,</w:t>
            </w:r>
          </w:p>
          <w:p w:rsidR="00A46D09" w:rsidRPr="002D2A91" w:rsidRDefault="00A46D09" w:rsidP="003101E6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3D05AD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, čl. 5 bod 3, písm. d)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- znížené nájomné</w:t>
            </w:r>
          </w:p>
        </w:tc>
      </w:tr>
      <w:tr w:rsidR="00A46D09" w:rsidRPr="00170F8F" w:rsidTr="004E3A86">
        <w:trPr>
          <w:trHeight w:val="50"/>
        </w:trPr>
        <w:tc>
          <w:tcPr>
            <w:tcW w:w="507" w:type="dxa"/>
          </w:tcPr>
          <w:p w:rsidR="00A46D09" w:rsidRPr="008A745F" w:rsidRDefault="00A46D09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A46D09" w:rsidRPr="008A745F" w:rsidRDefault="004E3A86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371" w:type="dxa"/>
          </w:tcPr>
          <w:p w:rsidR="00A46D09" w:rsidRDefault="00A46D09" w:rsidP="003101E6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p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reddavky na náklady za opakov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ané dodávanie energií a služieb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bude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prenajímateľ</w:t>
            </w:r>
          </w:p>
          <w:p w:rsidR="00A46D09" w:rsidRDefault="00A46D09" w:rsidP="003101E6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fakturovať štvrťročne; za dodanie energií vyfakturuje prenajímateľ  </w:t>
            </w:r>
            <w:r w:rsidRPr="00F21CC9">
              <w:rPr>
                <w:rFonts w:ascii="Calibri" w:hAnsi="Calibri"/>
                <w:sz w:val="20"/>
                <w:szCs w:val="20"/>
                <w:u w:val="single"/>
                <w:lang w:val="sk-SK"/>
              </w:rPr>
              <w:t>zálohovo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 do 15 dní</w:t>
            </w:r>
          </w:p>
          <w:p w:rsidR="00A46D09" w:rsidRDefault="00A46D09" w:rsidP="003101E6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po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uplynutí daného štvrťroka.  Náklady za dodanie služieb budú fakturované paušálnou</w:t>
            </w:r>
          </w:p>
          <w:p w:rsidR="00A46D09" w:rsidRDefault="00A46D09" w:rsidP="003101E6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sumou do 15 dní po uplynutí príslušného štv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>rťroka. Prenajímateľ po obdržaní</w:t>
            </w:r>
          </w:p>
          <w:p w:rsidR="00A46D09" w:rsidRDefault="00A46D09" w:rsidP="003101E6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zúčtovacích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faktúr od dodávateľov energií vyhotoví nájomcovi vyúčtovaciu faktúru za</w:t>
            </w:r>
          </w:p>
          <w:p w:rsidR="00A46D09" w:rsidRDefault="00A46D09" w:rsidP="003101E6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príslušný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kalendárny rok.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Splatnosť nedoplatku alebo pre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>platku zo zúčtovacej faktúry je</w:t>
            </w:r>
          </w:p>
          <w:p w:rsidR="00A46D09" w:rsidRPr="00170F8F" w:rsidRDefault="00A46D09" w:rsidP="003101E6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15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</w:rPr>
              <w:t>kalendárnych dní odo dňa doručenia vyúčtovania nájomcovi.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</w:p>
        </w:tc>
      </w:tr>
      <w:tr w:rsidR="00A46D09" w:rsidRPr="008A745F" w:rsidTr="004E3A86">
        <w:tc>
          <w:tcPr>
            <w:tcW w:w="507" w:type="dxa"/>
          </w:tcPr>
          <w:p w:rsidR="00A46D09" w:rsidRPr="008A745F" w:rsidRDefault="00A46D09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62" w:type="dxa"/>
          </w:tcPr>
          <w:p w:rsidR="00A46D09" w:rsidRPr="008A745F" w:rsidRDefault="00A46D09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371" w:type="dxa"/>
          </w:tcPr>
          <w:p w:rsidR="00A46D09" w:rsidRPr="008A745F" w:rsidRDefault="00A46D09" w:rsidP="003101E6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riaditeľ ÚZ ŠD a J STU</w:t>
            </w:r>
          </w:p>
        </w:tc>
      </w:tr>
    </w:tbl>
    <w:p w:rsidR="00A46D09" w:rsidRDefault="00A46D09" w:rsidP="008D722A">
      <w:pPr>
        <w:jc w:val="both"/>
        <w:rPr>
          <w:rFonts w:asciiTheme="majorHAnsi" w:hAnsiTheme="majorHAnsi"/>
          <w:b/>
          <w:lang w:val="sk-SK"/>
        </w:rPr>
      </w:pPr>
    </w:p>
    <w:tbl>
      <w:tblPr>
        <w:tblStyle w:val="Mriekatabuky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7371"/>
      </w:tblGrid>
      <w:tr w:rsidR="00881737" w:rsidRPr="00405FA0" w:rsidTr="00881737">
        <w:tc>
          <w:tcPr>
            <w:tcW w:w="567" w:type="dxa"/>
          </w:tcPr>
          <w:p w:rsidR="00881737" w:rsidRPr="007C340F" w:rsidRDefault="00881737" w:rsidP="003101E6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11.</w:t>
            </w:r>
          </w:p>
        </w:tc>
        <w:tc>
          <w:tcPr>
            <w:tcW w:w="1702" w:type="dxa"/>
          </w:tcPr>
          <w:p w:rsidR="00881737" w:rsidRPr="007C340F" w:rsidRDefault="00881737" w:rsidP="003101E6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371" w:type="dxa"/>
          </w:tcPr>
          <w:p w:rsidR="00881737" w:rsidRDefault="00881737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691A20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DIVADLO MALÁ SCÉNA</w:t>
            </w:r>
            <w:r w:rsidR="00E645F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STU</w:t>
            </w:r>
            <w:r w:rsidRPr="00691A20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o.z.,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Dostojevského rad 7, 811 09 Bratislava,</w:t>
            </w:r>
          </w:p>
          <w:p w:rsidR="00881737" w:rsidRPr="00301D14" w:rsidRDefault="00881737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je občianske združenie zaregistrované na MV SR pod č. VVS/1-900/90-352 91</w:t>
            </w:r>
          </w:p>
        </w:tc>
      </w:tr>
      <w:tr w:rsidR="00881737" w:rsidRPr="00405FA0" w:rsidTr="00881737">
        <w:tc>
          <w:tcPr>
            <w:tcW w:w="567" w:type="dxa"/>
          </w:tcPr>
          <w:p w:rsidR="00881737" w:rsidRPr="00DC29AA" w:rsidRDefault="00881737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81737" w:rsidRPr="00DC29AA" w:rsidRDefault="00881737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371" w:type="dxa"/>
          </w:tcPr>
          <w:p w:rsidR="00881737" w:rsidRPr="001A6DD9" w:rsidRDefault="00881737" w:rsidP="003101E6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dodatkom č. 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k NZ č. 9708/0002/15; č. 13/2015 R-STU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dočasne nepotrebn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ý majetok, nebytový priestor – garáž č.  3 nachádzajúca sa  v dvorovej časti  ŠD STU  Dobrovičova 14 v Bratislave o výmere 16,07m</w:t>
            </w:r>
            <w:r w:rsidRPr="001A6DD9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88173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sa predlžuje doba nájmu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od 1.4.2016 do 31.3.2019,</w:t>
            </w:r>
          </w:p>
          <w:p w:rsidR="00881737" w:rsidRPr="001D0F32" w:rsidRDefault="00881737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predmet nájmu  je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16,07</w:t>
            </w:r>
            <w:r w:rsidRPr="00F64D48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m</w:t>
            </w:r>
            <w:r w:rsidRPr="00F64D48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</w:p>
        </w:tc>
      </w:tr>
      <w:tr w:rsidR="00881737" w:rsidRPr="00405FA0" w:rsidTr="00881737">
        <w:tc>
          <w:tcPr>
            <w:tcW w:w="567" w:type="dxa"/>
          </w:tcPr>
          <w:p w:rsidR="00881737" w:rsidRPr="00DC29AA" w:rsidRDefault="00881737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81737" w:rsidRPr="00DC29AA" w:rsidRDefault="00881737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371" w:type="dxa"/>
          </w:tcPr>
          <w:p w:rsidR="00881737" w:rsidRPr="00DC29AA" w:rsidRDefault="00881737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sklad kulís a rekvizít pre prevádzku divadla.</w:t>
            </w:r>
          </w:p>
        </w:tc>
      </w:tr>
      <w:tr w:rsidR="00881737" w:rsidRPr="00405FA0" w:rsidTr="00881737">
        <w:trPr>
          <w:trHeight w:val="259"/>
        </w:trPr>
        <w:tc>
          <w:tcPr>
            <w:tcW w:w="567" w:type="dxa"/>
          </w:tcPr>
          <w:p w:rsidR="00881737" w:rsidRPr="00DC29AA" w:rsidRDefault="00881737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81737" w:rsidRPr="00DC29AA" w:rsidRDefault="00881737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371" w:type="dxa"/>
          </w:tcPr>
          <w:p w:rsidR="00881737" w:rsidRPr="00DC29AA" w:rsidRDefault="00881737" w:rsidP="003101E6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od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01.04.2015 do 31.03.2019</w:t>
            </w:r>
          </w:p>
        </w:tc>
      </w:tr>
      <w:tr w:rsidR="00881737" w:rsidRPr="00405FA0" w:rsidTr="00881737">
        <w:trPr>
          <w:trHeight w:val="478"/>
        </w:trPr>
        <w:tc>
          <w:tcPr>
            <w:tcW w:w="567" w:type="dxa"/>
            <w:tcBorders>
              <w:right w:val="single" w:sz="4" w:space="0" w:color="auto"/>
            </w:tcBorders>
          </w:tcPr>
          <w:p w:rsidR="00881737" w:rsidRPr="00DC29AA" w:rsidRDefault="00881737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881737" w:rsidRDefault="00881737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  <w:p w:rsidR="00881737" w:rsidRPr="000B1A3B" w:rsidRDefault="00881737" w:rsidP="003101E6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881737" w:rsidRDefault="00881737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výška nájomného dohodou  20,00 €/m2/rok, t.j.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nájomné ročne 321,40</w:t>
            </w:r>
            <w:r w:rsidRPr="00692146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€</w:t>
            </w:r>
          </w:p>
          <w:p w:rsidR="00881737" w:rsidRDefault="00881737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</w:t>
            </w:r>
            <w:r w:rsidRPr="00A47BAB">
              <w:rPr>
                <w:rFonts w:asciiTheme="majorHAnsi" w:hAnsiTheme="majorHAnsi"/>
                <w:sz w:val="20"/>
                <w:szCs w:val="20"/>
                <w:lang w:val="sk-SK"/>
              </w:rPr>
              <w:t>ájomné hradí nájomca štvrťročne vopred vždy k 15. dňu prvého mesiaca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 w:rsidRPr="00A47BAB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daného štvrťroka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vo výške  80,35 €,</w:t>
            </w:r>
          </w:p>
          <w:p w:rsidR="00881737" w:rsidRPr="001A6DD9" w:rsidRDefault="00881737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3D05AD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 xml:space="preserve">  </w:t>
            </w:r>
          </w:p>
        </w:tc>
      </w:tr>
      <w:tr w:rsidR="00881737" w:rsidRPr="00405FA0" w:rsidTr="00881737">
        <w:trPr>
          <w:trHeight w:val="50"/>
        </w:trPr>
        <w:tc>
          <w:tcPr>
            <w:tcW w:w="567" w:type="dxa"/>
          </w:tcPr>
          <w:p w:rsidR="00881737" w:rsidRPr="00DC29AA" w:rsidRDefault="00881737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81737" w:rsidRPr="00DC29AA" w:rsidRDefault="00881737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371" w:type="dxa"/>
          </w:tcPr>
          <w:p w:rsidR="00881737" w:rsidRDefault="00881737" w:rsidP="003101E6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p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reddavky na náklady za opakov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ané dodávanie energií 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bude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prenajímateľ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fakturovať</w:t>
            </w:r>
          </w:p>
          <w:p w:rsidR="00881737" w:rsidRDefault="00881737" w:rsidP="003101E6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štvrťročne; za dodanie energií vyfakturuje prenajímateľ  </w:t>
            </w:r>
            <w:r w:rsidRPr="00F21CC9">
              <w:rPr>
                <w:rFonts w:ascii="Calibri" w:hAnsi="Calibri"/>
                <w:sz w:val="20"/>
                <w:szCs w:val="20"/>
                <w:u w:val="single"/>
                <w:lang w:val="sk-SK"/>
              </w:rPr>
              <w:t>zálohovo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 do 15 dní po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 xml:space="preserve">uplynutí </w:t>
            </w:r>
          </w:p>
          <w:p w:rsidR="00881737" w:rsidRDefault="00881737" w:rsidP="003101E6">
            <w:pPr>
              <w:ind w:left="709" w:hanging="709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daného štvrťroka, náklady za služby súvisiace s prevádzkou predmetu nájmu  vrátane</w:t>
            </w:r>
          </w:p>
          <w:p w:rsidR="00881737" w:rsidRPr="000851B9" w:rsidRDefault="00881737" w:rsidP="00881737">
            <w:pPr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OLO si nájomca zabezpečuje sám na vlastné náklady.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Splatnosť nedoplatku alebo preplatku zo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zúčtovacej faktúry je 15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 xml:space="preserve"> </w:t>
            </w:r>
            <w:r w:rsidRPr="00F21CC9">
              <w:rPr>
                <w:rFonts w:ascii="Calibri" w:hAnsi="Calibri"/>
                <w:sz w:val="20"/>
                <w:szCs w:val="20"/>
                <w:lang w:val="sk-SK"/>
              </w:rPr>
              <w:t>kalendárnych dní odo dňa doručenia vyúčtovania nájomcovi.</w:t>
            </w:r>
          </w:p>
        </w:tc>
      </w:tr>
      <w:tr w:rsidR="00881737" w:rsidRPr="00405FA0" w:rsidTr="00881737">
        <w:tc>
          <w:tcPr>
            <w:tcW w:w="567" w:type="dxa"/>
          </w:tcPr>
          <w:p w:rsidR="00881737" w:rsidRPr="00DC29AA" w:rsidRDefault="00881737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881737" w:rsidRPr="00DC29AA" w:rsidRDefault="00881737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371" w:type="dxa"/>
          </w:tcPr>
          <w:p w:rsidR="00881737" w:rsidRPr="00DC29AA" w:rsidRDefault="00175966" w:rsidP="003101E6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riaditeľ  ÚZ ŠD a J </w:t>
            </w:r>
            <w:r w:rsidR="00881737" w:rsidRPr="00DC29AA">
              <w:rPr>
                <w:rFonts w:asciiTheme="majorHAnsi" w:hAnsiTheme="majorHAnsi"/>
                <w:sz w:val="20"/>
                <w:szCs w:val="20"/>
                <w:lang w:val="sk-SK"/>
              </w:rPr>
              <w:t>STU</w:t>
            </w:r>
          </w:p>
        </w:tc>
      </w:tr>
    </w:tbl>
    <w:p w:rsidR="006C066C" w:rsidRDefault="006C066C"/>
    <w:tbl>
      <w:tblPr>
        <w:tblStyle w:val="Mriekatabuky"/>
        <w:tblW w:w="9640" w:type="dxa"/>
        <w:tblInd w:w="-743" w:type="dxa"/>
        <w:tblLook w:val="04A0" w:firstRow="1" w:lastRow="0" w:firstColumn="1" w:lastColumn="0" w:noHBand="0" w:noVBand="1"/>
      </w:tblPr>
      <w:tblGrid>
        <w:gridCol w:w="567"/>
        <w:gridCol w:w="1702"/>
        <w:gridCol w:w="7371"/>
      </w:tblGrid>
      <w:tr w:rsidR="003101E6" w:rsidRPr="00493318" w:rsidTr="003101E6">
        <w:tc>
          <w:tcPr>
            <w:tcW w:w="567" w:type="dxa"/>
          </w:tcPr>
          <w:p w:rsidR="003101E6" w:rsidRPr="008A745F" w:rsidRDefault="006E492A" w:rsidP="006C066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12</w:t>
            </w:r>
            <w:r w:rsidR="003101E6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02" w:type="dxa"/>
          </w:tcPr>
          <w:p w:rsidR="003101E6" w:rsidRPr="00302217" w:rsidRDefault="003101E6" w:rsidP="003101E6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30221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371" w:type="dxa"/>
          </w:tcPr>
          <w:p w:rsidR="003101E6" w:rsidRPr="0027465E" w:rsidRDefault="003101E6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Alpha medical, s. r. o.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, Záborského 2, 036 01 Martin</w:t>
            </w:r>
          </w:p>
          <w:p w:rsidR="003101E6" w:rsidRPr="00301D14" w:rsidRDefault="003101E6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je zapísaný v OR Okresného súdu Žilina, oddiel Sro, vložka č. 63112/L. </w:t>
            </w:r>
          </w:p>
        </w:tc>
      </w:tr>
      <w:tr w:rsidR="003101E6" w:rsidRPr="008E454E" w:rsidTr="003101E6">
        <w:tc>
          <w:tcPr>
            <w:tcW w:w="567" w:type="dxa"/>
          </w:tcPr>
          <w:p w:rsidR="003101E6" w:rsidRPr="008A745F" w:rsidRDefault="003101E6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3101E6" w:rsidRPr="008A745F" w:rsidRDefault="003101E6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371" w:type="dxa"/>
          </w:tcPr>
          <w:p w:rsidR="003101E6" w:rsidRPr="00D95892" w:rsidRDefault="003101E6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dodatkom č. 2 </w:t>
            </w:r>
            <w:r w:rsidRPr="00D36DAA">
              <w:rPr>
                <w:rFonts w:asciiTheme="majorHAnsi" w:hAnsiTheme="majorHAnsi"/>
                <w:sz w:val="20"/>
                <w:szCs w:val="20"/>
                <w:lang w:val="sk-SK"/>
              </w:rPr>
              <w:t>sa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Nájomná zmluva FCHPT č. 01/2015; č. 9/2015 R – STU spolu s dodatkom č.1  s dobou platnosti do 31.03</w:t>
            </w:r>
            <w:r w:rsidRPr="00D95892">
              <w:rPr>
                <w:rFonts w:asciiTheme="majorHAnsi" w:hAnsiTheme="majorHAnsi"/>
                <w:sz w:val="20"/>
                <w:szCs w:val="20"/>
                <w:lang w:val="sk-SK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6 </w:t>
            </w:r>
            <w:r w:rsidR="00E645F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predlžuje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od 01.04.2016 do 30.06.2016,</w:t>
            </w:r>
          </w:p>
          <w:p w:rsidR="003101E6" w:rsidRPr="00D95892" w:rsidRDefault="003101E6" w:rsidP="003101E6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c</w:t>
            </w:r>
            <w:r w:rsidRPr="00D95892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elková výmera podlahovej plochy je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235,00</w:t>
            </w:r>
            <w:r w:rsidRPr="00D95892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m</w:t>
            </w:r>
            <w:r w:rsidRPr="00D95892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D95892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</w:tr>
      <w:tr w:rsidR="003101E6" w:rsidRPr="008E454E" w:rsidTr="003101E6">
        <w:tc>
          <w:tcPr>
            <w:tcW w:w="567" w:type="dxa"/>
          </w:tcPr>
          <w:p w:rsidR="003101E6" w:rsidRPr="008A745F" w:rsidRDefault="003101E6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3101E6" w:rsidRPr="008A745F" w:rsidRDefault="003101E6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371" w:type="dxa"/>
          </w:tcPr>
          <w:p w:rsidR="003101E6" w:rsidRPr="008E454E" w:rsidRDefault="003101E6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využitie priestorov na laboratóriá, sklady a archív firmy v rámci prevádzkovania zdravotníckych zariadení ambulantnej starostlivosti.</w:t>
            </w:r>
          </w:p>
        </w:tc>
      </w:tr>
      <w:tr w:rsidR="003101E6" w:rsidRPr="008E454E" w:rsidTr="003101E6">
        <w:trPr>
          <w:trHeight w:val="259"/>
        </w:trPr>
        <w:tc>
          <w:tcPr>
            <w:tcW w:w="567" w:type="dxa"/>
          </w:tcPr>
          <w:p w:rsidR="003101E6" w:rsidRPr="008A745F" w:rsidRDefault="003101E6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3101E6" w:rsidRPr="008A745F" w:rsidRDefault="003101E6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371" w:type="dxa"/>
          </w:tcPr>
          <w:p w:rsidR="003101E6" w:rsidRPr="008E454E" w:rsidRDefault="003101E6" w:rsidP="003101E6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do 30.06.2016</w:t>
            </w:r>
          </w:p>
        </w:tc>
      </w:tr>
      <w:tr w:rsidR="003101E6" w:rsidRPr="008E454E" w:rsidTr="003101E6">
        <w:tc>
          <w:tcPr>
            <w:tcW w:w="567" w:type="dxa"/>
          </w:tcPr>
          <w:p w:rsidR="003101E6" w:rsidRPr="00BE3D00" w:rsidRDefault="003101E6" w:rsidP="003101E6">
            <w:pPr>
              <w:jc w:val="both"/>
              <w:rPr>
                <w:rFonts w:asciiTheme="majorHAnsi" w:hAnsiTheme="majorHAnsi"/>
                <w:strike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3101E6" w:rsidRPr="003629E1" w:rsidRDefault="003101E6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629E1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371" w:type="dxa"/>
          </w:tcPr>
          <w:p w:rsidR="003101E6" w:rsidRPr="00594699" w:rsidRDefault="003101E6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laboratóriá spolu o výmere 96,00</w:t>
            </w:r>
            <w:r w:rsidRPr="00000C78">
              <w:rPr>
                <w:rFonts w:asciiTheme="majorHAnsi" w:hAnsiTheme="majorHAnsi"/>
                <w:sz w:val="20"/>
                <w:szCs w:val="20"/>
                <w:lang w:val="sk-SK"/>
              </w:rPr>
              <w:t>m</w:t>
            </w:r>
            <w:r w:rsidRPr="00000C78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 w:rsidRPr="00000C78">
              <w:rPr>
                <w:rFonts w:asciiTheme="majorHAnsi" w:hAnsiTheme="majorHAnsi"/>
                <w:sz w:val="20"/>
                <w:szCs w:val="20"/>
                <w:lang w:val="sk-SK"/>
              </w:rPr>
              <w:t>-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50,00€/m2/rok – 6 250,0€, kancelárie spolu 76,00m2 80,00€/m2/rok – 6 080,00€ a sklady spolu s archívom 20,00€/m2/rok – 680,00€ </w:t>
            </w:r>
            <w:r w:rsidRPr="00594699">
              <w:rPr>
                <w:rFonts w:asciiTheme="majorHAnsi" w:hAnsiTheme="majorHAnsi"/>
                <w:sz w:val="20"/>
                <w:szCs w:val="20"/>
                <w:lang w:val="sk-SK"/>
              </w:rPr>
              <w:t>t. j.   spolu 13 010,00€.</w:t>
            </w:r>
          </w:p>
          <w:p w:rsidR="003101E6" w:rsidRPr="00000C78" w:rsidRDefault="003101E6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Ročne  je nájomné 13 010,00 €</w:t>
            </w:r>
          </w:p>
          <w:p w:rsidR="003101E6" w:rsidRPr="00000C78" w:rsidRDefault="003101E6" w:rsidP="003101E6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lastRenderedPageBreak/>
              <w:t>nájomné je v súlade so smernicou</w:t>
            </w:r>
            <w:r w:rsidRPr="00594699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3101E6" w:rsidRPr="00427FCF" w:rsidTr="003101E6">
        <w:trPr>
          <w:trHeight w:val="50"/>
        </w:trPr>
        <w:tc>
          <w:tcPr>
            <w:tcW w:w="567" w:type="dxa"/>
          </w:tcPr>
          <w:p w:rsidR="003101E6" w:rsidRPr="008A745F" w:rsidRDefault="003101E6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3101E6" w:rsidRPr="008A745F" w:rsidRDefault="003101E6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371" w:type="dxa"/>
          </w:tcPr>
          <w:p w:rsidR="003101E6" w:rsidRPr="004A2731" w:rsidRDefault="003101E6" w:rsidP="003101E6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Pr="004A2731">
              <w:rPr>
                <w:rFonts w:asciiTheme="majorHAnsi" w:hAnsiTheme="majorHAnsi"/>
                <w:sz w:val="20"/>
                <w:szCs w:val="20"/>
                <w:lang w:val="sk-SK"/>
              </w:rPr>
              <w:t>preddavky na náklady za opakované dodávanie energií a služieb bude prenajímateľ</w:t>
            </w:r>
          </w:p>
          <w:p w:rsidR="003101E6" w:rsidRDefault="003101E6" w:rsidP="003101E6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4A273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fakturovať štvrťročne; za dodanie energií vyfakturuje prenajímateľ  </w:t>
            </w:r>
            <w:r w:rsidRPr="004A2731">
              <w:rPr>
                <w:rFonts w:asciiTheme="majorHAnsi" w:hAnsiTheme="majorHAnsi"/>
                <w:sz w:val="20"/>
                <w:szCs w:val="20"/>
                <w:u w:val="single"/>
                <w:lang w:val="sk-SK"/>
              </w:rPr>
              <w:t>zálohovo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do 15</w:t>
            </w:r>
            <w:r w:rsidRPr="004A273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dní</w:t>
            </w:r>
          </w:p>
          <w:p w:rsidR="003101E6" w:rsidRPr="004A2731" w:rsidRDefault="003101E6" w:rsidP="003101E6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4A2731">
              <w:rPr>
                <w:rFonts w:asciiTheme="majorHAnsi" w:hAnsiTheme="majorHAnsi"/>
                <w:sz w:val="20"/>
                <w:szCs w:val="20"/>
                <w:lang w:val="sk-SK"/>
              </w:rPr>
              <w:t>po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4A2731">
              <w:rPr>
                <w:rFonts w:asciiTheme="majorHAnsi" w:hAnsiTheme="majorHAnsi"/>
                <w:sz w:val="20"/>
                <w:szCs w:val="20"/>
                <w:lang w:val="sk-SK"/>
              </w:rPr>
              <w:t>uplynutí daného štvrťroka.  Náklady za dodanie služieb budú fakturované paušálnou</w:t>
            </w:r>
          </w:p>
          <w:p w:rsidR="003101E6" w:rsidRDefault="003101E6" w:rsidP="003101E6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sumou do 15</w:t>
            </w:r>
            <w:r w:rsidRPr="004A273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dní po uplynutí príslušného štvr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ťroka. Prenajímateľ po obdržaní</w:t>
            </w:r>
          </w:p>
          <w:p w:rsidR="003101E6" w:rsidRDefault="003101E6" w:rsidP="003101E6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4A2731">
              <w:rPr>
                <w:rFonts w:asciiTheme="majorHAnsi" w:hAnsiTheme="majorHAnsi"/>
                <w:sz w:val="20"/>
                <w:szCs w:val="20"/>
                <w:lang w:val="sk-SK"/>
              </w:rPr>
              <w:t>zúčtovacích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4A2731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faktúr od dodávateľov energií vyhotoví nájomcovi vyúčtovaciu faktúru za </w:t>
            </w:r>
          </w:p>
          <w:p w:rsidR="003101E6" w:rsidRDefault="003101E6" w:rsidP="003101E6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4A2731">
              <w:rPr>
                <w:rFonts w:asciiTheme="majorHAnsi" w:hAnsiTheme="majorHAnsi"/>
                <w:sz w:val="20"/>
                <w:szCs w:val="20"/>
                <w:lang w:val="sk-SK"/>
              </w:rPr>
              <w:t>príslušný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4A2731">
              <w:rPr>
                <w:rFonts w:asciiTheme="majorHAnsi" w:hAnsiTheme="majorHAnsi"/>
                <w:sz w:val="20"/>
                <w:szCs w:val="20"/>
                <w:lang w:val="sk-SK"/>
              </w:rPr>
              <w:t>kalendárny rok. Splatnosť nedoplatku alebo prepl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atku zo zúčtovacej faktúry je</w:t>
            </w:r>
          </w:p>
          <w:p w:rsidR="003101E6" w:rsidRPr="003101E6" w:rsidRDefault="003101E6" w:rsidP="003101E6">
            <w:pPr>
              <w:ind w:left="709" w:hanging="709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14  </w:t>
            </w:r>
            <w:r w:rsidRPr="004A2731">
              <w:rPr>
                <w:rFonts w:asciiTheme="majorHAnsi" w:hAnsiTheme="majorHAnsi"/>
                <w:sz w:val="20"/>
              </w:rPr>
              <w:t>kalendárnych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A2731">
              <w:rPr>
                <w:rFonts w:asciiTheme="majorHAnsi" w:hAnsiTheme="majorHAnsi"/>
                <w:sz w:val="20"/>
              </w:rPr>
              <w:t>dní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A2731">
              <w:rPr>
                <w:rFonts w:asciiTheme="majorHAnsi" w:hAnsiTheme="majorHAnsi"/>
                <w:sz w:val="20"/>
              </w:rPr>
              <w:t>odo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A2731">
              <w:rPr>
                <w:rFonts w:asciiTheme="majorHAnsi" w:hAnsiTheme="majorHAnsi"/>
                <w:sz w:val="20"/>
              </w:rPr>
              <w:t>dňa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A2731">
              <w:rPr>
                <w:rFonts w:asciiTheme="majorHAnsi" w:hAnsiTheme="majorHAnsi"/>
                <w:sz w:val="20"/>
              </w:rPr>
              <w:t>doručenia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A2731">
              <w:rPr>
                <w:rFonts w:asciiTheme="majorHAnsi" w:hAnsiTheme="majorHAnsi"/>
                <w:sz w:val="20"/>
              </w:rPr>
              <w:t>vyúčtovania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A2731">
              <w:rPr>
                <w:rFonts w:asciiTheme="majorHAnsi" w:hAnsiTheme="majorHAnsi"/>
                <w:sz w:val="20"/>
              </w:rPr>
              <w:t>nájomcovi</w:t>
            </w:r>
            <w:r>
              <w:rPr>
                <w:rFonts w:asciiTheme="majorHAnsi" w:hAnsiTheme="majorHAnsi"/>
                <w:sz w:val="20"/>
              </w:rPr>
              <w:t>.</w:t>
            </w:r>
          </w:p>
        </w:tc>
      </w:tr>
      <w:tr w:rsidR="003101E6" w:rsidRPr="008A745F" w:rsidTr="003101E6">
        <w:tc>
          <w:tcPr>
            <w:tcW w:w="567" w:type="dxa"/>
          </w:tcPr>
          <w:p w:rsidR="003101E6" w:rsidRPr="008A745F" w:rsidRDefault="003101E6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3101E6" w:rsidRPr="008A745F" w:rsidRDefault="003101E6" w:rsidP="003101E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371" w:type="dxa"/>
          </w:tcPr>
          <w:p w:rsidR="003101E6" w:rsidRPr="008A745F" w:rsidRDefault="003101E6" w:rsidP="003101E6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dekan FCHPT  STU</w:t>
            </w:r>
          </w:p>
        </w:tc>
      </w:tr>
    </w:tbl>
    <w:p w:rsidR="006C066C" w:rsidRDefault="006C066C" w:rsidP="008D722A">
      <w:pPr>
        <w:jc w:val="both"/>
        <w:rPr>
          <w:rFonts w:asciiTheme="majorHAnsi" w:hAnsiTheme="majorHAnsi"/>
          <w:b/>
          <w:lang w:val="sk-SK"/>
        </w:rPr>
      </w:pPr>
    </w:p>
    <w:tbl>
      <w:tblPr>
        <w:tblStyle w:val="Mriekatabuky"/>
        <w:tblW w:w="9640" w:type="dxa"/>
        <w:tblInd w:w="-743" w:type="dxa"/>
        <w:tblLook w:val="04A0" w:firstRow="1" w:lastRow="0" w:firstColumn="1" w:lastColumn="0" w:noHBand="0" w:noVBand="1"/>
      </w:tblPr>
      <w:tblGrid>
        <w:gridCol w:w="567"/>
        <w:gridCol w:w="1702"/>
        <w:gridCol w:w="7371"/>
      </w:tblGrid>
      <w:tr w:rsidR="006E492A" w:rsidRPr="00784294" w:rsidTr="001B0399">
        <w:tc>
          <w:tcPr>
            <w:tcW w:w="567" w:type="dxa"/>
          </w:tcPr>
          <w:p w:rsidR="006E492A" w:rsidRPr="008A745F" w:rsidRDefault="006E492A" w:rsidP="001B0399">
            <w:pPr>
              <w:ind w:left="360" w:hanging="326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13.</w:t>
            </w:r>
          </w:p>
        </w:tc>
        <w:tc>
          <w:tcPr>
            <w:tcW w:w="1702" w:type="dxa"/>
          </w:tcPr>
          <w:p w:rsidR="006E492A" w:rsidRPr="00302217" w:rsidRDefault="006E492A" w:rsidP="001B0399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30221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371" w:type="dxa"/>
          </w:tcPr>
          <w:p w:rsidR="006E492A" w:rsidRPr="004E3A86" w:rsidRDefault="006E492A" w:rsidP="001B0399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NetCinema technologies, s. r. o.,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Bottova 7, 811 09</w:t>
            </w:r>
            <w:r w:rsidRPr="004E3A86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Bratislava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,</w:t>
            </w:r>
          </w:p>
          <w:p w:rsidR="006E492A" w:rsidRPr="00784294" w:rsidRDefault="006E492A" w:rsidP="001B0399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je podnikateľom zapísaným   v OR OS Ba I, oddiel: Sro, vložka č. 65693/B.</w:t>
            </w:r>
          </w:p>
        </w:tc>
      </w:tr>
      <w:tr w:rsidR="006E492A" w:rsidRPr="004E3A86" w:rsidTr="001B0399">
        <w:tc>
          <w:tcPr>
            <w:tcW w:w="567" w:type="dxa"/>
          </w:tcPr>
          <w:p w:rsidR="006E492A" w:rsidRPr="008A745F" w:rsidRDefault="006E492A" w:rsidP="001B039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6E492A" w:rsidRPr="008A745F" w:rsidRDefault="006E492A" w:rsidP="001B039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371" w:type="dxa"/>
          </w:tcPr>
          <w:p w:rsidR="006E492A" w:rsidRDefault="006E492A" w:rsidP="001B0399">
            <w:pPr>
              <w:jc w:val="both"/>
              <w:rPr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dočasne nepotrebn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ý majetok, nebytové priestory: na FCHPT STU, nová budova,   miestnosť č. 1127 o výmere 12,00m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, ktoré</w:t>
            </w:r>
            <w:r w:rsidRPr="00616B02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bude nájomca využívať </w:t>
            </w:r>
            <w:r w:rsidRPr="00493318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výlučne na účely spojené s predmetom jeho podnikateľskej činnosti podľa výpisu z OR  SR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. </w:t>
            </w:r>
            <w:r w:rsidRPr="00616B02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Jedná sa o novú nájomnú zmluvu,</w:t>
            </w:r>
          </w:p>
          <w:p w:rsidR="006E492A" w:rsidRPr="004E3A86" w:rsidRDefault="006E492A" w:rsidP="001B039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4E3A86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predmet nájmu spolu vo výmere: </w:t>
            </w:r>
            <w:r w:rsidRPr="004E3A86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12,00 m</w:t>
            </w:r>
            <w:r w:rsidRPr="004E3A86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4E3A86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.</w:t>
            </w:r>
          </w:p>
        </w:tc>
      </w:tr>
      <w:tr w:rsidR="006E492A" w:rsidRPr="008E454E" w:rsidTr="001B0399">
        <w:tc>
          <w:tcPr>
            <w:tcW w:w="567" w:type="dxa"/>
          </w:tcPr>
          <w:p w:rsidR="006E492A" w:rsidRPr="008A745F" w:rsidRDefault="006E492A" w:rsidP="001B039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6E492A" w:rsidRPr="008A745F" w:rsidRDefault="006E492A" w:rsidP="001B039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371" w:type="dxa"/>
          </w:tcPr>
          <w:p w:rsidR="006E492A" w:rsidRPr="008E454E" w:rsidRDefault="006E492A" w:rsidP="001B0399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administratíva a prevádzka firmy </w:t>
            </w:r>
          </w:p>
        </w:tc>
      </w:tr>
      <w:tr w:rsidR="006E492A" w:rsidRPr="00DC29AA" w:rsidTr="001B0399">
        <w:trPr>
          <w:trHeight w:val="259"/>
        </w:trPr>
        <w:tc>
          <w:tcPr>
            <w:tcW w:w="567" w:type="dxa"/>
          </w:tcPr>
          <w:p w:rsidR="006E492A" w:rsidRPr="008A745F" w:rsidRDefault="006E492A" w:rsidP="001B039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E492A" w:rsidRPr="008A745F" w:rsidRDefault="006E492A" w:rsidP="001B039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371" w:type="dxa"/>
          </w:tcPr>
          <w:p w:rsidR="006E492A" w:rsidRPr="00DC29AA" w:rsidRDefault="006E492A" w:rsidP="001B0399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od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0</w:t>
            </w: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1.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03.2016 do 28.02.2017.</w:t>
            </w:r>
          </w:p>
        </w:tc>
      </w:tr>
      <w:tr w:rsidR="006E492A" w:rsidRPr="00986D11" w:rsidTr="001B0399">
        <w:tc>
          <w:tcPr>
            <w:tcW w:w="567" w:type="dxa"/>
            <w:tcBorders>
              <w:right w:val="single" w:sz="4" w:space="0" w:color="auto"/>
            </w:tcBorders>
          </w:tcPr>
          <w:p w:rsidR="006E492A" w:rsidRPr="00BE3D00" w:rsidRDefault="006E492A" w:rsidP="001B0399">
            <w:pPr>
              <w:jc w:val="both"/>
              <w:rPr>
                <w:rFonts w:asciiTheme="majorHAnsi" w:hAnsiTheme="majorHAnsi"/>
                <w:strike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6E492A" w:rsidRPr="003629E1" w:rsidRDefault="006E492A" w:rsidP="001B039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629E1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6E492A" w:rsidRPr="005B6D41" w:rsidRDefault="006E492A" w:rsidP="001B0399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kancelária  80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,00 €/m</w:t>
            </w:r>
            <w:r w:rsidRPr="008E454E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/rok  -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960</w:t>
            </w:r>
            <w:r w:rsidRPr="009D7528">
              <w:rPr>
                <w:rFonts w:asciiTheme="majorHAnsi" w:hAnsiTheme="majorHAnsi"/>
                <w:sz w:val="20"/>
                <w:szCs w:val="20"/>
                <w:lang w:val="sk-SK"/>
              </w:rPr>
              <w:t>,00 €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, t. j.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ročné nájomné spolu: 960,00</w:t>
            </w:r>
            <w:r w:rsidRPr="009D7528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€</w:t>
            </w:r>
          </w:p>
          <w:p w:rsidR="006E492A" w:rsidRPr="008E454E" w:rsidRDefault="006E492A" w:rsidP="001B039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ájomné hradí </w:t>
            </w:r>
            <w:r w:rsidRPr="008E454E">
              <w:rPr>
                <w:rFonts w:asciiTheme="majorHAnsi" w:hAnsiTheme="majorHAnsi" w:cs="Arial"/>
                <w:sz w:val="20"/>
                <w:szCs w:val="20"/>
                <w:lang w:val="sk-SK"/>
              </w:rPr>
              <w:t>nájomca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štvrťročne vopred vždy k 15. dňu prvého mesiaca</w:t>
            </w:r>
            <w:r w:rsidRPr="008E454E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d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aného štvrťroka vo výške  240,00</w:t>
            </w: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€,</w:t>
            </w:r>
          </w:p>
          <w:p w:rsidR="006E492A" w:rsidRPr="00986D11" w:rsidRDefault="006E492A" w:rsidP="001B0399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0A19CF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6E492A" w:rsidRPr="00427FCF" w:rsidTr="001B0399">
        <w:trPr>
          <w:trHeight w:val="50"/>
        </w:trPr>
        <w:tc>
          <w:tcPr>
            <w:tcW w:w="567" w:type="dxa"/>
          </w:tcPr>
          <w:p w:rsidR="006E492A" w:rsidRPr="008A745F" w:rsidRDefault="006E492A" w:rsidP="001B039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6E492A" w:rsidRPr="008A745F" w:rsidRDefault="006E492A" w:rsidP="001B039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371" w:type="dxa"/>
          </w:tcPr>
          <w:p w:rsidR="006E492A" w:rsidRPr="00427FCF" w:rsidRDefault="006E492A" w:rsidP="001B0399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</w:t>
            </w:r>
            <w:r w:rsidRPr="00493318">
              <w:rPr>
                <w:rFonts w:asciiTheme="majorHAnsi" w:hAnsiTheme="majorHAnsi"/>
                <w:sz w:val="20"/>
              </w:rPr>
              <w:t>reddavky na náklady  za opakované  dodanie energií a služieb budú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nájomcovi fakturované zálohovo do 15 dňa 1. mesiaca príslušného štvrťroka.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Nájomca je povinný uhradiť faktúru do 14 dní odo dňa vystavenia faktúry.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Výška zálohových platieb bude vypočítaná ako aritmetický priemer z</w:t>
            </w:r>
            <w:r>
              <w:rPr>
                <w:rFonts w:asciiTheme="majorHAnsi" w:hAnsiTheme="majorHAnsi"/>
                <w:sz w:val="20"/>
              </w:rPr>
              <w:t> </w:t>
            </w:r>
            <w:r w:rsidRPr="00493318">
              <w:rPr>
                <w:rFonts w:asciiTheme="majorHAnsi" w:hAnsiTheme="majorHAnsi"/>
                <w:sz w:val="20"/>
              </w:rPr>
              <w:t>platieb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za uplynulý kalendárny rok. Prenajímateľ vyhotoví po uplynutí zúčtovacieho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obdobia, najneskôr do 20 dní zúčtovaciu fa</w:t>
            </w:r>
            <w:r>
              <w:rPr>
                <w:rFonts w:asciiTheme="majorHAnsi" w:hAnsiTheme="majorHAnsi"/>
                <w:sz w:val="20"/>
              </w:rPr>
              <w:t xml:space="preserve">ktúru so </w:t>
            </w:r>
            <w:r w:rsidRPr="00493318">
              <w:rPr>
                <w:rFonts w:asciiTheme="majorHAnsi" w:hAnsiTheme="majorHAnsi"/>
                <w:sz w:val="20"/>
              </w:rPr>
              <w:t>splatnosťou 14</w:t>
            </w:r>
            <w:r>
              <w:rPr>
                <w:rFonts w:asciiTheme="majorHAnsi" w:hAnsiTheme="majorHAnsi"/>
                <w:sz w:val="20"/>
              </w:rPr>
              <w:t xml:space="preserve"> kalendárnych</w:t>
            </w:r>
            <w:r w:rsidRPr="00493318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d</w:t>
            </w:r>
            <w:r w:rsidRPr="00493318">
              <w:rPr>
                <w:rFonts w:asciiTheme="majorHAnsi" w:hAnsiTheme="majorHAnsi"/>
                <w:sz w:val="20"/>
              </w:rPr>
              <w:t>ní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493318">
              <w:rPr>
                <w:rFonts w:asciiTheme="majorHAnsi" w:hAnsiTheme="majorHAnsi"/>
                <w:sz w:val="20"/>
              </w:rPr>
              <w:t>odo dňa jej vyhotovenia.</w:t>
            </w:r>
          </w:p>
        </w:tc>
      </w:tr>
      <w:tr w:rsidR="006E492A" w:rsidRPr="008A745F" w:rsidTr="001B0399">
        <w:tc>
          <w:tcPr>
            <w:tcW w:w="567" w:type="dxa"/>
          </w:tcPr>
          <w:p w:rsidR="006E492A" w:rsidRPr="008A745F" w:rsidRDefault="006E492A" w:rsidP="001B039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6E492A" w:rsidRPr="008A745F" w:rsidRDefault="006E492A" w:rsidP="001B039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371" w:type="dxa"/>
          </w:tcPr>
          <w:p w:rsidR="006E492A" w:rsidRPr="008A745F" w:rsidRDefault="006E492A" w:rsidP="001B0399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dekan FCHPT STU</w:t>
            </w:r>
          </w:p>
        </w:tc>
      </w:tr>
    </w:tbl>
    <w:p w:rsidR="006E492A" w:rsidRDefault="006E492A" w:rsidP="008D722A">
      <w:pPr>
        <w:jc w:val="both"/>
        <w:rPr>
          <w:rFonts w:asciiTheme="majorHAnsi" w:hAnsiTheme="majorHAnsi"/>
          <w:b/>
          <w:lang w:val="sk-SK"/>
        </w:rPr>
      </w:pPr>
    </w:p>
    <w:tbl>
      <w:tblPr>
        <w:tblStyle w:val="Mriekatabuky"/>
        <w:tblW w:w="9782" w:type="dxa"/>
        <w:tblInd w:w="-743" w:type="dxa"/>
        <w:tblLook w:val="04A0" w:firstRow="1" w:lastRow="0" w:firstColumn="1" w:lastColumn="0" w:noHBand="0" w:noVBand="1"/>
      </w:tblPr>
      <w:tblGrid>
        <w:gridCol w:w="567"/>
        <w:gridCol w:w="1758"/>
        <w:gridCol w:w="7457"/>
      </w:tblGrid>
      <w:tr w:rsidR="004F00FD" w:rsidRPr="00880238" w:rsidTr="00FF7AE9">
        <w:tc>
          <w:tcPr>
            <w:tcW w:w="567" w:type="dxa"/>
          </w:tcPr>
          <w:p w:rsidR="004F00FD" w:rsidRPr="008A745F" w:rsidRDefault="001B0399" w:rsidP="001B0399">
            <w:pPr>
              <w:ind w:left="360" w:hanging="326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14</w:t>
            </w:r>
            <w:r w:rsidR="004F00FD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58" w:type="dxa"/>
          </w:tcPr>
          <w:p w:rsidR="004F00FD" w:rsidRPr="00302217" w:rsidRDefault="004F00FD" w:rsidP="001B0399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302217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457" w:type="dxa"/>
          </w:tcPr>
          <w:p w:rsidR="004F00FD" w:rsidRPr="00223B7C" w:rsidRDefault="004F00FD" w:rsidP="001B0399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EDEN TRAVEL, s. r. o.</w:t>
            </w:r>
            <w:r w:rsidRPr="00223B7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Vazovova 1, 811 07 Bratislava</w:t>
            </w:r>
          </w:p>
          <w:p w:rsidR="004F00FD" w:rsidRPr="00880238" w:rsidRDefault="004F00FD" w:rsidP="001B0399">
            <w:pPr>
              <w:pStyle w:val="Odsekzoznamu"/>
              <w:ind w:left="644" w:hanging="611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nájomca je podnikateľom  zapísaným </w:t>
            </w:r>
            <w:r w:rsidRPr="00880238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 OR OS Ba I, oddiel 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Sro, vložka č. 41445</w:t>
            </w:r>
            <w:r w:rsidRPr="00880238">
              <w:rPr>
                <w:rFonts w:asciiTheme="majorHAnsi" w:hAnsiTheme="majorHAnsi"/>
                <w:sz w:val="20"/>
                <w:szCs w:val="20"/>
                <w:lang w:val="sk-SK"/>
              </w:rPr>
              <w:t>/B.</w:t>
            </w:r>
          </w:p>
        </w:tc>
      </w:tr>
      <w:tr w:rsidR="004F00FD" w:rsidRPr="007B0C3B" w:rsidTr="00FF7AE9">
        <w:tc>
          <w:tcPr>
            <w:tcW w:w="567" w:type="dxa"/>
          </w:tcPr>
          <w:p w:rsidR="004F00FD" w:rsidRPr="008A745F" w:rsidRDefault="004F00FD" w:rsidP="001B039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58" w:type="dxa"/>
          </w:tcPr>
          <w:p w:rsidR="004F00FD" w:rsidRPr="008A745F" w:rsidRDefault="004F00FD" w:rsidP="001B039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457" w:type="dxa"/>
          </w:tcPr>
          <w:p w:rsidR="004F00FD" w:rsidRPr="007B0C3B" w:rsidRDefault="004F00FD" w:rsidP="00A0393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dočasne nepotrebný majetok, časť pozemku STU, Vazovova 5, k. ú. Ba- Staré mesto, parc. č. 21740/9,  LV č.2139 – časti</w:t>
            </w:r>
            <w:r w:rsidR="00A03936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pozemku označeného ako č. 4 -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parkovac</w:t>
            </w:r>
            <w:r w:rsidR="00A03936">
              <w:rPr>
                <w:rFonts w:asciiTheme="majorHAnsi" w:hAnsiTheme="majorHAnsi"/>
                <w:sz w:val="20"/>
                <w:szCs w:val="20"/>
                <w:lang w:val="sk-SK"/>
              </w:rPr>
              <w:t>ie miesto. Jedná sa o opakovanýnájom parkovacieho miesta.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</w:p>
        </w:tc>
      </w:tr>
      <w:tr w:rsidR="004F00FD" w:rsidRPr="008E454E" w:rsidTr="00FF7AE9">
        <w:tc>
          <w:tcPr>
            <w:tcW w:w="567" w:type="dxa"/>
          </w:tcPr>
          <w:p w:rsidR="004F00FD" w:rsidRPr="008A745F" w:rsidRDefault="004F00FD" w:rsidP="001B039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58" w:type="dxa"/>
          </w:tcPr>
          <w:p w:rsidR="004F00FD" w:rsidRPr="008A745F" w:rsidRDefault="004F00FD" w:rsidP="001B039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457" w:type="dxa"/>
          </w:tcPr>
          <w:p w:rsidR="004F00FD" w:rsidRPr="008E454E" w:rsidRDefault="004F00FD" w:rsidP="001B0399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parkovanie osobného motorového vozidla.</w:t>
            </w:r>
          </w:p>
        </w:tc>
      </w:tr>
      <w:tr w:rsidR="004F00FD" w:rsidRPr="008E454E" w:rsidTr="00FF7AE9">
        <w:trPr>
          <w:trHeight w:val="259"/>
        </w:trPr>
        <w:tc>
          <w:tcPr>
            <w:tcW w:w="567" w:type="dxa"/>
          </w:tcPr>
          <w:p w:rsidR="004F00FD" w:rsidRPr="008A745F" w:rsidRDefault="004F00FD" w:rsidP="001B039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4F00FD" w:rsidRPr="008A745F" w:rsidRDefault="004F00FD" w:rsidP="001B039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457" w:type="dxa"/>
          </w:tcPr>
          <w:p w:rsidR="004F00FD" w:rsidRPr="008E454E" w:rsidRDefault="004F00FD" w:rsidP="001B0399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01.04.2016 do 31. 03.2017.</w:t>
            </w:r>
          </w:p>
        </w:tc>
      </w:tr>
      <w:tr w:rsidR="004F00FD" w:rsidRPr="00A440B2" w:rsidTr="00FF7AE9">
        <w:tc>
          <w:tcPr>
            <w:tcW w:w="567" w:type="dxa"/>
            <w:tcBorders>
              <w:right w:val="single" w:sz="4" w:space="0" w:color="auto"/>
            </w:tcBorders>
          </w:tcPr>
          <w:p w:rsidR="004F00FD" w:rsidRPr="00BE3D00" w:rsidRDefault="004F00FD" w:rsidP="001B0399">
            <w:pPr>
              <w:jc w:val="both"/>
              <w:rPr>
                <w:rFonts w:asciiTheme="majorHAnsi" w:hAnsiTheme="majorHAnsi"/>
                <w:strike/>
                <w:sz w:val="20"/>
                <w:szCs w:val="20"/>
                <w:lang w:val="sk-SK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4F00FD" w:rsidRPr="003629E1" w:rsidRDefault="004F00FD" w:rsidP="001B039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629E1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457" w:type="dxa"/>
            <w:tcBorders>
              <w:left w:val="single" w:sz="4" w:space="0" w:color="auto"/>
            </w:tcBorders>
          </w:tcPr>
          <w:p w:rsidR="004F00FD" w:rsidRDefault="004F00FD" w:rsidP="001B0399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cena za užívanie časti pozemku, jedno parkovacie miesto - je stanovená na  </w:t>
            </w:r>
            <w:r w:rsidRPr="00702CBD">
              <w:rPr>
                <w:rFonts w:asciiTheme="majorHAnsi" w:hAnsiTheme="majorHAnsi"/>
                <w:sz w:val="20"/>
                <w:szCs w:val="20"/>
                <w:lang w:val="sk-SK"/>
              </w:rPr>
              <w:t>650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,00 €</w:t>
            </w:r>
          </w:p>
          <w:p w:rsidR="004F00FD" w:rsidRDefault="004F00FD" w:rsidP="004F00FD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bez </w:t>
            </w:r>
            <w:r w:rsidRPr="004F00FD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DPH – parkovacie miesto je úzko spojené s prenájmom nehnuteľnosti, </w:t>
            </w:r>
          </w:p>
          <w:p w:rsidR="004F00FD" w:rsidRPr="004F00FD" w:rsidRDefault="004F00FD" w:rsidP="004F00FD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4F00FD">
              <w:rPr>
                <w:rFonts w:asciiTheme="majorHAnsi" w:hAnsiTheme="majorHAnsi"/>
                <w:sz w:val="20"/>
                <w:szCs w:val="20"/>
                <w:lang w:val="sk-SK"/>
              </w:rPr>
              <w:t>oslobodený od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4F00FD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DPH, </w:t>
            </w:r>
            <w:r w:rsidRPr="004F00FD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t.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j. nájomné ročne je spolu 650,00€</w:t>
            </w:r>
            <w:r w:rsidRPr="004F00FD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. </w:t>
            </w:r>
          </w:p>
          <w:p w:rsidR="004F00FD" w:rsidRDefault="004F00FD" w:rsidP="001B0399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Nájomné je splatné na základe faktúry vystavenej prenajímateľom  do 14 dní odo</w:t>
            </w:r>
          </w:p>
          <w:p w:rsidR="004F00FD" w:rsidRPr="00740199" w:rsidRDefault="004F00FD" w:rsidP="001B0399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dňa </w:t>
            </w:r>
            <w:r w:rsidRPr="00740199">
              <w:rPr>
                <w:rFonts w:asciiTheme="majorHAnsi" w:hAnsiTheme="majorHAnsi"/>
                <w:sz w:val="20"/>
                <w:szCs w:val="20"/>
                <w:lang w:val="sk-SK"/>
              </w:rPr>
              <w:t>jej vystavenia,</w:t>
            </w:r>
          </w:p>
          <w:p w:rsidR="004F00FD" w:rsidRPr="00A440B2" w:rsidRDefault="004F00FD" w:rsidP="001B0399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</w:p>
        </w:tc>
      </w:tr>
      <w:tr w:rsidR="004F00FD" w:rsidRPr="00427FCF" w:rsidTr="00FF7AE9">
        <w:trPr>
          <w:trHeight w:val="50"/>
        </w:trPr>
        <w:tc>
          <w:tcPr>
            <w:tcW w:w="567" w:type="dxa"/>
          </w:tcPr>
          <w:p w:rsidR="004F00FD" w:rsidRPr="008A745F" w:rsidRDefault="004F00FD" w:rsidP="001B039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58" w:type="dxa"/>
          </w:tcPr>
          <w:p w:rsidR="004F00FD" w:rsidRPr="008A745F" w:rsidRDefault="004F00FD" w:rsidP="001B039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Náklady za služby:</w:t>
            </w:r>
          </w:p>
        </w:tc>
        <w:tc>
          <w:tcPr>
            <w:tcW w:w="7457" w:type="dxa"/>
          </w:tcPr>
          <w:p w:rsidR="004F00FD" w:rsidRPr="00427FCF" w:rsidRDefault="004F00FD" w:rsidP="001B0399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 cene nájomného s</w:t>
            </w:r>
            <w:r w:rsidR="00FF7AE9">
              <w:rPr>
                <w:rFonts w:asciiTheme="majorHAnsi" w:hAnsiTheme="majorHAnsi"/>
                <w:sz w:val="20"/>
              </w:rPr>
              <w:t>ú zahrnuté aj náklady na pomern</w:t>
            </w:r>
            <w:r>
              <w:rPr>
                <w:rFonts w:asciiTheme="majorHAnsi" w:hAnsiTheme="majorHAnsi"/>
                <w:sz w:val="20"/>
              </w:rPr>
              <w:t>účasť dane z nehnuteľnosti</w:t>
            </w:r>
          </w:p>
        </w:tc>
      </w:tr>
      <w:tr w:rsidR="004F00FD" w:rsidRPr="008A745F" w:rsidTr="00FF7AE9">
        <w:tc>
          <w:tcPr>
            <w:tcW w:w="567" w:type="dxa"/>
          </w:tcPr>
          <w:p w:rsidR="004F00FD" w:rsidRPr="008A745F" w:rsidRDefault="004F00FD" w:rsidP="001B039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758" w:type="dxa"/>
          </w:tcPr>
          <w:p w:rsidR="004F00FD" w:rsidRPr="008A745F" w:rsidRDefault="004F00FD" w:rsidP="001B039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457" w:type="dxa"/>
          </w:tcPr>
          <w:p w:rsidR="004F00FD" w:rsidRPr="008A745F" w:rsidRDefault="004F00FD" w:rsidP="001B0399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vedúci PÚ R-STU</w:t>
            </w:r>
          </w:p>
        </w:tc>
      </w:tr>
    </w:tbl>
    <w:p w:rsidR="004F00FD" w:rsidRDefault="004F00FD" w:rsidP="004F00FD">
      <w:pPr>
        <w:pStyle w:val="Textpoznmkypodiarou"/>
        <w:jc w:val="both"/>
        <w:rPr>
          <w:rFonts w:asciiTheme="majorHAnsi" w:hAnsiTheme="majorHAnsi"/>
          <w:lang w:val="sk-SK"/>
        </w:rPr>
      </w:pPr>
    </w:p>
    <w:tbl>
      <w:tblPr>
        <w:tblStyle w:val="Mriekatabuky"/>
        <w:tblW w:w="9782" w:type="dxa"/>
        <w:tblInd w:w="-743" w:type="dxa"/>
        <w:tblLook w:val="04A0" w:firstRow="1" w:lastRow="0" w:firstColumn="1" w:lastColumn="0" w:noHBand="0" w:noVBand="1"/>
      </w:tblPr>
      <w:tblGrid>
        <w:gridCol w:w="567"/>
        <w:gridCol w:w="1844"/>
        <w:gridCol w:w="7371"/>
      </w:tblGrid>
      <w:tr w:rsidR="005821BC" w:rsidRPr="001D185D" w:rsidTr="00FF7AE9">
        <w:tc>
          <w:tcPr>
            <w:tcW w:w="567" w:type="dxa"/>
          </w:tcPr>
          <w:p w:rsidR="005821BC" w:rsidRPr="007C340F" w:rsidRDefault="005821BC" w:rsidP="005821BC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15.</w:t>
            </w:r>
          </w:p>
        </w:tc>
        <w:tc>
          <w:tcPr>
            <w:tcW w:w="1844" w:type="dxa"/>
          </w:tcPr>
          <w:p w:rsidR="005821BC" w:rsidRPr="007C340F" w:rsidRDefault="005821BC" w:rsidP="005821BC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371" w:type="dxa"/>
          </w:tcPr>
          <w:p w:rsidR="005821BC" w:rsidRDefault="005821BC" w:rsidP="00EA41AD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PRVÁ ZVÁRAČSKÁ, a. s.</w:t>
            </w:r>
            <w:r w:rsidR="00EA41AD">
              <w:rPr>
                <w:rFonts w:asciiTheme="majorHAnsi" w:hAnsiTheme="majorHAnsi"/>
                <w:sz w:val="20"/>
                <w:szCs w:val="20"/>
                <w:lang w:val="sk-SK"/>
              </w:rPr>
              <w:t>,  Kopčianska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14, 851 01 Bratislava,</w:t>
            </w:r>
          </w:p>
          <w:p w:rsidR="005821BC" w:rsidRPr="001D185D" w:rsidRDefault="005821BC" w:rsidP="00EA41AD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je zaregistrovaný na OS Bratislava I,  oddiel Sa, vložka č. 2652/B.</w:t>
            </w:r>
          </w:p>
        </w:tc>
      </w:tr>
      <w:tr w:rsidR="005821BC" w:rsidRPr="00867561" w:rsidTr="00FF7AE9">
        <w:tc>
          <w:tcPr>
            <w:tcW w:w="567" w:type="dxa"/>
          </w:tcPr>
          <w:p w:rsidR="005821BC" w:rsidRPr="00DC29AA" w:rsidRDefault="005821BC" w:rsidP="005821B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4" w:type="dxa"/>
          </w:tcPr>
          <w:p w:rsidR="005821BC" w:rsidRPr="00DC29AA" w:rsidRDefault="005821BC" w:rsidP="005821B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371" w:type="dxa"/>
          </w:tcPr>
          <w:p w:rsidR="005821BC" w:rsidRDefault="005821BC" w:rsidP="00EA41A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dočasne nepotrebný majetok, nebytový priestor (NP) nachádzajúci sa  na MTF STU,</w:t>
            </w:r>
          </w:p>
          <w:p w:rsidR="005821BC" w:rsidRDefault="005821BC" w:rsidP="00EA41A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lastRenderedPageBreak/>
              <w:t>Botanická ul.</w:t>
            </w:r>
            <w:r w:rsidRPr="00FB7CE0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Trnava, v budove Centra </w:t>
            </w:r>
            <w:r w:rsidR="00EA41AD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exelentnosti – laboratóriá o výmere 50,00</w:t>
            </w:r>
            <w:r w:rsidRPr="0083639A">
              <w:rPr>
                <w:rFonts w:asciiTheme="majorHAnsi" w:hAnsiTheme="majorHAnsi"/>
                <w:sz w:val="20"/>
                <w:szCs w:val="20"/>
                <w:lang w:val="sk-SK"/>
              </w:rPr>
              <w:t>m</w:t>
            </w:r>
            <w:r w:rsidRPr="0083639A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</w:p>
          <w:p w:rsidR="00EA41AD" w:rsidRDefault="005821BC" w:rsidP="00EA41A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spolu s </w:t>
            </w:r>
            <w:r w:rsidRPr="0083639A">
              <w:rPr>
                <w:rFonts w:asciiTheme="majorHAnsi" w:hAnsiTheme="majorHAnsi"/>
                <w:sz w:val="20"/>
                <w:szCs w:val="20"/>
                <w:lang w:val="sk-SK"/>
              </w:rPr>
              <w:t>príslušenstvom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) </w:t>
            </w:r>
            <w:r w:rsidRPr="005821BC">
              <w:rPr>
                <w:rFonts w:asciiTheme="majorHAnsi" w:hAnsiTheme="majorHAnsi"/>
                <w:sz w:val="20"/>
                <w:szCs w:val="20"/>
                <w:lang w:val="sk-SK"/>
              </w:rPr>
              <w:t>nachádzajúce sa na prízemí</w:t>
            </w:r>
            <w:r w:rsidR="00EA41AD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5821BC">
              <w:rPr>
                <w:rFonts w:asciiTheme="majorHAnsi" w:hAnsiTheme="majorHAnsi"/>
                <w:sz w:val="20"/>
                <w:szCs w:val="20"/>
                <w:lang w:val="sk-SK"/>
              </w:rPr>
              <w:t>budovy.</w:t>
            </w:r>
          </w:p>
          <w:p w:rsidR="005821BC" w:rsidRPr="00EA41AD" w:rsidRDefault="005821BC" w:rsidP="00EA41AD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EA41AD">
              <w:rPr>
                <w:rFonts w:asciiTheme="majorHAnsi" w:hAnsiTheme="majorHAnsi"/>
                <w:sz w:val="20"/>
              </w:rPr>
              <w:t>predmet nájmu spolu o výmere</w:t>
            </w:r>
            <w:r w:rsidR="00EA41AD">
              <w:rPr>
                <w:rFonts w:asciiTheme="majorHAnsi" w:hAnsiTheme="majorHAnsi"/>
                <w:b/>
                <w:sz w:val="20"/>
              </w:rPr>
              <w:t xml:space="preserve"> 5</w:t>
            </w:r>
            <w:r w:rsidRPr="00EA41AD">
              <w:rPr>
                <w:rFonts w:asciiTheme="majorHAnsi" w:hAnsiTheme="majorHAnsi"/>
                <w:b/>
                <w:sz w:val="20"/>
              </w:rPr>
              <w:t>0,0m</w:t>
            </w:r>
            <w:r w:rsidRPr="00EA41AD">
              <w:rPr>
                <w:rFonts w:asciiTheme="majorHAnsi" w:hAnsiTheme="majorHAnsi"/>
                <w:b/>
                <w:sz w:val="20"/>
                <w:vertAlign w:val="superscript"/>
              </w:rPr>
              <w:t>2</w:t>
            </w:r>
            <w:r w:rsidRPr="00EA41AD">
              <w:rPr>
                <w:rFonts w:asciiTheme="majorHAnsi" w:hAnsiTheme="majorHAnsi"/>
                <w:b/>
                <w:sz w:val="20"/>
              </w:rPr>
              <w:t>.</w:t>
            </w:r>
            <w:r w:rsidRPr="00EA41AD">
              <w:rPr>
                <w:rFonts w:asciiTheme="majorHAnsi" w:hAnsiTheme="majorHAnsi"/>
                <w:sz w:val="20"/>
              </w:rPr>
              <w:t xml:space="preserve">  </w:t>
            </w:r>
          </w:p>
        </w:tc>
      </w:tr>
      <w:tr w:rsidR="005821BC" w:rsidRPr="008E454E" w:rsidTr="00FF7AE9">
        <w:tc>
          <w:tcPr>
            <w:tcW w:w="567" w:type="dxa"/>
          </w:tcPr>
          <w:p w:rsidR="005821BC" w:rsidRPr="00DC29AA" w:rsidRDefault="005821BC" w:rsidP="005821B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4" w:type="dxa"/>
          </w:tcPr>
          <w:p w:rsidR="005821BC" w:rsidRPr="00DC29AA" w:rsidRDefault="005821BC" w:rsidP="005821B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371" w:type="dxa"/>
          </w:tcPr>
          <w:p w:rsidR="005821BC" w:rsidRPr="008E454E" w:rsidRDefault="00EA41AD" w:rsidP="00EA41AD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vykonávania výskumu technológií </w:t>
            </w:r>
            <w:r w:rsidR="00FF7AE9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spájania materiálov</w:t>
            </w:r>
            <w:r w:rsidR="00FF7AE9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koncentrovanými</w:t>
            </w:r>
            <w:r w:rsidR="00FF7AE9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zdrojmi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energie</w:t>
            </w:r>
          </w:p>
        </w:tc>
      </w:tr>
      <w:tr w:rsidR="005821BC" w:rsidRPr="008E454E" w:rsidTr="00FF7AE9">
        <w:trPr>
          <w:trHeight w:val="259"/>
        </w:trPr>
        <w:tc>
          <w:tcPr>
            <w:tcW w:w="567" w:type="dxa"/>
          </w:tcPr>
          <w:p w:rsidR="005821BC" w:rsidRPr="00DC29AA" w:rsidRDefault="005821BC" w:rsidP="005821B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821BC" w:rsidRPr="00DC29AA" w:rsidRDefault="005821BC" w:rsidP="005821B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821BC" w:rsidRPr="008E454E" w:rsidRDefault="00EA41AD" w:rsidP="00EA41AD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od 01.03.2016 do 28.02.2027</w:t>
            </w:r>
          </w:p>
        </w:tc>
      </w:tr>
      <w:tr w:rsidR="005821BC" w:rsidRPr="00FB6F3D" w:rsidTr="00FF7AE9">
        <w:trPr>
          <w:trHeight w:val="530"/>
        </w:trPr>
        <w:tc>
          <w:tcPr>
            <w:tcW w:w="567" w:type="dxa"/>
            <w:tcBorders>
              <w:right w:val="single" w:sz="4" w:space="0" w:color="auto"/>
            </w:tcBorders>
          </w:tcPr>
          <w:p w:rsidR="005821BC" w:rsidRPr="00DC29AA" w:rsidRDefault="005821BC" w:rsidP="005821B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5821BC" w:rsidRDefault="005821BC" w:rsidP="005821B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</w:p>
          <w:p w:rsidR="005821BC" w:rsidRPr="000B1A3B" w:rsidRDefault="005821BC" w:rsidP="005821B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5821BC" w:rsidRPr="00EA41AD" w:rsidRDefault="00EA41AD" w:rsidP="00EA41AD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laboratórium  16</w:t>
            </w:r>
            <w:r w:rsidR="005821BC" w:rsidRPr="003504C8">
              <w:rPr>
                <w:rFonts w:asciiTheme="majorHAnsi" w:hAnsiTheme="majorHAnsi"/>
                <w:sz w:val="20"/>
                <w:szCs w:val="20"/>
                <w:lang w:val="sk-SK"/>
              </w:rPr>
              <w:t>,00€/m</w:t>
            </w:r>
            <w:r w:rsidR="005821BC" w:rsidRPr="003504C8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2</w:t>
            </w:r>
            <w:r w:rsidR="005821BC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/rok– t. j. </w:t>
            </w:r>
            <w:r w:rsidR="005821B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ročne</w:t>
            </w:r>
            <w:r w:rsidR="005821BC" w:rsidRPr="001F5153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 xml:space="preserve"> nájomné 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800,00</w:t>
            </w:r>
            <w:r w:rsidR="005821BC" w:rsidRPr="001F5153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€</w:t>
            </w:r>
            <w:r w:rsidR="005821BC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,</w:t>
            </w:r>
          </w:p>
          <w:p w:rsidR="005821BC" w:rsidRDefault="005821BC" w:rsidP="00EA41AD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štvrťročn</w:t>
            </w:r>
            <w:r w:rsidR="00FF7AE9">
              <w:rPr>
                <w:rFonts w:asciiTheme="majorHAnsi" w:hAnsiTheme="majorHAnsi"/>
                <w:sz w:val="20"/>
                <w:szCs w:val="20"/>
                <w:lang w:val="sk-SK"/>
              </w:rPr>
              <w:t>á výška nájomného za NP je 200,0 € splatné vždy do 15. d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ňa prvého mesiaca </w:t>
            </w:r>
          </w:p>
          <w:p w:rsidR="005821BC" w:rsidRPr="00613BAE" w:rsidRDefault="00FF7AE9" w:rsidP="00EA41AD">
            <w:pPr>
              <w:pStyle w:val="Odsekzoznamu"/>
              <w:ind w:left="644" w:hanging="644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príslušného štvrťroka  vopred,</w:t>
            </w:r>
            <w:r w:rsidR="005821BC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</w:t>
            </w:r>
          </w:p>
          <w:p w:rsidR="005821BC" w:rsidRPr="00FB6F3D" w:rsidRDefault="005821BC" w:rsidP="00EA41AD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 w:rsidRPr="00244BA7">
              <w:rPr>
                <w:rFonts w:asciiTheme="majorHAnsi" w:hAnsiTheme="majorHAnsi"/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5821BC" w:rsidRPr="00613BAE" w:rsidTr="00FF7AE9">
        <w:trPr>
          <w:trHeight w:val="50"/>
        </w:trPr>
        <w:tc>
          <w:tcPr>
            <w:tcW w:w="567" w:type="dxa"/>
          </w:tcPr>
          <w:p w:rsidR="005821BC" w:rsidRPr="00DC29AA" w:rsidRDefault="005821BC" w:rsidP="005821B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4" w:type="dxa"/>
          </w:tcPr>
          <w:p w:rsidR="005821BC" w:rsidRPr="00DC29AA" w:rsidRDefault="005821BC" w:rsidP="005821B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371" w:type="dxa"/>
          </w:tcPr>
          <w:p w:rsidR="005821BC" w:rsidRDefault="00EA41AD" w:rsidP="00EA41AD">
            <w:pPr>
              <w:ind w:left="709" w:hanging="709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</w:t>
            </w:r>
            <w:r w:rsidR="005821BC" w:rsidRPr="004A2731">
              <w:rPr>
                <w:rFonts w:asciiTheme="majorHAnsi" w:hAnsiTheme="majorHAnsi"/>
                <w:sz w:val="20"/>
                <w:szCs w:val="20"/>
                <w:lang w:val="sk-SK"/>
              </w:rPr>
              <w:t>áklady za d</w:t>
            </w:r>
            <w:r w:rsidR="005821BC">
              <w:rPr>
                <w:rFonts w:asciiTheme="majorHAnsi" w:hAnsiTheme="majorHAnsi"/>
                <w:sz w:val="20"/>
                <w:szCs w:val="20"/>
                <w:lang w:val="sk-SK"/>
              </w:rPr>
              <w:t>odanie služieb spojených s dodávkou energií bude nájomca uhrádzať</w:t>
            </w:r>
          </w:p>
          <w:p w:rsidR="005821BC" w:rsidRPr="00613BAE" w:rsidRDefault="005821BC" w:rsidP="00EA41AD">
            <w:pPr>
              <w:ind w:left="709" w:hanging="709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prenajímateľo</w:t>
            </w:r>
            <w:r w:rsidR="00EA41AD">
              <w:rPr>
                <w:rFonts w:asciiTheme="majorHAnsi" w:hAnsiTheme="majorHAnsi"/>
                <w:sz w:val="20"/>
                <w:szCs w:val="20"/>
                <w:lang w:val="sk-SK"/>
              </w:rPr>
              <w:t>vi na základe zálohových štvrtročných faktúr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</w:p>
        </w:tc>
      </w:tr>
      <w:tr w:rsidR="00EA41AD" w:rsidRPr="008A745F" w:rsidTr="00FF7AE9">
        <w:tc>
          <w:tcPr>
            <w:tcW w:w="567" w:type="dxa"/>
          </w:tcPr>
          <w:p w:rsidR="00EA41AD" w:rsidRPr="008A745F" w:rsidRDefault="00EA41AD" w:rsidP="00370F64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4" w:type="dxa"/>
          </w:tcPr>
          <w:p w:rsidR="00EA41AD" w:rsidRPr="008A745F" w:rsidRDefault="00EA41AD" w:rsidP="00370F64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371" w:type="dxa"/>
          </w:tcPr>
          <w:p w:rsidR="00EA41AD" w:rsidRPr="008A745F" w:rsidRDefault="00EA41AD" w:rsidP="00370F64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dekan MTF STU</w:t>
            </w:r>
          </w:p>
        </w:tc>
      </w:tr>
    </w:tbl>
    <w:p w:rsidR="004F00FD" w:rsidRPr="00255262" w:rsidRDefault="004F00FD" w:rsidP="008D722A">
      <w:pPr>
        <w:jc w:val="both"/>
        <w:rPr>
          <w:rFonts w:asciiTheme="majorHAnsi" w:hAnsiTheme="majorHAnsi"/>
          <w:b/>
          <w:lang w:val="sk-SK"/>
        </w:rPr>
      </w:pPr>
    </w:p>
    <w:sectPr w:rsidR="004F00FD" w:rsidRPr="00255262" w:rsidSect="000A6EEC">
      <w:headerReference w:type="default" r:id="rId9"/>
      <w:footerReference w:type="default" r:id="rId10"/>
      <w:headerReference w:type="first" r:id="rId11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9C" w:rsidRDefault="00E16F9C" w:rsidP="0030006A">
      <w:r>
        <w:separator/>
      </w:r>
    </w:p>
  </w:endnote>
  <w:endnote w:type="continuationSeparator" w:id="0">
    <w:p w:rsidR="00E16F9C" w:rsidRDefault="00E16F9C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BC" w:rsidRPr="00F72759" w:rsidRDefault="005821BC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6F4DCA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5821BC" w:rsidRDefault="005821BC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9C" w:rsidRDefault="00E16F9C" w:rsidP="0030006A">
      <w:r>
        <w:separator/>
      </w:r>
    </w:p>
  </w:footnote>
  <w:footnote w:type="continuationSeparator" w:id="0">
    <w:p w:rsidR="00E16F9C" w:rsidRDefault="00E16F9C" w:rsidP="0030006A">
      <w:r>
        <w:continuationSeparator/>
      </w:r>
    </w:p>
  </w:footnote>
  <w:footnote w:id="1">
    <w:p w:rsidR="005821BC" w:rsidRDefault="005821BC" w:rsidP="0074616D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/>
          <w:sz w:val="16"/>
          <w:szCs w:val="16"/>
        </w:rPr>
        <w:t>Príloha č. 1 Smernice rektora číslo 9/2013-SR „Nájom nehnuteľného majetku vo vlastníctve Slovens</w:t>
      </w:r>
      <w:r>
        <w:rPr>
          <w:sz w:val="16"/>
          <w:szCs w:val="16"/>
        </w:rPr>
        <w:t>kej technickej univerzity</w:t>
      </w:r>
    </w:p>
    <w:p w:rsidR="005821BC" w:rsidRDefault="005821BC" w:rsidP="0074616D">
      <w:pPr>
        <w:pStyle w:val="Textpoznmkypodiarou"/>
        <w:tabs>
          <w:tab w:val="left" w:pos="27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v Bratislave“  zo dňa 12.12.2013.</w:t>
      </w:r>
      <w:r>
        <w:t xml:space="preserve"> </w:t>
      </w:r>
      <w:r>
        <w:tab/>
      </w:r>
    </w:p>
    <w:p w:rsidR="005821BC" w:rsidRPr="00BE3D00" w:rsidRDefault="005821BC" w:rsidP="0074616D"/>
    <w:p w:rsidR="005821BC" w:rsidRDefault="005821BC" w:rsidP="0074616D">
      <w:pPr>
        <w:pStyle w:val="Textpoznmkypodiarou"/>
      </w:pPr>
    </w:p>
    <w:p w:rsidR="005821BC" w:rsidRDefault="005821BC" w:rsidP="0074616D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BC" w:rsidRDefault="005821BC" w:rsidP="00557E40">
    <w:pPr>
      <w:pStyle w:val="Hlavika"/>
    </w:pPr>
  </w:p>
  <w:p w:rsidR="005821BC" w:rsidRDefault="005821BC" w:rsidP="00557E40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9B9CF" wp14:editId="353A08CD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21BC" w:rsidRPr="00A20866" w:rsidRDefault="006F4DCA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</w:t>
                          </w:r>
                          <w:r w:rsidR="00BA2E4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5821B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29</w:t>
                          </w:r>
                          <w:r w:rsidR="005821B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.02.2016</w:t>
                          </w:r>
                        </w:p>
                        <w:p w:rsidR="006F4DCA" w:rsidRPr="006F4DCA" w:rsidRDefault="006F4DCA" w:rsidP="006F4DCA">
                          <w:pPr>
                            <w:ind w:left="-993" w:firstLine="851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6F4DC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Žiadosť o predchádzajúci písomný súhlas Akademického  </w:t>
                          </w:r>
                        </w:p>
                        <w:p w:rsidR="006F4DCA" w:rsidRPr="00AF7046" w:rsidRDefault="006F4DCA" w:rsidP="006F4DCA">
                          <w:pPr>
                            <w:ind w:left="-993" w:firstLine="851"/>
                            <w:jc w:val="right"/>
                            <w:rPr>
                              <w:rFonts w:asciiTheme="majorHAnsi" w:hAnsiTheme="majorHAnsi"/>
                              <w:b/>
                              <w:sz w:val="36"/>
                              <w:szCs w:val="36"/>
                              <w:lang w:val="sk-SK"/>
                            </w:rPr>
                          </w:pPr>
                          <w:r w:rsidRPr="006F4DC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senátu Slovenskej technickej univerzity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6"/>
                              <w:szCs w:val="36"/>
                              <w:lang w:val="sk-SK"/>
                            </w:rPr>
                            <w:t xml:space="preserve"> </w:t>
                          </w:r>
                          <w:r w:rsidRPr="006F4DC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na nájom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6F4DC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nehnuteľných vecí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6"/>
                              <w:szCs w:val="36"/>
                              <w:lang w:val="sk-SK"/>
                            </w:rPr>
                            <w:t xml:space="preserve"> </w:t>
                          </w:r>
                          <w:r w:rsidRPr="006F4DC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STU </w:t>
                          </w:r>
                        </w:p>
                        <w:p w:rsidR="005821BC" w:rsidRPr="00A20866" w:rsidRDefault="005821BC" w:rsidP="006F4DC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Pozvánka č.</w:t>
                          </w:r>
                          <w:r w:rsidR="00BA2E4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/201</w:t>
                          </w:r>
                          <w:r w:rsidR="006F4DC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bod č. , </w:t>
                          </w:r>
                          <w:r w:rsidR="006F4DC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 w:rsidR="006F4DC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" filled="f" stroked="f">
              <v:path arrowok="t"/>
              <v:textbox>
                <w:txbxContent>
                  <w:p w:rsidR="005821BC" w:rsidRPr="00A20866" w:rsidRDefault="006F4DCA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</w:t>
                    </w:r>
                    <w:r w:rsidR="00BA2E4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5821B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29</w:t>
                    </w:r>
                    <w:r w:rsidR="005821B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.02.2016</w:t>
                    </w:r>
                  </w:p>
                  <w:p w:rsidR="006F4DCA" w:rsidRPr="006F4DCA" w:rsidRDefault="006F4DCA" w:rsidP="006F4DCA">
                    <w:pPr>
                      <w:ind w:left="-993" w:firstLine="851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6F4DC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Žiadosť o predchádzajúci písomný súhlas Akademického  </w:t>
                    </w:r>
                  </w:p>
                  <w:p w:rsidR="006F4DCA" w:rsidRPr="00AF7046" w:rsidRDefault="006F4DCA" w:rsidP="006F4DCA">
                    <w:pPr>
                      <w:ind w:left="-993" w:firstLine="851"/>
                      <w:jc w:val="right"/>
                      <w:rPr>
                        <w:rFonts w:asciiTheme="majorHAnsi" w:hAnsiTheme="majorHAnsi"/>
                        <w:b/>
                        <w:sz w:val="36"/>
                        <w:szCs w:val="36"/>
                        <w:lang w:val="sk-SK"/>
                      </w:rPr>
                    </w:pPr>
                    <w:r w:rsidRPr="006F4DC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senátu Slovenskej technickej univerzity</w:t>
                    </w:r>
                    <w:r>
                      <w:rPr>
                        <w:rFonts w:asciiTheme="majorHAnsi" w:hAnsiTheme="majorHAnsi"/>
                        <w:b/>
                        <w:sz w:val="36"/>
                        <w:szCs w:val="36"/>
                        <w:lang w:val="sk-SK"/>
                      </w:rPr>
                      <w:t xml:space="preserve"> </w:t>
                    </w:r>
                    <w:r w:rsidRPr="006F4DC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na nájom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6F4DC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nehnuteľných vecí</w:t>
                    </w:r>
                    <w:r>
                      <w:rPr>
                        <w:rFonts w:asciiTheme="majorHAnsi" w:hAnsiTheme="majorHAnsi"/>
                        <w:b/>
                        <w:sz w:val="36"/>
                        <w:szCs w:val="36"/>
                        <w:lang w:val="sk-SK"/>
                      </w:rPr>
                      <w:t xml:space="preserve"> </w:t>
                    </w:r>
                    <w:r w:rsidRPr="006F4DC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STU </w:t>
                    </w:r>
                  </w:p>
                  <w:p w:rsidR="005821BC" w:rsidRPr="00A20866" w:rsidRDefault="005821BC" w:rsidP="006F4DC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Pozvánka č.</w:t>
                    </w:r>
                    <w:r w:rsidR="00BA2E4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/201</w:t>
                    </w:r>
                    <w:r w:rsidR="006F4DC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bod č. , </w:t>
                    </w:r>
                    <w:r w:rsidR="006F4DC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 w:rsidR="006F4DC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 Redhammer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0E7068B5" wp14:editId="096D9F21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21BC" w:rsidRDefault="005821BC" w:rsidP="00557E40">
    <w:pPr>
      <w:pStyle w:val="Hlavika"/>
    </w:pPr>
  </w:p>
  <w:p w:rsidR="005821BC" w:rsidRDefault="005821BC" w:rsidP="00557E40">
    <w:pPr>
      <w:pStyle w:val="Hlavika"/>
    </w:pPr>
  </w:p>
  <w:p w:rsidR="005821BC" w:rsidRDefault="005821BC" w:rsidP="00557E4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BC" w:rsidRDefault="005821BC">
    <w:pPr>
      <w:pStyle w:val="Hlavika"/>
    </w:pPr>
    <w:r>
      <w:rPr>
        <w:noProof/>
        <w:lang w:val="sk-SK" w:eastAsia="sk-SK"/>
      </w:rPr>
      <w:drawing>
        <wp:inline distT="0" distB="0" distL="0" distR="0" wp14:anchorId="4D7E7161" wp14:editId="06D07F84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622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54011F1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15D"/>
    <w:multiLevelType w:val="hybridMultilevel"/>
    <w:tmpl w:val="B79A017E"/>
    <w:lvl w:ilvl="0" w:tplc="A0403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F772F8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D2AE8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42609"/>
    <w:multiLevelType w:val="hybridMultilevel"/>
    <w:tmpl w:val="EE140018"/>
    <w:lvl w:ilvl="0" w:tplc="F9528B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86FF7"/>
    <w:multiLevelType w:val="hybridMultilevel"/>
    <w:tmpl w:val="9CE81A46"/>
    <w:lvl w:ilvl="0" w:tplc="02666ADA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50CEB"/>
    <w:multiLevelType w:val="hybridMultilevel"/>
    <w:tmpl w:val="4532F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33399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46B28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36230"/>
    <w:multiLevelType w:val="hybridMultilevel"/>
    <w:tmpl w:val="162C050C"/>
    <w:lvl w:ilvl="0" w:tplc="74DEDF32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00D4AB4"/>
    <w:multiLevelType w:val="hybridMultilevel"/>
    <w:tmpl w:val="A97C9B0C"/>
    <w:lvl w:ilvl="0" w:tplc="62DE4BAE">
      <w:start w:val="4"/>
      <w:numFmt w:val="bullet"/>
      <w:lvlText w:val="-"/>
      <w:lvlJc w:val="left"/>
      <w:pPr>
        <w:ind w:left="1035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237C0E35"/>
    <w:multiLevelType w:val="hybridMultilevel"/>
    <w:tmpl w:val="4532F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8250F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806B7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57E85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9616E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A3B25"/>
    <w:multiLevelType w:val="hybridMultilevel"/>
    <w:tmpl w:val="7B3E6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5337B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05603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97786"/>
    <w:multiLevelType w:val="hybridMultilevel"/>
    <w:tmpl w:val="A2E6C3A0"/>
    <w:lvl w:ilvl="0" w:tplc="2A9E42F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>
    <w:nsid w:val="46365267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7487D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D5A83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A2F56"/>
    <w:multiLevelType w:val="hybridMultilevel"/>
    <w:tmpl w:val="473E8C8E"/>
    <w:lvl w:ilvl="0" w:tplc="F9446C18">
      <w:start w:val="1"/>
      <w:numFmt w:val="lowerLetter"/>
      <w:lvlText w:val="%1)"/>
      <w:lvlJc w:val="left"/>
      <w:pPr>
        <w:ind w:left="2333" w:hanging="360"/>
      </w:pPr>
      <w:rPr>
        <w:rFonts w:asciiTheme="majorHAnsi" w:hAnsiTheme="majorHAnsi" w:cs="Myriad Pro"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6">
    <w:nsid w:val="5E6E5A7B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B609B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B16A5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605C8"/>
    <w:multiLevelType w:val="hybridMultilevel"/>
    <w:tmpl w:val="3D624574"/>
    <w:lvl w:ilvl="0" w:tplc="202226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A68"/>
    <w:multiLevelType w:val="hybridMultilevel"/>
    <w:tmpl w:val="8190EBA4"/>
    <w:lvl w:ilvl="0" w:tplc="896A1C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6A231D5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E675B"/>
    <w:multiLevelType w:val="hybridMultilevel"/>
    <w:tmpl w:val="4532F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0656E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21FC1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7339A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41A12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C4125"/>
    <w:multiLevelType w:val="hybridMultilevel"/>
    <w:tmpl w:val="D358825A"/>
    <w:lvl w:ilvl="0" w:tplc="908CE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5711D"/>
    <w:multiLevelType w:val="hybridMultilevel"/>
    <w:tmpl w:val="C8EA68A8"/>
    <w:lvl w:ilvl="0" w:tplc="B9DCDE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B3FA8"/>
    <w:multiLevelType w:val="hybridMultilevel"/>
    <w:tmpl w:val="D35ACB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14D87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3"/>
  </w:num>
  <w:num w:numId="4">
    <w:abstractNumId w:val="13"/>
  </w:num>
  <w:num w:numId="5">
    <w:abstractNumId w:val="32"/>
  </w:num>
  <w:num w:numId="6">
    <w:abstractNumId w:val="25"/>
  </w:num>
  <w:num w:numId="7">
    <w:abstractNumId w:val="8"/>
  </w:num>
  <w:num w:numId="8">
    <w:abstractNumId w:val="22"/>
  </w:num>
  <w:num w:numId="9">
    <w:abstractNumId w:val="28"/>
  </w:num>
  <w:num w:numId="10">
    <w:abstractNumId w:val="20"/>
  </w:num>
  <w:num w:numId="11">
    <w:abstractNumId w:val="27"/>
  </w:num>
  <w:num w:numId="12">
    <w:abstractNumId w:val="34"/>
  </w:num>
  <w:num w:numId="13">
    <w:abstractNumId w:val="0"/>
  </w:num>
  <w:num w:numId="14">
    <w:abstractNumId w:val="38"/>
  </w:num>
  <w:num w:numId="15">
    <w:abstractNumId w:val="10"/>
  </w:num>
  <w:num w:numId="16">
    <w:abstractNumId w:val="16"/>
  </w:num>
  <w:num w:numId="17">
    <w:abstractNumId w:val="4"/>
  </w:num>
  <w:num w:numId="18">
    <w:abstractNumId w:val="15"/>
  </w:num>
  <w:num w:numId="19">
    <w:abstractNumId w:val="23"/>
  </w:num>
  <w:num w:numId="20">
    <w:abstractNumId w:val="33"/>
  </w:num>
  <w:num w:numId="21">
    <w:abstractNumId w:val="2"/>
  </w:num>
  <w:num w:numId="22">
    <w:abstractNumId w:val="40"/>
  </w:num>
  <w:num w:numId="23">
    <w:abstractNumId w:val="9"/>
  </w:num>
  <w:num w:numId="24">
    <w:abstractNumId w:val="24"/>
  </w:num>
  <w:num w:numId="25">
    <w:abstractNumId w:val="17"/>
  </w:num>
  <w:num w:numId="26">
    <w:abstractNumId w:val="19"/>
  </w:num>
  <w:num w:numId="27">
    <w:abstractNumId w:val="36"/>
  </w:num>
  <w:num w:numId="28">
    <w:abstractNumId w:val="14"/>
  </w:num>
  <w:num w:numId="29">
    <w:abstractNumId w:val="31"/>
  </w:num>
  <w:num w:numId="30">
    <w:abstractNumId w:val="21"/>
  </w:num>
  <w:num w:numId="31">
    <w:abstractNumId w:val="37"/>
  </w:num>
  <w:num w:numId="32">
    <w:abstractNumId w:val="26"/>
  </w:num>
  <w:num w:numId="33">
    <w:abstractNumId w:val="5"/>
  </w:num>
  <w:num w:numId="34">
    <w:abstractNumId w:val="35"/>
  </w:num>
  <w:num w:numId="35">
    <w:abstractNumId w:val="18"/>
  </w:num>
  <w:num w:numId="36">
    <w:abstractNumId w:val="6"/>
  </w:num>
  <w:num w:numId="37">
    <w:abstractNumId w:val="12"/>
  </w:num>
  <w:num w:numId="38">
    <w:abstractNumId w:val="1"/>
  </w:num>
  <w:num w:numId="39">
    <w:abstractNumId w:val="7"/>
  </w:num>
  <w:num w:numId="40">
    <w:abstractNumId w:val="3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0257"/>
    <w:rsid w:val="00000C78"/>
    <w:rsid w:val="0000206F"/>
    <w:rsid w:val="000045C1"/>
    <w:rsid w:val="00004754"/>
    <w:rsid w:val="000059F0"/>
    <w:rsid w:val="000065C6"/>
    <w:rsid w:val="000071C2"/>
    <w:rsid w:val="00012EF0"/>
    <w:rsid w:val="00014607"/>
    <w:rsid w:val="00021BE6"/>
    <w:rsid w:val="000220B5"/>
    <w:rsid w:val="0002726F"/>
    <w:rsid w:val="00032F87"/>
    <w:rsid w:val="00034931"/>
    <w:rsid w:val="0003756D"/>
    <w:rsid w:val="0004028D"/>
    <w:rsid w:val="00040470"/>
    <w:rsid w:val="00040A79"/>
    <w:rsid w:val="00040F13"/>
    <w:rsid w:val="0004179D"/>
    <w:rsid w:val="00042D96"/>
    <w:rsid w:val="00044766"/>
    <w:rsid w:val="0004565C"/>
    <w:rsid w:val="000508F8"/>
    <w:rsid w:val="00050A4A"/>
    <w:rsid w:val="0005180F"/>
    <w:rsid w:val="0005234C"/>
    <w:rsid w:val="000526A5"/>
    <w:rsid w:val="0005444F"/>
    <w:rsid w:val="000559DD"/>
    <w:rsid w:val="00055D5C"/>
    <w:rsid w:val="0006052E"/>
    <w:rsid w:val="000608EC"/>
    <w:rsid w:val="00061AF9"/>
    <w:rsid w:val="00062092"/>
    <w:rsid w:val="0006307B"/>
    <w:rsid w:val="00064B4B"/>
    <w:rsid w:val="00071043"/>
    <w:rsid w:val="00071219"/>
    <w:rsid w:val="00071A1A"/>
    <w:rsid w:val="00072029"/>
    <w:rsid w:val="00072FF8"/>
    <w:rsid w:val="00074547"/>
    <w:rsid w:val="00075757"/>
    <w:rsid w:val="00075B66"/>
    <w:rsid w:val="00076755"/>
    <w:rsid w:val="00081FFF"/>
    <w:rsid w:val="00082C2D"/>
    <w:rsid w:val="00083F77"/>
    <w:rsid w:val="000851B9"/>
    <w:rsid w:val="00085C2E"/>
    <w:rsid w:val="00085E78"/>
    <w:rsid w:val="00086F6F"/>
    <w:rsid w:val="000870B0"/>
    <w:rsid w:val="00087E58"/>
    <w:rsid w:val="00087EE7"/>
    <w:rsid w:val="0009059F"/>
    <w:rsid w:val="00091188"/>
    <w:rsid w:val="000922B1"/>
    <w:rsid w:val="00092EC7"/>
    <w:rsid w:val="00092F78"/>
    <w:rsid w:val="0009308C"/>
    <w:rsid w:val="000965BA"/>
    <w:rsid w:val="0009679A"/>
    <w:rsid w:val="00096CE6"/>
    <w:rsid w:val="000A28F3"/>
    <w:rsid w:val="000A2E1C"/>
    <w:rsid w:val="000A2FCA"/>
    <w:rsid w:val="000A3CE8"/>
    <w:rsid w:val="000A56E9"/>
    <w:rsid w:val="000A64D4"/>
    <w:rsid w:val="000A6EEC"/>
    <w:rsid w:val="000A6F65"/>
    <w:rsid w:val="000B14F9"/>
    <w:rsid w:val="000B2144"/>
    <w:rsid w:val="000B2A4E"/>
    <w:rsid w:val="000B4888"/>
    <w:rsid w:val="000C2647"/>
    <w:rsid w:val="000C26FF"/>
    <w:rsid w:val="000C3751"/>
    <w:rsid w:val="000C675A"/>
    <w:rsid w:val="000C77D7"/>
    <w:rsid w:val="000D06F3"/>
    <w:rsid w:val="000D3622"/>
    <w:rsid w:val="000D4974"/>
    <w:rsid w:val="000D6A97"/>
    <w:rsid w:val="000D6B72"/>
    <w:rsid w:val="000D7348"/>
    <w:rsid w:val="000E1B8B"/>
    <w:rsid w:val="000E29FE"/>
    <w:rsid w:val="000E2E07"/>
    <w:rsid w:val="000E4E3D"/>
    <w:rsid w:val="000E6CC2"/>
    <w:rsid w:val="000F19CA"/>
    <w:rsid w:val="000F23D7"/>
    <w:rsid w:val="000F3EFE"/>
    <w:rsid w:val="000F46CF"/>
    <w:rsid w:val="000F649D"/>
    <w:rsid w:val="000F70CF"/>
    <w:rsid w:val="000F76AA"/>
    <w:rsid w:val="000F79F5"/>
    <w:rsid w:val="00102F5A"/>
    <w:rsid w:val="0010340D"/>
    <w:rsid w:val="0010374F"/>
    <w:rsid w:val="00104621"/>
    <w:rsid w:val="0010560E"/>
    <w:rsid w:val="0010669A"/>
    <w:rsid w:val="001078C6"/>
    <w:rsid w:val="00110843"/>
    <w:rsid w:val="00111D3E"/>
    <w:rsid w:val="00112D20"/>
    <w:rsid w:val="001149A8"/>
    <w:rsid w:val="00114A16"/>
    <w:rsid w:val="00117210"/>
    <w:rsid w:val="00117BA0"/>
    <w:rsid w:val="00120326"/>
    <w:rsid w:val="001205EF"/>
    <w:rsid w:val="00120DD2"/>
    <w:rsid w:val="00121A8B"/>
    <w:rsid w:val="00121E26"/>
    <w:rsid w:val="00123DB9"/>
    <w:rsid w:val="001264D5"/>
    <w:rsid w:val="0012659F"/>
    <w:rsid w:val="001328B3"/>
    <w:rsid w:val="00132F4F"/>
    <w:rsid w:val="00133026"/>
    <w:rsid w:val="00133875"/>
    <w:rsid w:val="00134E0D"/>
    <w:rsid w:val="001353B9"/>
    <w:rsid w:val="00136770"/>
    <w:rsid w:val="00137C77"/>
    <w:rsid w:val="001416D3"/>
    <w:rsid w:val="0014209D"/>
    <w:rsid w:val="001459C1"/>
    <w:rsid w:val="001460CD"/>
    <w:rsid w:val="00150D68"/>
    <w:rsid w:val="00151257"/>
    <w:rsid w:val="00153292"/>
    <w:rsid w:val="00156CED"/>
    <w:rsid w:val="00156D7C"/>
    <w:rsid w:val="0016107E"/>
    <w:rsid w:val="00161506"/>
    <w:rsid w:val="00161BAD"/>
    <w:rsid w:val="00162293"/>
    <w:rsid w:val="001666D6"/>
    <w:rsid w:val="001674DE"/>
    <w:rsid w:val="00170441"/>
    <w:rsid w:val="00170F8F"/>
    <w:rsid w:val="001723E0"/>
    <w:rsid w:val="00172B85"/>
    <w:rsid w:val="00173731"/>
    <w:rsid w:val="001750AF"/>
    <w:rsid w:val="001750DC"/>
    <w:rsid w:val="00175966"/>
    <w:rsid w:val="001800BB"/>
    <w:rsid w:val="00185B3C"/>
    <w:rsid w:val="00191F83"/>
    <w:rsid w:val="0019210E"/>
    <w:rsid w:val="0019369C"/>
    <w:rsid w:val="001940ED"/>
    <w:rsid w:val="0019509C"/>
    <w:rsid w:val="00195AC3"/>
    <w:rsid w:val="00197295"/>
    <w:rsid w:val="001976FC"/>
    <w:rsid w:val="001A08EE"/>
    <w:rsid w:val="001A2B95"/>
    <w:rsid w:val="001A32EA"/>
    <w:rsid w:val="001A3E4A"/>
    <w:rsid w:val="001A6A0D"/>
    <w:rsid w:val="001A6DD9"/>
    <w:rsid w:val="001A74BE"/>
    <w:rsid w:val="001B0399"/>
    <w:rsid w:val="001B2FF9"/>
    <w:rsid w:val="001B5F51"/>
    <w:rsid w:val="001B61B0"/>
    <w:rsid w:val="001B63E7"/>
    <w:rsid w:val="001B6495"/>
    <w:rsid w:val="001B65A9"/>
    <w:rsid w:val="001C000E"/>
    <w:rsid w:val="001C1C4A"/>
    <w:rsid w:val="001C2AF4"/>
    <w:rsid w:val="001C393A"/>
    <w:rsid w:val="001C60BE"/>
    <w:rsid w:val="001D0F32"/>
    <w:rsid w:val="001D1AE9"/>
    <w:rsid w:val="001D1C17"/>
    <w:rsid w:val="001D2085"/>
    <w:rsid w:val="001D30F2"/>
    <w:rsid w:val="001D5B37"/>
    <w:rsid w:val="001D60FD"/>
    <w:rsid w:val="001E37C8"/>
    <w:rsid w:val="001E3AFD"/>
    <w:rsid w:val="001E50A7"/>
    <w:rsid w:val="001E656B"/>
    <w:rsid w:val="001E7013"/>
    <w:rsid w:val="001E71B2"/>
    <w:rsid w:val="001E7FA9"/>
    <w:rsid w:val="001F3E94"/>
    <w:rsid w:val="001F5B60"/>
    <w:rsid w:val="001F7C25"/>
    <w:rsid w:val="002004EF"/>
    <w:rsid w:val="0020067F"/>
    <w:rsid w:val="00201E55"/>
    <w:rsid w:val="0020535C"/>
    <w:rsid w:val="0020540B"/>
    <w:rsid w:val="00207BB5"/>
    <w:rsid w:val="00207BCB"/>
    <w:rsid w:val="00210617"/>
    <w:rsid w:val="00213342"/>
    <w:rsid w:val="00214123"/>
    <w:rsid w:val="0021414A"/>
    <w:rsid w:val="0021547B"/>
    <w:rsid w:val="00215759"/>
    <w:rsid w:val="00216396"/>
    <w:rsid w:val="002174F1"/>
    <w:rsid w:val="00221FBC"/>
    <w:rsid w:val="00223B7C"/>
    <w:rsid w:val="00223BD0"/>
    <w:rsid w:val="00224702"/>
    <w:rsid w:val="00224E13"/>
    <w:rsid w:val="00225302"/>
    <w:rsid w:val="002253A6"/>
    <w:rsid w:val="002259AF"/>
    <w:rsid w:val="002271D0"/>
    <w:rsid w:val="00232499"/>
    <w:rsid w:val="002324E2"/>
    <w:rsid w:val="002326D7"/>
    <w:rsid w:val="00233961"/>
    <w:rsid w:val="00233A2D"/>
    <w:rsid w:val="00240799"/>
    <w:rsid w:val="00241955"/>
    <w:rsid w:val="00241FAD"/>
    <w:rsid w:val="00245822"/>
    <w:rsid w:val="0024760D"/>
    <w:rsid w:val="00247C60"/>
    <w:rsid w:val="00250B59"/>
    <w:rsid w:val="00250D26"/>
    <w:rsid w:val="00251427"/>
    <w:rsid w:val="00255262"/>
    <w:rsid w:val="00255EDB"/>
    <w:rsid w:val="002615F8"/>
    <w:rsid w:val="00264F87"/>
    <w:rsid w:val="002671D9"/>
    <w:rsid w:val="002709ED"/>
    <w:rsid w:val="00270AD1"/>
    <w:rsid w:val="00271125"/>
    <w:rsid w:val="002714D9"/>
    <w:rsid w:val="00275D0F"/>
    <w:rsid w:val="00277E92"/>
    <w:rsid w:val="00281097"/>
    <w:rsid w:val="00283605"/>
    <w:rsid w:val="00284008"/>
    <w:rsid w:val="00287C8A"/>
    <w:rsid w:val="002923FA"/>
    <w:rsid w:val="00293651"/>
    <w:rsid w:val="002942F0"/>
    <w:rsid w:val="00295774"/>
    <w:rsid w:val="002959AB"/>
    <w:rsid w:val="00297A20"/>
    <w:rsid w:val="002A12A0"/>
    <w:rsid w:val="002A1F15"/>
    <w:rsid w:val="002A201F"/>
    <w:rsid w:val="002A2A61"/>
    <w:rsid w:val="002A60B4"/>
    <w:rsid w:val="002A680E"/>
    <w:rsid w:val="002A726F"/>
    <w:rsid w:val="002B0DD8"/>
    <w:rsid w:val="002B1996"/>
    <w:rsid w:val="002B2318"/>
    <w:rsid w:val="002B27B4"/>
    <w:rsid w:val="002B5E5D"/>
    <w:rsid w:val="002B5EF9"/>
    <w:rsid w:val="002B6327"/>
    <w:rsid w:val="002C147A"/>
    <w:rsid w:val="002C4BAC"/>
    <w:rsid w:val="002D0187"/>
    <w:rsid w:val="002D2A91"/>
    <w:rsid w:val="002D2C33"/>
    <w:rsid w:val="002D2DA4"/>
    <w:rsid w:val="002D50A7"/>
    <w:rsid w:val="002D605B"/>
    <w:rsid w:val="002D66E6"/>
    <w:rsid w:val="002D724E"/>
    <w:rsid w:val="002E14E5"/>
    <w:rsid w:val="002E1E00"/>
    <w:rsid w:val="002E1FED"/>
    <w:rsid w:val="002E2DAD"/>
    <w:rsid w:val="002E3D85"/>
    <w:rsid w:val="002E5E82"/>
    <w:rsid w:val="002E77D8"/>
    <w:rsid w:val="002F0396"/>
    <w:rsid w:val="002F6AF7"/>
    <w:rsid w:val="002F6D56"/>
    <w:rsid w:val="002F7EF2"/>
    <w:rsid w:val="0030006A"/>
    <w:rsid w:val="003001CC"/>
    <w:rsid w:val="00302850"/>
    <w:rsid w:val="00305183"/>
    <w:rsid w:val="003101E6"/>
    <w:rsid w:val="00313370"/>
    <w:rsid w:val="00314706"/>
    <w:rsid w:val="00316098"/>
    <w:rsid w:val="00317782"/>
    <w:rsid w:val="00323761"/>
    <w:rsid w:val="00323A62"/>
    <w:rsid w:val="0032655A"/>
    <w:rsid w:val="00326F9B"/>
    <w:rsid w:val="00327493"/>
    <w:rsid w:val="00330161"/>
    <w:rsid w:val="0033218C"/>
    <w:rsid w:val="003327CB"/>
    <w:rsid w:val="003344A1"/>
    <w:rsid w:val="003346E3"/>
    <w:rsid w:val="00334FD4"/>
    <w:rsid w:val="0033557B"/>
    <w:rsid w:val="003359EC"/>
    <w:rsid w:val="00336638"/>
    <w:rsid w:val="00340337"/>
    <w:rsid w:val="00341420"/>
    <w:rsid w:val="0034197D"/>
    <w:rsid w:val="0034300F"/>
    <w:rsid w:val="00343195"/>
    <w:rsid w:val="00345A04"/>
    <w:rsid w:val="00346806"/>
    <w:rsid w:val="00347C03"/>
    <w:rsid w:val="00347EF1"/>
    <w:rsid w:val="00350691"/>
    <w:rsid w:val="00352128"/>
    <w:rsid w:val="00357424"/>
    <w:rsid w:val="00360303"/>
    <w:rsid w:val="00360D6F"/>
    <w:rsid w:val="00363879"/>
    <w:rsid w:val="00363F0A"/>
    <w:rsid w:val="00365029"/>
    <w:rsid w:val="0036644D"/>
    <w:rsid w:val="00367E25"/>
    <w:rsid w:val="0037046E"/>
    <w:rsid w:val="00377A7A"/>
    <w:rsid w:val="00381D1E"/>
    <w:rsid w:val="00382450"/>
    <w:rsid w:val="003837A0"/>
    <w:rsid w:val="00386EE3"/>
    <w:rsid w:val="003909C4"/>
    <w:rsid w:val="00390B3A"/>
    <w:rsid w:val="0039227A"/>
    <w:rsid w:val="00393069"/>
    <w:rsid w:val="00393919"/>
    <w:rsid w:val="00395087"/>
    <w:rsid w:val="00395C88"/>
    <w:rsid w:val="00397AC9"/>
    <w:rsid w:val="003A06E6"/>
    <w:rsid w:val="003A136A"/>
    <w:rsid w:val="003A33D7"/>
    <w:rsid w:val="003A3D6E"/>
    <w:rsid w:val="003A4E47"/>
    <w:rsid w:val="003A5D41"/>
    <w:rsid w:val="003A5DF8"/>
    <w:rsid w:val="003B1F96"/>
    <w:rsid w:val="003B2105"/>
    <w:rsid w:val="003B3964"/>
    <w:rsid w:val="003B6405"/>
    <w:rsid w:val="003C0E30"/>
    <w:rsid w:val="003C31F3"/>
    <w:rsid w:val="003C4275"/>
    <w:rsid w:val="003C4669"/>
    <w:rsid w:val="003C4A61"/>
    <w:rsid w:val="003C6E36"/>
    <w:rsid w:val="003C7B14"/>
    <w:rsid w:val="003D0195"/>
    <w:rsid w:val="003D05AD"/>
    <w:rsid w:val="003D3DC8"/>
    <w:rsid w:val="003D524F"/>
    <w:rsid w:val="003D69BD"/>
    <w:rsid w:val="003E100B"/>
    <w:rsid w:val="003E1DFF"/>
    <w:rsid w:val="003E4341"/>
    <w:rsid w:val="003E47E8"/>
    <w:rsid w:val="003E719F"/>
    <w:rsid w:val="003E72C1"/>
    <w:rsid w:val="003E7726"/>
    <w:rsid w:val="003F037A"/>
    <w:rsid w:val="003F0BB7"/>
    <w:rsid w:val="003F1942"/>
    <w:rsid w:val="003F26D9"/>
    <w:rsid w:val="003F273E"/>
    <w:rsid w:val="003F3C33"/>
    <w:rsid w:val="003F41D9"/>
    <w:rsid w:val="003F6245"/>
    <w:rsid w:val="003F79BC"/>
    <w:rsid w:val="003F7AFD"/>
    <w:rsid w:val="003F7C51"/>
    <w:rsid w:val="003F7F4A"/>
    <w:rsid w:val="00402E94"/>
    <w:rsid w:val="0040406F"/>
    <w:rsid w:val="004059CD"/>
    <w:rsid w:val="00406D5A"/>
    <w:rsid w:val="00406F2B"/>
    <w:rsid w:val="00407569"/>
    <w:rsid w:val="004100A3"/>
    <w:rsid w:val="00410FBA"/>
    <w:rsid w:val="004112FE"/>
    <w:rsid w:val="00412222"/>
    <w:rsid w:val="00412DBD"/>
    <w:rsid w:val="00414F77"/>
    <w:rsid w:val="0041532D"/>
    <w:rsid w:val="00416F8A"/>
    <w:rsid w:val="0042100E"/>
    <w:rsid w:val="00422E28"/>
    <w:rsid w:val="00423B24"/>
    <w:rsid w:val="0042464A"/>
    <w:rsid w:val="0043099C"/>
    <w:rsid w:val="0043119B"/>
    <w:rsid w:val="00431DB4"/>
    <w:rsid w:val="00432911"/>
    <w:rsid w:val="00433A7D"/>
    <w:rsid w:val="00434B52"/>
    <w:rsid w:val="00440E5C"/>
    <w:rsid w:val="00440E79"/>
    <w:rsid w:val="00443029"/>
    <w:rsid w:val="00443417"/>
    <w:rsid w:val="0045132D"/>
    <w:rsid w:val="00452360"/>
    <w:rsid w:val="00455997"/>
    <w:rsid w:val="00455F5C"/>
    <w:rsid w:val="0046190C"/>
    <w:rsid w:val="004626FC"/>
    <w:rsid w:val="00463F5A"/>
    <w:rsid w:val="0047332D"/>
    <w:rsid w:val="00474CD6"/>
    <w:rsid w:val="00475EBD"/>
    <w:rsid w:val="0047608C"/>
    <w:rsid w:val="00480C9C"/>
    <w:rsid w:val="00483A86"/>
    <w:rsid w:val="004845DB"/>
    <w:rsid w:val="00485DD6"/>
    <w:rsid w:val="00485F32"/>
    <w:rsid w:val="0048749F"/>
    <w:rsid w:val="00487848"/>
    <w:rsid w:val="00490ACC"/>
    <w:rsid w:val="00490CA7"/>
    <w:rsid w:val="0049172E"/>
    <w:rsid w:val="00494921"/>
    <w:rsid w:val="00497FB4"/>
    <w:rsid w:val="004A1953"/>
    <w:rsid w:val="004A1987"/>
    <w:rsid w:val="004A1D33"/>
    <w:rsid w:val="004A2731"/>
    <w:rsid w:val="004A353C"/>
    <w:rsid w:val="004A6D66"/>
    <w:rsid w:val="004B05A2"/>
    <w:rsid w:val="004B13DF"/>
    <w:rsid w:val="004B34DD"/>
    <w:rsid w:val="004B512A"/>
    <w:rsid w:val="004B687D"/>
    <w:rsid w:val="004C03F1"/>
    <w:rsid w:val="004C0761"/>
    <w:rsid w:val="004C171F"/>
    <w:rsid w:val="004C2A42"/>
    <w:rsid w:val="004C3D0F"/>
    <w:rsid w:val="004C3FE4"/>
    <w:rsid w:val="004C47F0"/>
    <w:rsid w:val="004C73D5"/>
    <w:rsid w:val="004C79DF"/>
    <w:rsid w:val="004D4AFE"/>
    <w:rsid w:val="004D54C4"/>
    <w:rsid w:val="004D5CF0"/>
    <w:rsid w:val="004D602E"/>
    <w:rsid w:val="004D72CF"/>
    <w:rsid w:val="004E35EB"/>
    <w:rsid w:val="004E3A86"/>
    <w:rsid w:val="004E4A6B"/>
    <w:rsid w:val="004E649B"/>
    <w:rsid w:val="004E7107"/>
    <w:rsid w:val="004E7AF6"/>
    <w:rsid w:val="004F00FD"/>
    <w:rsid w:val="004F0EAC"/>
    <w:rsid w:val="004F2992"/>
    <w:rsid w:val="004F448E"/>
    <w:rsid w:val="004F6535"/>
    <w:rsid w:val="004F6703"/>
    <w:rsid w:val="004F7208"/>
    <w:rsid w:val="005005D9"/>
    <w:rsid w:val="005029B8"/>
    <w:rsid w:val="00503459"/>
    <w:rsid w:val="0050430E"/>
    <w:rsid w:val="005049FC"/>
    <w:rsid w:val="005063E3"/>
    <w:rsid w:val="0050692A"/>
    <w:rsid w:val="0051072B"/>
    <w:rsid w:val="00510903"/>
    <w:rsid w:val="00511022"/>
    <w:rsid w:val="00511854"/>
    <w:rsid w:val="005126F3"/>
    <w:rsid w:val="00515307"/>
    <w:rsid w:val="005207D1"/>
    <w:rsid w:val="00520B68"/>
    <w:rsid w:val="0052275B"/>
    <w:rsid w:val="0052338A"/>
    <w:rsid w:val="00524DB7"/>
    <w:rsid w:val="0052797B"/>
    <w:rsid w:val="005302A5"/>
    <w:rsid w:val="00533651"/>
    <w:rsid w:val="005336F2"/>
    <w:rsid w:val="005338AB"/>
    <w:rsid w:val="00534119"/>
    <w:rsid w:val="00535729"/>
    <w:rsid w:val="00535BC4"/>
    <w:rsid w:val="005414BD"/>
    <w:rsid w:val="00541A74"/>
    <w:rsid w:val="00543D38"/>
    <w:rsid w:val="00543E36"/>
    <w:rsid w:val="00544563"/>
    <w:rsid w:val="0054528B"/>
    <w:rsid w:val="00545E8C"/>
    <w:rsid w:val="00546A05"/>
    <w:rsid w:val="00552A42"/>
    <w:rsid w:val="00553017"/>
    <w:rsid w:val="00554A48"/>
    <w:rsid w:val="00554E88"/>
    <w:rsid w:val="00556411"/>
    <w:rsid w:val="00557273"/>
    <w:rsid w:val="00557E40"/>
    <w:rsid w:val="0056223B"/>
    <w:rsid w:val="00563B38"/>
    <w:rsid w:val="0056484F"/>
    <w:rsid w:val="00564C08"/>
    <w:rsid w:val="005669ED"/>
    <w:rsid w:val="00566C17"/>
    <w:rsid w:val="0056744F"/>
    <w:rsid w:val="005717CC"/>
    <w:rsid w:val="00571D63"/>
    <w:rsid w:val="005736B6"/>
    <w:rsid w:val="005756C6"/>
    <w:rsid w:val="00576B7B"/>
    <w:rsid w:val="0058053F"/>
    <w:rsid w:val="00580585"/>
    <w:rsid w:val="005821BC"/>
    <w:rsid w:val="00582E5E"/>
    <w:rsid w:val="0058436B"/>
    <w:rsid w:val="00584CBE"/>
    <w:rsid w:val="005850E5"/>
    <w:rsid w:val="0058641E"/>
    <w:rsid w:val="00587603"/>
    <w:rsid w:val="0058798C"/>
    <w:rsid w:val="00590145"/>
    <w:rsid w:val="005902FE"/>
    <w:rsid w:val="005918E6"/>
    <w:rsid w:val="00592167"/>
    <w:rsid w:val="005927C8"/>
    <w:rsid w:val="00594E50"/>
    <w:rsid w:val="005A1790"/>
    <w:rsid w:val="005A34FC"/>
    <w:rsid w:val="005A5E97"/>
    <w:rsid w:val="005A76E0"/>
    <w:rsid w:val="005B0094"/>
    <w:rsid w:val="005B15DC"/>
    <w:rsid w:val="005B1EA1"/>
    <w:rsid w:val="005B5D59"/>
    <w:rsid w:val="005B6D41"/>
    <w:rsid w:val="005C01D4"/>
    <w:rsid w:val="005C0865"/>
    <w:rsid w:val="005C0D3E"/>
    <w:rsid w:val="005C2416"/>
    <w:rsid w:val="005C2584"/>
    <w:rsid w:val="005C3E65"/>
    <w:rsid w:val="005C3FC4"/>
    <w:rsid w:val="005D1651"/>
    <w:rsid w:val="005D2F44"/>
    <w:rsid w:val="005D35C6"/>
    <w:rsid w:val="005D4A80"/>
    <w:rsid w:val="005D51D0"/>
    <w:rsid w:val="005D5F85"/>
    <w:rsid w:val="005D6240"/>
    <w:rsid w:val="005E0AA8"/>
    <w:rsid w:val="005E10B1"/>
    <w:rsid w:val="005E32A5"/>
    <w:rsid w:val="005E4F6D"/>
    <w:rsid w:val="005E682B"/>
    <w:rsid w:val="005F0E4D"/>
    <w:rsid w:val="005F3622"/>
    <w:rsid w:val="005F41F4"/>
    <w:rsid w:val="005F59F3"/>
    <w:rsid w:val="005F5DD2"/>
    <w:rsid w:val="005F6003"/>
    <w:rsid w:val="005F7F96"/>
    <w:rsid w:val="00600F6F"/>
    <w:rsid w:val="00602CFC"/>
    <w:rsid w:val="00605615"/>
    <w:rsid w:val="006065B4"/>
    <w:rsid w:val="0061013F"/>
    <w:rsid w:val="0061042A"/>
    <w:rsid w:val="00610E38"/>
    <w:rsid w:val="006127D6"/>
    <w:rsid w:val="00614458"/>
    <w:rsid w:val="00614CA9"/>
    <w:rsid w:val="00615842"/>
    <w:rsid w:val="0062025C"/>
    <w:rsid w:val="00622391"/>
    <w:rsid w:val="00624E7D"/>
    <w:rsid w:val="00625209"/>
    <w:rsid w:val="0062721D"/>
    <w:rsid w:val="0063019F"/>
    <w:rsid w:val="0063095B"/>
    <w:rsid w:val="00631C0C"/>
    <w:rsid w:val="00636D3F"/>
    <w:rsid w:val="006403AE"/>
    <w:rsid w:val="006412AB"/>
    <w:rsid w:val="00642270"/>
    <w:rsid w:val="006446D5"/>
    <w:rsid w:val="006453CC"/>
    <w:rsid w:val="00645C51"/>
    <w:rsid w:val="00646110"/>
    <w:rsid w:val="0065181A"/>
    <w:rsid w:val="00651C1A"/>
    <w:rsid w:val="00652897"/>
    <w:rsid w:val="0065316B"/>
    <w:rsid w:val="00657149"/>
    <w:rsid w:val="00657220"/>
    <w:rsid w:val="006575A8"/>
    <w:rsid w:val="00657764"/>
    <w:rsid w:val="006629A6"/>
    <w:rsid w:val="006629FF"/>
    <w:rsid w:val="00662C5D"/>
    <w:rsid w:val="00663E09"/>
    <w:rsid w:val="00666644"/>
    <w:rsid w:val="00667140"/>
    <w:rsid w:val="00667273"/>
    <w:rsid w:val="00671ECD"/>
    <w:rsid w:val="00672679"/>
    <w:rsid w:val="0067278C"/>
    <w:rsid w:val="006730E5"/>
    <w:rsid w:val="00673C40"/>
    <w:rsid w:val="00674C40"/>
    <w:rsid w:val="00675078"/>
    <w:rsid w:val="00675494"/>
    <w:rsid w:val="00676F03"/>
    <w:rsid w:val="00677AD1"/>
    <w:rsid w:val="006815E4"/>
    <w:rsid w:val="00683682"/>
    <w:rsid w:val="00683E5B"/>
    <w:rsid w:val="00683F19"/>
    <w:rsid w:val="00685A8E"/>
    <w:rsid w:val="00686A48"/>
    <w:rsid w:val="00687459"/>
    <w:rsid w:val="00691A20"/>
    <w:rsid w:val="00692146"/>
    <w:rsid w:val="0069215E"/>
    <w:rsid w:val="00694D4B"/>
    <w:rsid w:val="00696CBD"/>
    <w:rsid w:val="006A3269"/>
    <w:rsid w:val="006A53D3"/>
    <w:rsid w:val="006A73F9"/>
    <w:rsid w:val="006B2AAB"/>
    <w:rsid w:val="006B4B4A"/>
    <w:rsid w:val="006B4C02"/>
    <w:rsid w:val="006B5763"/>
    <w:rsid w:val="006B5854"/>
    <w:rsid w:val="006C066C"/>
    <w:rsid w:val="006C1F86"/>
    <w:rsid w:val="006C5767"/>
    <w:rsid w:val="006C6CB6"/>
    <w:rsid w:val="006D0671"/>
    <w:rsid w:val="006D21B1"/>
    <w:rsid w:val="006D29A2"/>
    <w:rsid w:val="006D2C2A"/>
    <w:rsid w:val="006E033C"/>
    <w:rsid w:val="006E0BA0"/>
    <w:rsid w:val="006E353E"/>
    <w:rsid w:val="006E417A"/>
    <w:rsid w:val="006E492A"/>
    <w:rsid w:val="006E4EF7"/>
    <w:rsid w:val="006E5B5D"/>
    <w:rsid w:val="006F0022"/>
    <w:rsid w:val="006F0534"/>
    <w:rsid w:val="006F1DE0"/>
    <w:rsid w:val="006F2625"/>
    <w:rsid w:val="006F2839"/>
    <w:rsid w:val="006F3360"/>
    <w:rsid w:val="006F4785"/>
    <w:rsid w:val="006F4AFD"/>
    <w:rsid w:val="006F4DCA"/>
    <w:rsid w:val="006F76A0"/>
    <w:rsid w:val="007012EC"/>
    <w:rsid w:val="00701654"/>
    <w:rsid w:val="00701F87"/>
    <w:rsid w:val="00702449"/>
    <w:rsid w:val="00702CBD"/>
    <w:rsid w:val="00703600"/>
    <w:rsid w:val="007075DF"/>
    <w:rsid w:val="0071096F"/>
    <w:rsid w:val="00710A13"/>
    <w:rsid w:val="00712F9B"/>
    <w:rsid w:val="00714D8E"/>
    <w:rsid w:val="0071655D"/>
    <w:rsid w:val="00717789"/>
    <w:rsid w:val="00720A5F"/>
    <w:rsid w:val="00721542"/>
    <w:rsid w:val="007219E3"/>
    <w:rsid w:val="0072473A"/>
    <w:rsid w:val="00724D76"/>
    <w:rsid w:val="0072537F"/>
    <w:rsid w:val="007265C2"/>
    <w:rsid w:val="00727B14"/>
    <w:rsid w:val="00730A50"/>
    <w:rsid w:val="00731F18"/>
    <w:rsid w:val="00735F46"/>
    <w:rsid w:val="0073726E"/>
    <w:rsid w:val="00740199"/>
    <w:rsid w:val="0074199F"/>
    <w:rsid w:val="00744F5E"/>
    <w:rsid w:val="0074616D"/>
    <w:rsid w:val="00746D3B"/>
    <w:rsid w:val="00747E23"/>
    <w:rsid w:val="0075037E"/>
    <w:rsid w:val="00751850"/>
    <w:rsid w:val="00751929"/>
    <w:rsid w:val="007524D3"/>
    <w:rsid w:val="00752F7C"/>
    <w:rsid w:val="00753B6D"/>
    <w:rsid w:val="0075433E"/>
    <w:rsid w:val="00757481"/>
    <w:rsid w:val="007576CD"/>
    <w:rsid w:val="00757DDF"/>
    <w:rsid w:val="007609D9"/>
    <w:rsid w:val="00761A17"/>
    <w:rsid w:val="00765211"/>
    <w:rsid w:val="00765408"/>
    <w:rsid w:val="00773024"/>
    <w:rsid w:val="00774D8A"/>
    <w:rsid w:val="0077549D"/>
    <w:rsid w:val="00775C75"/>
    <w:rsid w:val="00775CEB"/>
    <w:rsid w:val="00775D6D"/>
    <w:rsid w:val="00776E16"/>
    <w:rsid w:val="007805C2"/>
    <w:rsid w:val="00780BBA"/>
    <w:rsid w:val="00781A18"/>
    <w:rsid w:val="00783153"/>
    <w:rsid w:val="007838AB"/>
    <w:rsid w:val="007839B8"/>
    <w:rsid w:val="00784294"/>
    <w:rsid w:val="00784D66"/>
    <w:rsid w:val="00785609"/>
    <w:rsid w:val="00786A8D"/>
    <w:rsid w:val="00787D6B"/>
    <w:rsid w:val="00790299"/>
    <w:rsid w:val="007908FD"/>
    <w:rsid w:val="00790BAA"/>
    <w:rsid w:val="00790FB3"/>
    <w:rsid w:val="007976A7"/>
    <w:rsid w:val="00797B32"/>
    <w:rsid w:val="007A78EA"/>
    <w:rsid w:val="007A7D0C"/>
    <w:rsid w:val="007B0230"/>
    <w:rsid w:val="007B0C3B"/>
    <w:rsid w:val="007B1188"/>
    <w:rsid w:val="007B23A6"/>
    <w:rsid w:val="007B2D14"/>
    <w:rsid w:val="007B3222"/>
    <w:rsid w:val="007B53ED"/>
    <w:rsid w:val="007B5B0B"/>
    <w:rsid w:val="007B7157"/>
    <w:rsid w:val="007C2D10"/>
    <w:rsid w:val="007C32A0"/>
    <w:rsid w:val="007C3F65"/>
    <w:rsid w:val="007C4437"/>
    <w:rsid w:val="007D1537"/>
    <w:rsid w:val="007D4E23"/>
    <w:rsid w:val="007D5C06"/>
    <w:rsid w:val="007D6AD0"/>
    <w:rsid w:val="007D7A8E"/>
    <w:rsid w:val="007E12C2"/>
    <w:rsid w:val="007E1B2A"/>
    <w:rsid w:val="007E37DF"/>
    <w:rsid w:val="007E7F0E"/>
    <w:rsid w:val="007F13E3"/>
    <w:rsid w:val="007F177A"/>
    <w:rsid w:val="007F3006"/>
    <w:rsid w:val="007F3362"/>
    <w:rsid w:val="007F4279"/>
    <w:rsid w:val="007F42C8"/>
    <w:rsid w:val="007F4690"/>
    <w:rsid w:val="007F5771"/>
    <w:rsid w:val="007F5822"/>
    <w:rsid w:val="0080340D"/>
    <w:rsid w:val="008038A1"/>
    <w:rsid w:val="00804116"/>
    <w:rsid w:val="00810F2C"/>
    <w:rsid w:val="00811619"/>
    <w:rsid w:val="00811DAA"/>
    <w:rsid w:val="0081246B"/>
    <w:rsid w:val="00813512"/>
    <w:rsid w:val="008153E2"/>
    <w:rsid w:val="00815F6A"/>
    <w:rsid w:val="008253B5"/>
    <w:rsid w:val="00827E2E"/>
    <w:rsid w:val="00832428"/>
    <w:rsid w:val="00834BB8"/>
    <w:rsid w:val="00834C13"/>
    <w:rsid w:val="0083688E"/>
    <w:rsid w:val="0083796D"/>
    <w:rsid w:val="00840A71"/>
    <w:rsid w:val="0084374F"/>
    <w:rsid w:val="00843EB9"/>
    <w:rsid w:val="008457F6"/>
    <w:rsid w:val="008459C7"/>
    <w:rsid w:val="00853722"/>
    <w:rsid w:val="00854200"/>
    <w:rsid w:val="008550E3"/>
    <w:rsid w:val="0085525B"/>
    <w:rsid w:val="00855F4C"/>
    <w:rsid w:val="00857BC6"/>
    <w:rsid w:val="00860A5B"/>
    <w:rsid w:val="00860A99"/>
    <w:rsid w:val="00860D59"/>
    <w:rsid w:val="00861120"/>
    <w:rsid w:val="00862A33"/>
    <w:rsid w:val="00863F53"/>
    <w:rsid w:val="008704ED"/>
    <w:rsid w:val="0087084B"/>
    <w:rsid w:val="00872484"/>
    <w:rsid w:val="00872516"/>
    <w:rsid w:val="00872B76"/>
    <w:rsid w:val="008730A9"/>
    <w:rsid w:val="00880238"/>
    <w:rsid w:val="00880B43"/>
    <w:rsid w:val="00880BE9"/>
    <w:rsid w:val="00881737"/>
    <w:rsid w:val="008828BB"/>
    <w:rsid w:val="00882F49"/>
    <w:rsid w:val="0088517C"/>
    <w:rsid w:val="008853CE"/>
    <w:rsid w:val="008854DE"/>
    <w:rsid w:val="00885D5D"/>
    <w:rsid w:val="00890528"/>
    <w:rsid w:val="008937D4"/>
    <w:rsid w:val="0089571D"/>
    <w:rsid w:val="008A2893"/>
    <w:rsid w:val="008A28F7"/>
    <w:rsid w:val="008A6344"/>
    <w:rsid w:val="008A6F14"/>
    <w:rsid w:val="008B10E7"/>
    <w:rsid w:val="008B1269"/>
    <w:rsid w:val="008B2F13"/>
    <w:rsid w:val="008B3F1A"/>
    <w:rsid w:val="008B471C"/>
    <w:rsid w:val="008B4BC3"/>
    <w:rsid w:val="008B65C2"/>
    <w:rsid w:val="008C4A16"/>
    <w:rsid w:val="008D2058"/>
    <w:rsid w:val="008D3053"/>
    <w:rsid w:val="008D37E6"/>
    <w:rsid w:val="008D4548"/>
    <w:rsid w:val="008D56DB"/>
    <w:rsid w:val="008D722A"/>
    <w:rsid w:val="008E093C"/>
    <w:rsid w:val="008E2112"/>
    <w:rsid w:val="008E454E"/>
    <w:rsid w:val="008F19B7"/>
    <w:rsid w:val="008F2FBC"/>
    <w:rsid w:val="008F319D"/>
    <w:rsid w:val="009006BC"/>
    <w:rsid w:val="00902D2D"/>
    <w:rsid w:val="00903FEF"/>
    <w:rsid w:val="00904B3B"/>
    <w:rsid w:val="00905453"/>
    <w:rsid w:val="00905D07"/>
    <w:rsid w:val="0090664C"/>
    <w:rsid w:val="00906935"/>
    <w:rsid w:val="00914058"/>
    <w:rsid w:val="00914497"/>
    <w:rsid w:val="00920EE6"/>
    <w:rsid w:val="00921ABA"/>
    <w:rsid w:val="00921F5A"/>
    <w:rsid w:val="0092340B"/>
    <w:rsid w:val="00923E07"/>
    <w:rsid w:val="00924A69"/>
    <w:rsid w:val="00924DE2"/>
    <w:rsid w:val="00924E10"/>
    <w:rsid w:val="009263A7"/>
    <w:rsid w:val="00926402"/>
    <w:rsid w:val="00927C24"/>
    <w:rsid w:val="00930267"/>
    <w:rsid w:val="0093035C"/>
    <w:rsid w:val="00930A6A"/>
    <w:rsid w:val="00931521"/>
    <w:rsid w:val="00931774"/>
    <w:rsid w:val="00931B79"/>
    <w:rsid w:val="0093335A"/>
    <w:rsid w:val="00934DBD"/>
    <w:rsid w:val="00936890"/>
    <w:rsid w:val="009418B7"/>
    <w:rsid w:val="009438A2"/>
    <w:rsid w:val="00944DDB"/>
    <w:rsid w:val="009456F1"/>
    <w:rsid w:val="0095155E"/>
    <w:rsid w:val="00954240"/>
    <w:rsid w:val="0095472D"/>
    <w:rsid w:val="0095485F"/>
    <w:rsid w:val="00955CB7"/>
    <w:rsid w:val="00956D1F"/>
    <w:rsid w:val="009606EC"/>
    <w:rsid w:val="0096605A"/>
    <w:rsid w:val="0096618D"/>
    <w:rsid w:val="00967F81"/>
    <w:rsid w:val="00970594"/>
    <w:rsid w:val="00972656"/>
    <w:rsid w:val="00974C79"/>
    <w:rsid w:val="009779D8"/>
    <w:rsid w:val="0098086B"/>
    <w:rsid w:val="00981864"/>
    <w:rsid w:val="0098305C"/>
    <w:rsid w:val="00985311"/>
    <w:rsid w:val="0098562A"/>
    <w:rsid w:val="00985D2D"/>
    <w:rsid w:val="00985FE5"/>
    <w:rsid w:val="00986146"/>
    <w:rsid w:val="00986BBB"/>
    <w:rsid w:val="00986D11"/>
    <w:rsid w:val="00986FC6"/>
    <w:rsid w:val="00987195"/>
    <w:rsid w:val="00990DD3"/>
    <w:rsid w:val="00991903"/>
    <w:rsid w:val="009924C4"/>
    <w:rsid w:val="00992506"/>
    <w:rsid w:val="00996C08"/>
    <w:rsid w:val="009970CA"/>
    <w:rsid w:val="009A09BC"/>
    <w:rsid w:val="009A0F14"/>
    <w:rsid w:val="009A0FCA"/>
    <w:rsid w:val="009A1247"/>
    <w:rsid w:val="009A35A9"/>
    <w:rsid w:val="009A6735"/>
    <w:rsid w:val="009A6AEF"/>
    <w:rsid w:val="009A736D"/>
    <w:rsid w:val="009A7806"/>
    <w:rsid w:val="009A7936"/>
    <w:rsid w:val="009B0297"/>
    <w:rsid w:val="009B0A3B"/>
    <w:rsid w:val="009B13A6"/>
    <w:rsid w:val="009B1DD2"/>
    <w:rsid w:val="009B2417"/>
    <w:rsid w:val="009B5F73"/>
    <w:rsid w:val="009C1301"/>
    <w:rsid w:val="009D197C"/>
    <w:rsid w:val="009D25D0"/>
    <w:rsid w:val="009D528B"/>
    <w:rsid w:val="009D66BE"/>
    <w:rsid w:val="009D7528"/>
    <w:rsid w:val="009E0158"/>
    <w:rsid w:val="009E1D33"/>
    <w:rsid w:val="009E279D"/>
    <w:rsid w:val="009E461E"/>
    <w:rsid w:val="009F14B6"/>
    <w:rsid w:val="009F3A3B"/>
    <w:rsid w:val="009F3C7B"/>
    <w:rsid w:val="009F6226"/>
    <w:rsid w:val="009F6377"/>
    <w:rsid w:val="009F73A9"/>
    <w:rsid w:val="009F77C3"/>
    <w:rsid w:val="00A02D75"/>
    <w:rsid w:val="00A03936"/>
    <w:rsid w:val="00A05932"/>
    <w:rsid w:val="00A07CC0"/>
    <w:rsid w:val="00A11A31"/>
    <w:rsid w:val="00A12E57"/>
    <w:rsid w:val="00A144B1"/>
    <w:rsid w:val="00A144E6"/>
    <w:rsid w:val="00A166BC"/>
    <w:rsid w:val="00A171BC"/>
    <w:rsid w:val="00A20866"/>
    <w:rsid w:val="00A20EB6"/>
    <w:rsid w:val="00A21F8A"/>
    <w:rsid w:val="00A22685"/>
    <w:rsid w:val="00A22B18"/>
    <w:rsid w:val="00A263FC"/>
    <w:rsid w:val="00A263FE"/>
    <w:rsid w:val="00A26574"/>
    <w:rsid w:val="00A3384F"/>
    <w:rsid w:val="00A33BB8"/>
    <w:rsid w:val="00A34715"/>
    <w:rsid w:val="00A34899"/>
    <w:rsid w:val="00A361DA"/>
    <w:rsid w:val="00A4006C"/>
    <w:rsid w:val="00A44503"/>
    <w:rsid w:val="00A45764"/>
    <w:rsid w:val="00A464C6"/>
    <w:rsid w:val="00A46D09"/>
    <w:rsid w:val="00A52E26"/>
    <w:rsid w:val="00A55A54"/>
    <w:rsid w:val="00A562F1"/>
    <w:rsid w:val="00A56F22"/>
    <w:rsid w:val="00A61DCD"/>
    <w:rsid w:val="00A62027"/>
    <w:rsid w:val="00A636C6"/>
    <w:rsid w:val="00A64611"/>
    <w:rsid w:val="00A652E1"/>
    <w:rsid w:val="00A672A0"/>
    <w:rsid w:val="00A71806"/>
    <w:rsid w:val="00A74AEC"/>
    <w:rsid w:val="00A766C9"/>
    <w:rsid w:val="00A77721"/>
    <w:rsid w:val="00A7786A"/>
    <w:rsid w:val="00A82ECA"/>
    <w:rsid w:val="00A8397D"/>
    <w:rsid w:val="00A84911"/>
    <w:rsid w:val="00A856D1"/>
    <w:rsid w:val="00A86FB3"/>
    <w:rsid w:val="00A967E8"/>
    <w:rsid w:val="00A968DC"/>
    <w:rsid w:val="00A970E2"/>
    <w:rsid w:val="00AA10FA"/>
    <w:rsid w:val="00AA2AA4"/>
    <w:rsid w:val="00AA3255"/>
    <w:rsid w:val="00AA392F"/>
    <w:rsid w:val="00AA3A5C"/>
    <w:rsid w:val="00AA5AFD"/>
    <w:rsid w:val="00AA5FA6"/>
    <w:rsid w:val="00AB1A7E"/>
    <w:rsid w:val="00AB25A7"/>
    <w:rsid w:val="00AB321D"/>
    <w:rsid w:val="00AB36C2"/>
    <w:rsid w:val="00AB495A"/>
    <w:rsid w:val="00AB4A63"/>
    <w:rsid w:val="00AB6196"/>
    <w:rsid w:val="00AB7CB1"/>
    <w:rsid w:val="00AC17A5"/>
    <w:rsid w:val="00AC222D"/>
    <w:rsid w:val="00AC36BE"/>
    <w:rsid w:val="00AC719B"/>
    <w:rsid w:val="00AC7CCE"/>
    <w:rsid w:val="00AD0B7C"/>
    <w:rsid w:val="00AD1A58"/>
    <w:rsid w:val="00AD6C76"/>
    <w:rsid w:val="00AD7A48"/>
    <w:rsid w:val="00AE0186"/>
    <w:rsid w:val="00AE1C82"/>
    <w:rsid w:val="00AE2204"/>
    <w:rsid w:val="00AE3C1E"/>
    <w:rsid w:val="00AE4532"/>
    <w:rsid w:val="00AE46DC"/>
    <w:rsid w:val="00AE5F41"/>
    <w:rsid w:val="00AE7102"/>
    <w:rsid w:val="00AE7EB6"/>
    <w:rsid w:val="00AF0B81"/>
    <w:rsid w:val="00AF1423"/>
    <w:rsid w:val="00AF1A47"/>
    <w:rsid w:val="00AF3B20"/>
    <w:rsid w:val="00AF3C04"/>
    <w:rsid w:val="00AF4626"/>
    <w:rsid w:val="00AF4D98"/>
    <w:rsid w:val="00AF7046"/>
    <w:rsid w:val="00AF7CE1"/>
    <w:rsid w:val="00B00CE0"/>
    <w:rsid w:val="00B01436"/>
    <w:rsid w:val="00B01830"/>
    <w:rsid w:val="00B02017"/>
    <w:rsid w:val="00B03FC5"/>
    <w:rsid w:val="00B0475C"/>
    <w:rsid w:val="00B05905"/>
    <w:rsid w:val="00B0668C"/>
    <w:rsid w:val="00B07BF7"/>
    <w:rsid w:val="00B10070"/>
    <w:rsid w:val="00B1044D"/>
    <w:rsid w:val="00B1092C"/>
    <w:rsid w:val="00B10AB3"/>
    <w:rsid w:val="00B161B0"/>
    <w:rsid w:val="00B173F5"/>
    <w:rsid w:val="00B23B54"/>
    <w:rsid w:val="00B25315"/>
    <w:rsid w:val="00B25319"/>
    <w:rsid w:val="00B25629"/>
    <w:rsid w:val="00B266EE"/>
    <w:rsid w:val="00B302A1"/>
    <w:rsid w:val="00B30F19"/>
    <w:rsid w:val="00B317F3"/>
    <w:rsid w:val="00B31EF5"/>
    <w:rsid w:val="00B32CAD"/>
    <w:rsid w:val="00B330D5"/>
    <w:rsid w:val="00B37063"/>
    <w:rsid w:val="00B41496"/>
    <w:rsid w:val="00B41BA7"/>
    <w:rsid w:val="00B41F17"/>
    <w:rsid w:val="00B4277A"/>
    <w:rsid w:val="00B47C5B"/>
    <w:rsid w:val="00B47CC6"/>
    <w:rsid w:val="00B500DB"/>
    <w:rsid w:val="00B50295"/>
    <w:rsid w:val="00B507A5"/>
    <w:rsid w:val="00B55D47"/>
    <w:rsid w:val="00B60027"/>
    <w:rsid w:val="00B60C70"/>
    <w:rsid w:val="00B60D71"/>
    <w:rsid w:val="00B66D17"/>
    <w:rsid w:val="00B66E1A"/>
    <w:rsid w:val="00B70830"/>
    <w:rsid w:val="00B71138"/>
    <w:rsid w:val="00B72C8C"/>
    <w:rsid w:val="00B730DD"/>
    <w:rsid w:val="00B74D2E"/>
    <w:rsid w:val="00B7684A"/>
    <w:rsid w:val="00B76869"/>
    <w:rsid w:val="00B77781"/>
    <w:rsid w:val="00B80092"/>
    <w:rsid w:val="00B80197"/>
    <w:rsid w:val="00B81CB7"/>
    <w:rsid w:val="00B91151"/>
    <w:rsid w:val="00B91A60"/>
    <w:rsid w:val="00B93212"/>
    <w:rsid w:val="00B933BA"/>
    <w:rsid w:val="00B946F2"/>
    <w:rsid w:val="00B94F7C"/>
    <w:rsid w:val="00B95F5C"/>
    <w:rsid w:val="00B964D7"/>
    <w:rsid w:val="00B9653A"/>
    <w:rsid w:val="00BA0168"/>
    <w:rsid w:val="00BA2826"/>
    <w:rsid w:val="00BA2E4B"/>
    <w:rsid w:val="00BA592B"/>
    <w:rsid w:val="00BA6B42"/>
    <w:rsid w:val="00BA7874"/>
    <w:rsid w:val="00BB1561"/>
    <w:rsid w:val="00BB1CD5"/>
    <w:rsid w:val="00BB52B7"/>
    <w:rsid w:val="00BB6532"/>
    <w:rsid w:val="00BB70A4"/>
    <w:rsid w:val="00BC41C4"/>
    <w:rsid w:val="00BC54E5"/>
    <w:rsid w:val="00BC5752"/>
    <w:rsid w:val="00BD1752"/>
    <w:rsid w:val="00BD25DE"/>
    <w:rsid w:val="00BD2844"/>
    <w:rsid w:val="00BD2C28"/>
    <w:rsid w:val="00BD6C8B"/>
    <w:rsid w:val="00BE1586"/>
    <w:rsid w:val="00BE2646"/>
    <w:rsid w:val="00BE38E1"/>
    <w:rsid w:val="00BE48A3"/>
    <w:rsid w:val="00BE4AF5"/>
    <w:rsid w:val="00BE562D"/>
    <w:rsid w:val="00BF02E2"/>
    <w:rsid w:val="00BF25C0"/>
    <w:rsid w:val="00BF3794"/>
    <w:rsid w:val="00BF62FB"/>
    <w:rsid w:val="00BF63D2"/>
    <w:rsid w:val="00BF67EC"/>
    <w:rsid w:val="00C00E86"/>
    <w:rsid w:val="00C032AB"/>
    <w:rsid w:val="00C034E8"/>
    <w:rsid w:val="00C043EA"/>
    <w:rsid w:val="00C04C95"/>
    <w:rsid w:val="00C061C9"/>
    <w:rsid w:val="00C06F4A"/>
    <w:rsid w:val="00C10091"/>
    <w:rsid w:val="00C115CF"/>
    <w:rsid w:val="00C16CD2"/>
    <w:rsid w:val="00C216B3"/>
    <w:rsid w:val="00C21E9C"/>
    <w:rsid w:val="00C27313"/>
    <w:rsid w:val="00C30EB9"/>
    <w:rsid w:val="00C329F0"/>
    <w:rsid w:val="00C32B7F"/>
    <w:rsid w:val="00C36E72"/>
    <w:rsid w:val="00C40521"/>
    <w:rsid w:val="00C41865"/>
    <w:rsid w:val="00C47442"/>
    <w:rsid w:val="00C50853"/>
    <w:rsid w:val="00C51B3E"/>
    <w:rsid w:val="00C569D7"/>
    <w:rsid w:val="00C62B3D"/>
    <w:rsid w:val="00C65F08"/>
    <w:rsid w:val="00C66B29"/>
    <w:rsid w:val="00C66C2F"/>
    <w:rsid w:val="00C703A0"/>
    <w:rsid w:val="00C703AC"/>
    <w:rsid w:val="00C71B7F"/>
    <w:rsid w:val="00C72B88"/>
    <w:rsid w:val="00C73287"/>
    <w:rsid w:val="00C740F5"/>
    <w:rsid w:val="00C76604"/>
    <w:rsid w:val="00C77ABC"/>
    <w:rsid w:val="00C77CB0"/>
    <w:rsid w:val="00C81AB3"/>
    <w:rsid w:val="00C85F2E"/>
    <w:rsid w:val="00C907C7"/>
    <w:rsid w:val="00C922F4"/>
    <w:rsid w:val="00C94DFE"/>
    <w:rsid w:val="00C95949"/>
    <w:rsid w:val="00C9694F"/>
    <w:rsid w:val="00C96E83"/>
    <w:rsid w:val="00C9714F"/>
    <w:rsid w:val="00C975A4"/>
    <w:rsid w:val="00CA0156"/>
    <w:rsid w:val="00CA081B"/>
    <w:rsid w:val="00CA0FB8"/>
    <w:rsid w:val="00CA1D06"/>
    <w:rsid w:val="00CA4AC4"/>
    <w:rsid w:val="00CA5284"/>
    <w:rsid w:val="00CA665C"/>
    <w:rsid w:val="00CA728F"/>
    <w:rsid w:val="00CA7731"/>
    <w:rsid w:val="00CB0692"/>
    <w:rsid w:val="00CB14F8"/>
    <w:rsid w:val="00CB18BB"/>
    <w:rsid w:val="00CB5409"/>
    <w:rsid w:val="00CC1EC9"/>
    <w:rsid w:val="00CC2048"/>
    <w:rsid w:val="00CC2B46"/>
    <w:rsid w:val="00CC3B66"/>
    <w:rsid w:val="00CC4E95"/>
    <w:rsid w:val="00CC6E09"/>
    <w:rsid w:val="00CD0FF4"/>
    <w:rsid w:val="00CD4B68"/>
    <w:rsid w:val="00CD55BA"/>
    <w:rsid w:val="00CD60E2"/>
    <w:rsid w:val="00CD7389"/>
    <w:rsid w:val="00CD7EE0"/>
    <w:rsid w:val="00CE0FC8"/>
    <w:rsid w:val="00CE126D"/>
    <w:rsid w:val="00CE26CC"/>
    <w:rsid w:val="00CE49D7"/>
    <w:rsid w:val="00CE4B1A"/>
    <w:rsid w:val="00CE4E13"/>
    <w:rsid w:val="00CE67EA"/>
    <w:rsid w:val="00CE6990"/>
    <w:rsid w:val="00CF0D8B"/>
    <w:rsid w:val="00CF1479"/>
    <w:rsid w:val="00CF2570"/>
    <w:rsid w:val="00CF33AF"/>
    <w:rsid w:val="00CF59B2"/>
    <w:rsid w:val="00CF6B55"/>
    <w:rsid w:val="00D0032F"/>
    <w:rsid w:val="00D00C26"/>
    <w:rsid w:val="00D01FD3"/>
    <w:rsid w:val="00D03CD8"/>
    <w:rsid w:val="00D047DC"/>
    <w:rsid w:val="00D06B09"/>
    <w:rsid w:val="00D07C82"/>
    <w:rsid w:val="00D108E6"/>
    <w:rsid w:val="00D120AD"/>
    <w:rsid w:val="00D126E1"/>
    <w:rsid w:val="00D12B04"/>
    <w:rsid w:val="00D12BC3"/>
    <w:rsid w:val="00D16B70"/>
    <w:rsid w:val="00D171ED"/>
    <w:rsid w:val="00D210A4"/>
    <w:rsid w:val="00D224DE"/>
    <w:rsid w:val="00D23600"/>
    <w:rsid w:val="00D24CE1"/>
    <w:rsid w:val="00D273E7"/>
    <w:rsid w:val="00D31471"/>
    <w:rsid w:val="00D3202B"/>
    <w:rsid w:val="00D32054"/>
    <w:rsid w:val="00D33ADE"/>
    <w:rsid w:val="00D34342"/>
    <w:rsid w:val="00D35BFF"/>
    <w:rsid w:val="00D37E22"/>
    <w:rsid w:val="00D40754"/>
    <w:rsid w:val="00D408A0"/>
    <w:rsid w:val="00D4198D"/>
    <w:rsid w:val="00D422CA"/>
    <w:rsid w:val="00D435F6"/>
    <w:rsid w:val="00D43E69"/>
    <w:rsid w:val="00D45444"/>
    <w:rsid w:val="00D45D35"/>
    <w:rsid w:val="00D4664A"/>
    <w:rsid w:val="00D469A5"/>
    <w:rsid w:val="00D51909"/>
    <w:rsid w:val="00D524F9"/>
    <w:rsid w:val="00D5258E"/>
    <w:rsid w:val="00D54FFE"/>
    <w:rsid w:val="00D561D3"/>
    <w:rsid w:val="00D571A1"/>
    <w:rsid w:val="00D57407"/>
    <w:rsid w:val="00D57725"/>
    <w:rsid w:val="00D5773C"/>
    <w:rsid w:val="00D57B54"/>
    <w:rsid w:val="00D57E61"/>
    <w:rsid w:val="00D6359A"/>
    <w:rsid w:val="00D655B6"/>
    <w:rsid w:val="00D66A2D"/>
    <w:rsid w:val="00D71CC5"/>
    <w:rsid w:val="00D737DA"/>
    <w:rsid w:val="00D75CA7"/>
    <w:rsid w:val="00D76F34"/>
    <w:rsid w:val="00D777FB"/>
    <w:rsid w:val="00D80291"/>
    <w:rsid w:val="00D816A5"/>
    <w:rsid w:val="00D85A09"/>
    <w:rsid w:val="00D86387"/>
    <w:rsid w:val="00D87562"/>
    <w:rsid w:val="00D87B1B"/>
    <w:rsid w:val="00D91427"/>
    <w:rsid w:val="00D93FFE"/>
    <w:rsid w:val="00D96132"/>
    <w:rsid w:val="00D976C0"/>
    <w:rsid w:val="00DA07AE"/>
    <w:rsid w:val="00DA128B"/>
    <w:rsid w:val="00DA5036"/>
    <w:rsid w:val="00DA508B"/>
    <w:rsid w:val="00DA5B06"/>
    <w:rsid w:val="00DA762E"/>
    <w:rsid w:val="00DA7E77"/>
    <w:rsid w:val="00DB723E"/>
    <w:rsid w:val="00DB74CC"/>
    <w:rsid w:val="00DB772A"/>
    <w:rsid w:val="00DC02CE"/>
    <w:rsid w:val="00DC1539"/>
    <w:rsid w:val="00DC1890"/>
    <w:rsid w:val="00DC30B3"/>
    <w:rsid w:val="00DC34C9"/>
    <w:rsid w:val="00DC4A18"/>
    <w:rsid w:val="00DC5CFA"/>
    <w:rsid w:val="00DC6DAE"/>
    <w:rsid w:val="00DD00BB"/>
    <w:rsid w:val="00DD282C"/>
    <w:rsid w:val="00DD2C9F"/>
    <w:rsid w:val="00DD4DBE"/>
    <w:rsid w:val="00DD55D2"/>
    <w:rsid w:val="00DD76BC"/>
    <w:rsid w:val="00DD7AE9"/>
    <w:rsid w:val="00DE17A2"/>
    <w:rsid w:val="00DE4249"/>
    <w:rsid w:val="00DE47AB"/>
    <w:rsid w:val="00DE6A66"/>
    <w:rsid w:val="00DF0073"/>
    <w:rsid w:val="00DF0863"/>
    <w:rsid w:val="00DF0BF9"/>
    <w:rsid w:val="00DF0CB5"/>
    <w:rsid w:val="00DF1AA1"/>
    <w:rsid w:val="00DF4F99"/>
    <w:rsid w:val="00E01124"/>
    <w:rsid w:val="00E0226A"/>
    <w:rsid w:val="00E04140"/>
    <w:rsid w:val="00E06302"/>
    <w:rsid w:val="00E1041C"/>
    <w:rsid w:val="00E109A2"/>
    <w:rsid w:val="00E10F67"/>
    <w:rsid w:val="00E14B85"/>
    <w:rsid w:val="00E152C2"/>
    <w:rsid w:val="00E15887"/>
    <w:rsid w:val="00E16C61"/>
    <w:rsid w:val="00E16F9C"/>
    <w:rsid w:val="00E17024"/>
    <w:rsid w:val="00E1741B"/>
    <w:rsid w:val="00E21730"/>
    <w:rsid w:val="00E22B47"/>
    <w:rsid w:val="00E22E25"/>
    <w:rsid w:val="00E24F7F"/>
    <w:rsid w:val="00E25237"/>
    <w:rsid w:val="00E254E9"/>
    <w:rsid w:val="00E30E4D"/>
    <w:rsid w:val="00E33CBF"/>
    <w:rsid w:val="00E35A85"/>
    <w:rsid w:val="00E36A6B"/>
    <w:rsid w:val="00E44ECB"/>
    <w:rsid w:val="00E466B8"/>
    <w:rsid w:val="00E46AA9"/>
    <w:rsid w:val="00E47466"/>
    <w:rsid w:val="00E47BF7"/>
    <w:rsid w:val="00E511B7"/>
    <w:rsid w:val="00E51243"/>
    <w:rsid w:val="00E54440"/>
    <w:rsid w:val="00E56580"/>
    <w:rsid w:val="00E56CE5"/>
    <w:rsid w:val="00E5722B"/>
    <w:rsid w:val="00E60EB1"/>
    <w:rsid w:val="00E612EA"/>
    <w:rsid w:val="00E63E97"/>
    <w:rsid w:val="00E645F7"/>
    <w:rsid w:val="00E7013B"/>
    <w:rsid w:val="00E71749"/>
    <w:rsid w:val="00E74651"/>
    <w:rsid w:val="00E7686D"/>
    <w:rsid w:val="00E7694C"/>
    <w:rsid w:val="00E83934"/>
    <w:rsid w:val="00E84152"/>
    <w:rsid w:val="00E84567"/>
    <w:rsid w:val="00E846D7"/>
    <w:rsid w:val="00E8490B"/>
    <w:rsid w:val="00E8636F"/>
    <w:rsid w:val="00E87B58"/>
    <w:rsid w:val="00E87DDA"/>
    <w:rsid w:val="00E90AC0"/>
    <w:rsid w:val="00E90D57"/>
    <w:rsid w:val="00E90F59"/>
    <w:rsid w:val="00E92671"/>
    <w:rsid w:val="00E9482E"/>
    <w:rsid w:val="00E957EC"/>
    <w:rsid w:val="00EA1A72"/>
    <w:rsid w:val="00EA41AD"/>
    <w:rsid w:val="00EA645A"/>
    <w:rsid w:val="00EB149C"/>
    <w:rsid w:val="00EB2BA4"/>
    <w:rsid w:val="00EB64FF"/>
    <w:rsid w:val="00EB6DB8"/>
    <w:rsid w:val="00EC081E"/>
    <w:rsid w:val="00EC1667"/>
    <w:rsid w:val="00EC3157"/>
    <w:rsid w:val="00EC4372"/>
    <w:rsid w:val="00EC63A7"/>
    <w:rsid w:val="00EC7E45"/>
    <w:rsid w:val="00EC7FCB"/>
    <w:rsid w:val="00ED1DE4"/>
    <w:rsid w:val="00ED3C47"/>
    <w:rsid w:val="00ED5919"/>
    <w:rsid w:val="00ED5D61"/>
    <w:rsid w:val="00EE31C6"/>
    <w:rsid w:val="00EE58DD"/>
    <w:rsid w:val="00EE5B03"/>
    <w:rsid w:val="00EE5CEE"/>
    <w:rsid w:val="00EE6725"/>
    <w:rsid w:val="00EF2866"/>
    <w:rsid w:val="00EF4B28"/>
    <w:rsid w:val="00EF51F1"/>
    <w:rsid w:val="00EF6A42"/>
    <w:rsid w:val="00EF6E0E"/>
    <w:rsid w:val="00EF6FBE"/>
    <w:rsid w:val="00EF7BAD"/>
    <w:rsid w:val="00EF7E0E"/>
    <w:rsid w:val="00F0025C"/>
    <w:rsid w:val="00F00BBC"/>
    <w:rsid w:val="00F00D0C"/>
    <w:rsid w:val="00F01D23"/>
    <w:rsid w:val="00F04B2F"/>
    <w:rsid w:val="00F0759E"/>
    <w:rsid w:val="00F11F20"/>
    <w:rsid w:val="00F13401"/>
    <w:rsid w:val="00F145D4"/>
    <w:rsid w:val="00F14B57"/>
    <w:rsid w:val="00F23F0D"/>
    <w:rsid w:val="00F24DC7"/>
    <w:rsid w:val="00F24F9F"/>
    <w:rsid w:val="00F2687F"/>
    <w:rsid w:val="00F31444"/>
    <w:rsid w:val="00F31969"/>
    <w:rsid w:val="00F32483"/>
    <w:rsid w:val="00F3259F"/>
    <w:rsid w:val="00F33440"/>
    <w:rsid w:val="00F340BA"/>
    <w:rsid w:val="00F35A4E"/>
    <w:rsid w:val="00F36629"/>
    <w:rsid w:val="00F373E4"/>
    <w:rsid w:val="00F37614"/>
    <w:rsid w:val="00F40373"/>
    <w:rsid w:val="00F407DD"/>
    <w:rsid w:val="00F41307"/>
    <w:rsid w:val="00F41863"/>
    <w:rsid w:val="00F42B0D"/>
    <w:rsid w:val="00F444EF"/>
    <w:rsid w:val="00F448E0"/>
    <w:rsid w:val="00F47667"/>
    <w:rsid w:val="00F47829"/>
    <w:rsid w:val="00F47C32"/>
    <w:rsid w:val="00F47CDC"/>
    <w:rsid w:val="00F54CF8"/>
    <w:rsid w:val="00F553CC"/>
    <w:rsid w:val="00F5755D"/>
    <w:rsid w:val="00F607A3"/>
    <w:rsid w:val="00F609CB"/>
    <w:rsid w:val="00F6322C"/>
    <w:rsid w:val="00F632D6"/>
    <w:rsid w:val="00F64D48"/>
    <w:rsid w:val="00F67F47"/>
    <w:rsid w:val="00F7038D"/>
    <w:rsid w:val="00F72759"/>
    <w:rsid w:val="00F776A0"/>
    <w:rsid w:val="00F811A6"/>
    <w:rsid w:val="00F84035"/>
    <w:rsid w:val="00F84A83"/>
    <w:rsid w:val="00F8607B"/>
    <w:rsid w:val="00F876A5"/>
    <w:rsid w:val="00F87AF6"/>
    <w:rsid w:val="00F91A47"/>
    <w:rsid w:val="00F933D3"/>
    <w:rsid w:val="00F9397E"/>
    <w:rsid w:val="00F95553"/>
    <w:rsid w:val="00F95807"/>
    <w:rsid w:val="00F95F44"/>
    <w:rsid w:val="00FA1868"/>
    <w:rsid w:val="00FA1DDF"/>
    <w:rsid w:val="00FA23AD"/>
    <w:rsid w:val="00FA5DA4"/>
    <w:rsid w:val="00FA745B"/>
    <w:rsid w:val="00FB1E42"/>
    <w:rsid w:val="00FB1EA9"/>
    <w:rsid w:val="00FB211B"/>
    <w:rsid w:val="00FB3C17"/>
    <w:rsid w:val="00FB5576"/>
    <w:rsid w:val="00FB5FB0"/>
    <w:rsid w:val="00FB6BDE"/>
    <w:rsid w:val="00FC071B"/>
    <w:rsid w:val="00FC15D6"/>
    <w:rsid w:val="00FC2656"/>
    <w:rsid w:val="00FC3AD8"/>
    <w:rsid w:val="00FC7268"/>
    <w:rsid w:val="00FD07B3"/>
    <w:rsid w:val="00FD0CEF"/>
    <w:rsid w:val="00FD104D"/>
    <w:rsid w:val="00FD10B4"/>
    <w:rsid w:val="00FD187B"/>
    <w:rsid w:val="00FD2E93"/>
    <w:rsid w:val="00FD550B"/>
    <w:rsid w:val="00FD65F7"/>
    <w:rsid w:val="00FD7B33"/>
    <w:rsid w:val="00FE443B"/>
    <w:rsid w:val="00FE4C46"/>
    <w:rsid w:val="00FF1A49"/>
    <w:rsid w:val="00FF35E4"/>
    <w:rsid w:val="00FF4D2A"/>
    <w:rsid w:val="00FF6373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4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E63E97"/>
    <w:pPr>
      <w:ind w:left="720"/>
      <w:contextualSpacing/>
    </w:pPr>
  </w:style>
  <w:style w:type="paragraph" w:styleId="Zkladntext">
    <w:name w:val="Body Text"/>
    <w:basedOn w:val="Normlny"/>
    <w:link w:val="ZkladntextChar"/>
    <w:rsid w:val="00EE58DD"/>
    <w:pPr>
      <w:jc w:val="both"/>
    </w:pPr>
    <w:rPr>
      <w:rFonts w:ascii="Times New Roman" w:eastAsia="Times New Roman" w:hAnsi="Times New Roman" w:cs="Times New Roman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EE58DD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Bezriadkovania">
    <w:name w:val="No Spacing"/>
    <w:uiPriority w:val="1"/>
    <w:qFormat/>
    <w:rsid w:val="000E4E3D"/>
  </w:style>
  <w:style w:type="table" w:styleId="Mriekatabuky">
    <w:name w:val="Table Grid"/>
    <w:basedOn w:val="Normlnatabuka"/>
    <w:uiPriority w:val="59"/>
    <w:rsid w:val="00B0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B66E1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66E1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6E1A"/>
    <w:rPr>
      <w:vertAlign w:val="superscript"/>
    </w:rPr>
  </w:style>
  <w:style w:type="paragraph" w:styleId="Nzov">
    <w:name w:val="Title"/>
    <w:basedOn w:val="Normlny"/>
    <w:link w:val="NzovChar"/>
    <w:qFormat/>
    <w:rsid w:val="0073726E"/>
    <w:pPr>
      <w:jc w:val="center"/>
    </w:pPr>
    <w:rPr>
      <w:rFonts w:ascii="Times New Roman" w:eastAsia="Times New Roman" w:hAnsi="Times New Roman" w:cs="Times New Roman"/>
      <w:b/>
      <w:bCs/>
      <w:sz w:val="36"/>
      <w:u w:val="single"/>
      <w:lang w:val="sk-SK" w:eastAsia="sk-SK"/>
    </w:rPr>
  </w:style>
  <w:style w:type="character" w:customStyle="1" w:styleId="NzovChar">
    <w:name w:val="Názov Char"/>
    <w:basedOn w:val="Predvolenpsmoodseku"/>
    <w:link w:val="Nzov"/>
    <w:rsid w:val="0073726E"/>
    <w:rPr>
      <w:rFonts w:ascii="Times New Roman" w:eastAsia="Times New Roman" w:hAnsi="Times New Roman" w:cs="Times New Roman"/>
      <w:b/>
      <w:bCs/>
      <w:sz w:val="36"/>
      <w:u w:val="single"/>
      <w:lang w:val="sk-SK" w:eastAsia="sk-SK"/>
    </w:rPr>
  </w:style>
  <w:style w:type="character" w:styleId="Jemnzvraznenie">
    <w:name w:val="Subtle Emphasis"/>
    <w:basedOn w:val="Predvolenpsmoodseku"/>
    <w:uiPriority w:val="19"/>
    <w:qFormat/>
    <w:rsid w:val="00FA186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4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E63E97"/>
    <w:pPr>
      <w:ind w:left="720"/>
      <w:contextualSpacing/>
    </w:pPr>
  </w:style>
  <w:style w:type="paragraph" w:styleId="Zkladntext">
    <w:name w:val="Body Text"/>
    <w:basedOn w:val="Normlny"/>
    <w:link w:val="ZkladntextChar"/>
    <w:rsid w:val="00EE58DD"/>
    <w:pPr>
      <w:jc w:val="both"/>
    </w:pPr>
    <w:rPr>
      <w:rFonts w:ascii="Times New Roman" w:eastAsia="Times New Roman" w:hAnsi="Times New Roman" w:cs="Times New Roman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EE58DD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Bezriadkovania">
    <w:name w:val="No Spacing"/>
    <w:uiPriority w:val="1"/>
    <w:qFormat/>
    <w:rsid w:val="000E4E3D"/>
  </w:style>
  <w:style w:type="table" w:styleId="Mriekatabuky">
    <w:name w:val="Table Grid"/>
    <w:basedOn w:val="Normlnatabuka"/>
    <w:uiPriority w:val="59"/>
    <w:rsid w:val="00B0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B66E1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66E1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6E1A"/>
    <w:rPr>
      <w:vertAlign w:val="superscript"/>
    </w:rPr>
  </w:style>
  <w:style w:type="paragraph" w:styleId="Nzov">
    <w:name w:val="Title"/>
    <w:basedOn w:val="Normlny"/>
    <w:link w:val="NzovChar"/>
    <w:qFormat/>
    <w:rsid w:val="0073726E"/>
    <w:pPr>
      <w:jc w:val="center"/>
    </w:pPr>
    <w:rPr>
      <w:rFonts w:ascii="Times New Roman" w:eastAsia="Times New Roman" w:hAnsi="Times New Roman" w:cs="Times New Roman"/>
      <w:b/>
      <w:bCs/>
      <w:sz w:val="36"/>
      <w:u w:val="single"/>
      <w:lang w:val="sk-SK" w:eastAsia="sk-SK"/>
    </w:rPr>
  </w:style>
  <w:style w:type="character" w:customStyle="1" w:styleId="NzovChar">
    <w:name w:val="Názov Char"/>
    <w:basedOn w:val="Predvolenpsmoodseku"/>
    <w:link w:val="Nzov"/>
    <w:rsid w:val="0073726E"/>
    <w:rPr>
      <w:rFonts w:ascii="Times New Roman" w:eastAsia="Times New Roman" w:hAnsi="Times New Roman" w:cs="Times New Roman"/>
      <w:b/>
      <w:bCs/>
      <w:sz w:val="36"/>
      <w:u w:val="single"/>
      <w:lang w:val="sk-SK" w:eastAsia="sk-SK"/>
    </w:rPr>
  </w:style>
  <w:style w:type="character" w:styleId="Jemnzvraznenie">
    <w:name w:val="Subtle Emphasis"/>
    <w:basedOn w:val="Predvolenpsmoodseku"/>
    <w:uiPriority w:val="19"/>
    <w:qFormat/>
    <w:rsid w:val="00FA186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FA6694-F427-4B10-9FBC-76F124A1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2</TotalTime>
  <Pages>8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jevcakova</cp:lastModifiedBy>
  <cp:revision>2</cp:revision>
  <cp:lastPrinted>2015-06-19T08:32:00Z</cp:lastPrinted>
  <dcterms:created xsi:type="dcterms:W3CDTF">2016-02-17T14:29:00Z</dcterms:created>
  <dcterms:modified xsi:type="dcterms:W3CDTF">2016-02-17T14:29:00Z</dcterms:modified>
</cp:coreProperties>
</file>