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header3.xml" ContentType="application/vnd.openxmlformats-officedocument.wordprocessingml.header+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theme/themeOverride1.xml" ContentType="application/vnd.openxmlformats-officedocument.themeOverride+xml"/>
  <Override PartName="/word/charts/chart35.xml" ContentType="application/vnd.openxmlformats-officedocument.drawingml.chart+xml"/>
  <Override PartName="/word/charts/chart3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65" w:rsidRDefault="005C4C65" w:rsidP="00180BC5">
      <w:pPr>
        <w:pStyle w:val="snormalny"/>
        <w:rPr>
          <w:rFonts w:asciiTheme="minorHAnsi" w:hAnsiTheme="minorHAnsi"/>
          <w:sz w:val="24"/>
        </w:rPr>
      </w:pPr>
    </w:p>
    <w:p w:rsidR="00BE5B90" w:rsidRDefault="00BE5B90" w:rsidP="005C4C65">
      <w:pPr>
        <w:ind w:left="-993" w:firstLine="851"/>
        <w:rPr>
          <w:rFonts w:asciiTheme="minorHAnsi" w:hAnsiTheme="minorHAnsi"/>
          <w:sz w:val="28"/>
          <w:szCs w:val="28"/>
        </w:rPr>
      </w:pPr>
    </w:p>
    <w:p w:rsidR="00BE5B90" w:rsidRDefault="00BE5B90" w:rsidP="005C4C65">
      <w:pPr>
        <w:ind w:left="-993" w:firstLine="851"/>
        <w:rPr>
          <w:rFonts w:asciiTheme="minorHAnsi" w:hAnsiTheme="minorHAnsi"/>
          <w:sz w:val="28"/>
          <w:szCs w:val="28"/>
        </w:rPr>
      </w:pPr>
    </w:p>
    <w:p w:rsidR="00D83DDF" w:rsidRDefault="00D83DDF" w:rsidP="005C4C65">
      <w:pPr>
        <w:ind w:left="-993" w:firstLine="851"/>
        <w:rPr>
          <w:rFonts w:asciiTheme="minorHAnsi" w:hAnsiTheme="minorHAnsi"/>
          <w:sz w:val="36"/>
          <w:szCs w:val="36"/>
        </w:rPr>
      </w:pPr>
    </w:p>
    <w:p w:rsidR="00D83DDF" w:rsidRDefault="00D83DDF" w:rsidP="005C4C65">
      <w:pPr>
        <w:ind w:left="-993" w:firstLine="851"/>
        <w:rPr>
          <w:rFonts w:asciiTheme="minorHAnsi" w:hAnsiTheme="minorHAnsi"/>
          <w:sz w:val="36"/>
          <w:szCs w:val="36"/>
        </w:rPr>
      </w:pPr>
    </w:p>
    <w:p w:rsidR="00D83DDF" w:rsidRDefault="00D83DDF" w:rsidP="005C4C65">
      <w:pPr>
        <w:ind w:left="-993" w:firstLine="851"/>
        <w:rPr>
          <w:rFonts w:asciiTheme="minorHAnsi" w:hAnsiTheme="minorHAnsi"/>
          <w:sz w:val="36"/>
          <w:szCs w:val="36"/>
        </w:rPr>
      </w:pPr>
    </w:p>
    <w:p w:rsidR="00D83DDF" w:rsidRDefault="00D83DDF" w:rsidP="005C4C65">
      <w:pPr>
        <w:ind w:left="-993" w:firstLine="851"/>
        <w:rPr>
          <w:rFonts w:asciiTheme="minorHAnsi" w:hAnsiTheme="minorHAnsi"/>
          <w:sz w:val="36"/>
          <w:szCs w:val="36"/>
        </w:rPr>
      </w:pPr>
    </w:p>
    <w:p w:rsidR="001075A8" w:rsidRPr="001075A8" w:rsidRDefault="001075A8" w:rsidP="005C4C65">
      <w:pPr>
        <w:ind w:left="-993" w:firstLine="851"/>
        <w:rPr>
          <w:rFonts w:asciiTheme="minorHAnsi" w:hAnsiTheme="minorHAnsi"/>
          <w:sz w:val="36"/>
          <w:szCs w:val="36"/>
        </w:rPr>
      </w:pPr>
      <w:r w:rsidRPr="001075A8">
        <w:rPr>
          <w:rFonts w:asciiTheme="minorHAnsi" w:hAnsiTheme="minorHAnsi"/>
          <w:sz w:val="36"/>
          <w:szCs w:val="36"/>
        </w:rPr>
        <w:t>Akademický senát</w:t>
      </w:r>
    </w:p>
    <w:p w:rsidR="001075A8" w:rsidRPr="001075A8" w:rsidRDefault="001075A8" w:rsidP="005C4C65">
      <w:pPr>
        <w:ind w:left="-993" w:firstLine="851"/>
        <w:rPr>
          <w:rFonts w:asciiTheme="minorHAnsi" w:hAnsiTheme="minorHAnsi"/>
          <w:sz w:val="36"/>
          <w:szCs w:val="36"/>
        </w:rPr>
      </w:pPr>
      <w:r w:rsidRPr="001075A8">
        <w:rPr>
          <w:rFonts w:asciiTheme="minorHAnsi" w:hAnsiTheme="minorHAnsi"/>
          <w:sz w:val="36"/>
          <w:szCs w:val="36"/>
        </w:rPr>
        <w:t>25. 04. 2016</w:t>
      </w:r>
    </w:p>
    <w:p w:rsidR="001075A8" w:rsidRDefault="001075A8" w:rsidP="005C4C65">
      <w:pPr>
        <w:ind w:left="-993" w:firstLine="851"/>
        <w:rPr>
          <w:rFonts w:asciiTheme="minorHAnsi" w:hAnsiTheme="minorHAnsi"/>
          <w:b/>
          <w:sz w:val="36"/>
          <w:szCs w:val="36"/>
        </w:rPr>
      </w:pPr>
    </w:p>
    <w:p w:rsidR="005C4C65" w:rsidRPr="003B5702" w:rsidRDefault="00BE5B90" w:rsidP="005C4C65">
      <w:pPr>
        <w:ind w:left="-993" w:firstLine="851"/>
        <w:rPr>
          <w:rFonts w:asciiTheme="minorHAnsi" w:hAnsiTheme="minorHAnsi"/>
          <w:b/>
          <w:sz w:val="36"/>
          <w:szCs w:val="36"/>
        </w:rPr>
      </w:pPr>
      <w:r w:rsidRPr="003B5702">
        <w:rPr>
          <w:rFonts w:asciiTheme="minorHAnsi" w:hAnsiTheme="minorHAnsi"/>
          <w:b/>
          <w:sz w:val="36"/>
          <w:szCs w:val="36"/>
        </w:rPr>
        <w:t>Výročná správa o činnosti STU za rok 2015</w:t>
      </w:r>
    </w:p>
    <w:p w:rsidR="005C4C65" w:rsidRDefault="005C4C65" w:rsidP="005C4C65">
      <w:pPr>
        <w:ind w:left="-993" w:firstLine="851"/>
        <w:rPr>
          <w:rFonts w:asciiTheme="minorHAnsi" w:hAnsiTheme="minorHAnsi"/>
          <w:b/>
          <w:sz w:val="36"/>
          <w:szCs w:val="36"/>
        </w:rPr>
      </w:pPr>
    </w:p>
    <w:p w:rsidR="003B5702" w:rsidRPr="001075A8" w:rsidRDefault="003B5702" w:rsidP="005C4C65">
      <w:pPr>
        <w:ind w:left="-993" w:firstLine="851"/>
        <w:rPr>
          <w:rFonts w:asciiTheme="minorHAnsi" w:hAnsiTheme="minorHAnsi"/>
          <w:b/>
        </w:rPr>
      </w:pPr>
    </w:p>
    <w:p w:rsidR="005C4C65" w:rsidRPr="001075A8" w:rsidRDefault="005C4C65" w:rsidP="005C4C65">
      <w:pPr>
        <w:tabs>
          <w:tab w:val="left" w:pos="1985"/>
        </w:tabs>
        <w:ind w:left="-993" w:firstLine="851"/>
        <w:rPr>
          <w:rFonts w:asciiTheme="minorHAnsi" w:hAnsiTheme="minorHAnsi"/>
          <w:b/>
        </w:rPr>
      </w:pPr>
      <w:r w:rsidRPr="001075A8">
        <w:rPr>
          <w:rFonts w:asciiTheme="minorHAnsi" w:hAnsiTheme="minorHAnsi"/>
        </w:rPr>
        <w:t>Predkladá:</w:t>
      </w:r>
      <w:r w:rsidRPr="001075A8">
        <w:rPr>
          <w:rFonts w:asciiTheme="minorHAnsi" w:hAnsiTheme="minorHAnsi"/>
        </w:rPr>
        <w:tab/>
      </w:r>
      <w:r w:rsidR="00D83DDF" w:rsidRPr="00D83DDF">
        <w:rPr>
          <w:rFonts w:asciiTheme="minorHAnsi" w:hAnsiTheme="minorHAnsi"/>
          <w:b/>
        </w:rPr>
        <w:t>prof. Ing. Robert Redhammer, PhD.</w:t>
      </w:r>
    </w:p>
    <w:p w:rsidR="005C4C65" w:rsidRPr="001075A8" w:rsidRDefault="005C4C65" w:rsidP="005C4C65">
      <w:pPr>
        <w:tabs>
          <w:tab w:val="left" w:pos="1985"/>
        </w:tabs>
        <w:ind w:left="-993" w:firstLine="851"/>
        <w:rPr>
          <w:rFonts w:asciiTheme="minorHAnsi" w:hAnsiTheme="minorHAnsi"/>
        </w:rPr>
      </w:pPr>
      <w:r w:rsidRPr="001075A8">
        <w:rPr>
          <w:rFonts w:asciiTheme="minorHAnsi" w:hAnsiTheme="minorHAnsi"/>
        </w:rPr>
        <w:tab/>
        <w:t>rektor</w:t>
      </w:r>
    </w:p>
    <w:p w:rsidR="005C4C65" w:rsidRPr="001075A8" w:rsidRDefault="005C4C65" w:rsidP="005C4C65">
      <w:pPr>
        <w:tabs>
          <w:tab w:val="left" w:pos="1985"/>
        </w:tabs>
        <w:ind w:left="-993" w:firstLine="851"/>
        <w:rPr>
          <w:rFonts w:asciiTheme="minorHAnsi" w:hAnsiTheme="minorHAnsi"/>
        </w:rPr>
      </w:pPr>
    </w:p>
    <w:p w:rsidR="00F42B47" w:rsidRDefault="005C4C65" w:rsidP="006D475E">
      <w:pPr>
        <w:tabs>
          <w:tab w:val="left" w:pos="1985"/>
        </w:tabs>
        <w:ind w:left="1973" w:hanging="2115"/>
        <w:rPr>
          <w:rFonts w:asciiTheme="minorHAnsi" w:hAnsiTheme="minorHAnsi"/>
          <w:b/>
        </w:rPr>
      </w:pPr>
      <w:r w:rsidRPr="001075A8">
        <w:rPr>
          <w:rFonts w:asciiTheme="minorHAnsi" w:hAnsiTheme="minorHAnsi"/>
        </w:rPr>
        <w:t>Vypracoval:</w:t>
      </w:r>
      <w:r w:rsidRPr="001075A8">
        <w:rPr>
          <w:rFonts w:asciiTheme="minorHAnsi" w:hAnsiTheme="minorHAnsi"/>
        </w:rPr>
        <w:tab/>
      </w:r>
      <w:r w:rsidR="006D475E" w:rsidRPr="001075A8">
        <w:rPr>
          <w:rFonts w:asciiTheme="minorHAnsi" w:hAnsiTheme="minorHAnsi"/>
        </w:rPr>
        <w:tab/>
      </w:r>
      <w:r w:rsidR="00D83DDF" w:rsidRPr="001075A8">
        <w:rPr>
          <w:rFonts w:asciiTheme="minorHAnsi" w:hAnsiTheme="minorHAnsi"/>
          <w:b/>
        </w:rPr>
        <w:t>prof. Ing. Marián Peciar</w:t>
      </w:r>
      <w:r w:rsidR="00F42B47">
        <w:rPr>
          <w:rFonts w:asciiTheme="minorHAnsi" w:hAnsiTheme="minorHAnsi"/>
          <w:b/>
        </w:rPr>
        <w:t xml:space="preserve">, </w:t>
      </w:r>
      <w:r w:rsidR="00D83DDF" w:rsidRPr="001075A8">
        <w:rPr>
          <w:rFonts w:asciiTheme="minorHAnsi" w:hAnsiTheme="minorHAnsi"/>
          <w:b/>
        </w:rPr>
        <w:t>PhD.</w:t>
      </w:r>
    </w:p>
    <w:p w:rsidR="00F42B47" w:rsidRDefault="00F42B47" w:rsidP="006D475E">
      <w:pPr>
        <w:tabs>
          <w:tab w:val="left" w:pos="1985"/>
        </w:tabs>
        <w:ind w:left="1973" w:hanging="2115"/>
        <w:rPr>
          <w:rFonts w:asciiTheme="minorHAnsi" w:hAnsiTheme="minorHAnsi"/>
          <w:b/>
          <w:bCs/>
        </w:rPr>
      </w:pPr>
      <w:r>
        <w:rPr>
          <w:rFonts w:asciiTheme="minorHAnsi" w:hAnsiTheme="minorHAnsi"/>
          <w:b/>
        </w:rPr>
        <w:tab/>
      </w:r>
      <w:r w:rsidR="00BE5B90" w:rsidRPr="001075A8">
        <w:rPr>
          <w:rFonts w:asciiTheme="minorHAnsi" w:hAnsiTheme="minorHAnsi"/>
          <w:b/>
          <w:bCs/>
        </w:rPr>
        <w:t xml:space="preserve">prof. Ing. Stanislav </w:t>
      </w:r>
      <w:proofErr w:type="spellStart"/>
      <w:r w:rsidR="00BE5B90" w:rsidRPr="001075A8">
        <w:rPr>
          <w:rFonts w:asciiTheme="minorHAnsi" w:hAnsiTheme="minorHAnsi"/>
          <w:b/>
          <w:bCs/>
        </w:rPr>
        <w:t>Biskupič</w:t>
      </w:r>
      <w:proofErr w:type="spellEnd"/>
      <w:r w:rsidR="00BE5B90" w:rsidRPr="001075A8">
        <w:rPr>
          <w:rFonts w:asciiTheme="minorHAnsi" w:hAnsiTheme="minorHAnsi"/>
          <w:b/>
          <w:bCs/>
        </w:rPr>
        <w:t>, DrSc.</w:t>
      </w:r>
    </w:p>
    <w:p w:rsidR="00F42B47" w:rsidRDefault="00F42B47" w:rsidP="006D475E">
      <w:pPr>
        <w:tabs>
          <w:tab w:val="left" w:pos="1985"/>
        </w:tabs>
        <w:ind w:left="1973" w:hanging="2115"/>
        <w:rPr>
          <w:rFonts w:asciiTheme="minorHAnsi" w:hAnsiTheme="minorHAnsi"/>
          <w:b/>
          <w:bCs/>
        </w:rPr>
      </w:pPr>
      <w:r>
        <w:rPr>
          <w:rFonts w:asciiTheme="minorHAnsi" w:hAnsiTheme="minorHAnsi"/>
          <w:b/>
          <w:bCs/>
        </w:rPr>
        <w:tab/>
      </w:r>
      <w:r w:rsidR="006D475E" w:rsidRPr="001075A8">
        <w:rPr>
          <w:rFonts w:asciiTheme="minorHAnsi" w:hAnsiTheme="minorHAnsi"/>
          <w:b/>
          <w:bCs/>
        </w:rPr>
        <w:t>Mgr. Marianna Michelková</w:t>
      </w:r>
    </w:p>
    <w:p w:rsidR="005C4C65" w:rsidRPr="001075A8" w:rsidRDefault="00F42B47" w:rsidP="006D475E">
      <w:pPr>
        <w:tabs>
          <w:tab w:val="left" w:pos="1985"/>
        </w:tabs>
        <w:ind w:left="1973" w:hanging="2115"/>
        <w:rPr>
          <w:rFonts w:asciiTheme="minorHAnsi" w:hAnsiTheme="minorHAnsi"/>
          <w:b/>
        </w:rPr>
      </w:pPr>
      <w:r>
        <w:rPr>
          <w:rFonts w:asciiTheme="minorHAnsi" w:hAnsiTheme="minorHAnsi"/>
          <w:b/>
          <w:bCs/>
        </w:rPr>
        <w:tab/>
      </w:r>
      <w:bookmarkStart w:id="0" w:name="_GoBack"/>
      <w:bookmarkEnd w:id="0"/>
      <w:r w:rsidR="00BE5B90" w:rsidRPr="001075A8">
        <w:rPr>
          <w:rFonts w:asciiTheme="minorHAnsi" w:hAnsiTheme="minorHAnsi"/>
          <w:b/>
          <w:bCs/>
        </w:rPr>
        <w:t xml:space="preserve">Mgr. </w:t>
      </w:r>
      <w:r w:rsidR="005C4C65" w:rsidRPr="001075A8">
        <w:rPr>
          <w:rFonts w:asciiTheme="minorHAnsi" w:hAnsiTheme="minorHAnsi"/>
          <w:b/>
        </w:rPr>
        <w:t xml:space="preserve">A. </w:t>
      </w:r>
      <w:proofErr w:type="spellStart"/>
      <w:r w:rsidR="005C4C65" w:rsidRPr="001075A8">
        <w:rPr>
          <w:rFonts w:asciiTheme="minorHAnsi" w:hAnsiTheme="minorHAnsi"/>
          <w:b/>
        </w:rPr>
        <w:t>Settey</w:t>
      </w:r>
      <w:proofErr w:type="spellEnd"/>
      <w:r w:rsidR="005C4C65" w:rsidRPr="001075A8">
        <w:rPr>
          <w:rFonts w:asciiTheme="minorHAnsi" w:hAnsiTheme="minorHAnsi"/>
          <w:b/>
        </w:rPr>
        <w:t xml:space="preserve"> </w:t>
      </w:r>
      <w:proofErr w:type="spellStart"/>
      <w:r w:rsidR="005C4C65" w:rsidRPr="001075A8">
        <w:rPr>
          <w:rFonts w:asciiTheme="minorHAnsi" w:hAnsiTheme="minorHAnsi"/>
          <w:b/>
        </w:rPr>
        <w:t>Hajdúchová</w:t>
      </w:r>
      <w:proofErr w:type="spellEnd"/>
      <w:r w:rsidR="005C4C65" w:rsidRPr="001075A8">
        <w:rPr>
          <w:rFonts w:asciiTheme="minorHAnsi" w:hAnsiTheme="minorHAnsi"/>
          <w:b/>
        </w:rPr>
        <w:t xml:space="preserve"> </w:t>
      </w:r>
    </w:p>
    <w:p w:rsidR="005C4C65" w:rsidRPr="001075A8" w:rsidRDefault="005C4C65" w:rsidP="005C4C65">
      <w:pPr>
        <w:tabs>
          <w:tab w:val="left" w:pos="1985"/>
        </w:tabs>
        <w:ind w:left="-993" w:firstLine="851"/>
        <w:rPr>
          <w:rFonts w:asciiTheme="minorHAnsi" w:hAnsiTheme="minorHAnsi"/>
        </w:rPr>
      </w:pPr>
    </w:p>
    <w:p w:rsidR="005C4C65" w:rsidRPr="001075A8" w:rsidRDefault="005C4C65" w:rsidP="005C4C65">
      <w:pPr>
        <w:tabs>
          <w:tab w:val="left" w:pos="1985"/>
        </w:tabs>
        <w:ind w:left="1973" w:hanging="2115"/>
        <w:rPr>
          <w:rFonts w:asciiTheme="minorHAnsi" w:hAnsiTheme="minorHAnsi"/>
        </w:rPr>
      </w:pPr>
      <w:r w:rsidRPr="001075A8">
        <w:rPr>
          <w:rFonts w:asciiTheme="minorHAnsi" w:hAnsiTheme="minorHAnsi"/>
        </w:rPr>
        <w:t>Zdôvodnenie:</w:t>
      </w:r>
      <w:r w:rsidRPr="001075A8">
        <w:rPr>
          <w:rFonts w:asciiTheme="minorHAnsi" w:hAnsiTheme="minorHAnsi"/>
        </w:rPr>
        <w:tab/>
        <w:t xml:space="preserve">Materiál sa </w:t>
      </w:r>
      <w:r w:rsidR="00262FD9" w:rsidRPr="001075A8">
        <w:rPr>
          <w:rFonts w:asciiTheme="minorHAnsi" w:hAnsiTheme="minorHAnsi"/>
        </w:rPr>
        <w:t>predkladá každoročne a je zostavený podľa požiadaviek na obsah </w:t>
      </w:r>
      <w:r w:rsidR="00B93DC4" w:rsidRPr="001075A8">
        <w:rPr>
          <w:rFonts w:asciiTheme="minorHAnsi" w:hAnsiTheme="minorHAnsi"/>
        </w:rPr>
        <w:t xml:space="preserve">z </w:t>
      </w:r>
      <w:proofErr w:type="spellStart"/>
      <w:r w:rsidR="00262FD9" w:rsidRPr="001075A8">
        <w:rPr>
          <w:rFonts w:asciiTheme="minorHAnsi" w:hAnsiTheme="minorHAnsi"/>
        </w:rPr>
        <w:t>MŠVVaŠ</w:t>
      </w:r>
      <w:proofErr w:type="spellEnd"/>
      <w:r w:rsidR="00262FD9" w:rsidRPr="001075A8">
        <w:rPr>
          <w:rFonts w:asciiTheme="minorHAnsi" w:hAnsiTheme="minorHAnsi"/>
        </w:rPr>
        <w:t xml:space="preserve"> SR.</w:t>
      </w:r>
    </w:p>
    <w:p w:rsidR="005C4C65" w:rsidRPr="001075A8" w:rsidRDefault="005C4C65" w:rsidP="005C4C65">
      <w:pPr>
        <w:tabs>
          <w:tab w:val="left" w:pos="1985"/>
        </w:tabs>
        <w:ind w:left="-993" w:firstLine="851"/>
        <w:rPr>
          <w:rFonts w:asciiTheme="minorHAnsi" w:hAnsiTheme="minorHAnsi"/>
        </w:rPr>
      </w:pPr>
    </w:p>
    <w:p w:rsidR="001075A8" w:rsidRPr="001075A8" w:rsidRDefault="005C4C65" w:rsidP="001075A8">
      <w:pPr>
        <w:pStyle w:val="Default"/>
        <w:tabs>
          <w:tab w:val="left" w:pos="1985"/>
        </w:tabs>
        <w:ind w:left="1985" w:hanging="2127"/>
        <w:jc w:val="both"/>
        <w:rPr>
          <w:rFonts w:asciiTheme="minorHAnsi" w:hAnsiTheme="minorHAnsi"/>
          <w:color w:val="auto"/>
          <w:lang w:val="sk-SK"/>
        </w:rPr>
      </w:pPr>
      <w:r w:rsidRPr="001075A8">
        <w:rPr>
          <w:rFonts w:asciiTheme="minorHAnsi" w:hAnsiTheme="minorHAnsi"/>
          <w:lang w:val="sk-SK"/>
        </w:rPr>
        <w:t>Návrh uznesenia:</w:t>
      </w:r>
      <w:r w:rsidRPr="001075A8">
        <w:rPr>
          <w:rFonts w:asciiTheme="minorHAnsi" w:hAnsiTheme="minorHAnsi"/>
          <w:lang w:val="sk-SK"/>
        </w:rPr>
        <w:tab/>
      </w:r>
      <w:r w:rsidR="001075A8" w:rsidRPr="001075A8">
        <w:rPr>
          <w:rFonts w:asciiTheme="minorHAnsi" w:hAnsiTheme="minorHAnsi"/>
          <w:color w:val="auto"/>
          <w:lang w:val="sk-SK"/>
        </w:rPr>
        <w:t xml:space="preserve">Akademický senát STU </w:t>
      </w:r>
      <w:r w:rsidR="001075A8" w:rsidRPr="001075A8">
        <w:rPr>
          <w:rFonts w:asciiTheme="minorHAnsi" w:hAnsiTheme="minorHAnsi"/>
          <w:lang w:val="sk-SK"/>
        </w:rPr>
        <w:t>schvaľuje Výročn</w:t>
      </w:r>
      <w:r w:rsidR="00D83DDF">
        <w:rPr>
          <w:rFonts w:asciiTheme="minorHAnsi" w:hAnsiTheme="minorHAnsi"/>
          <w:lang w:val="sk-SK"/>
        </w:rPr>
        <w:t>ú</w:t>
      </w:r>
      <w:r w:rsidR="001075A8" w:rsidRPr="001075A8">
        <w:rPr>
          <w:rFonts w:asciiTheme="minorHAnsi" w:hAnsiTheme="minorHAnsi"/>
          <w:lang w:val="sk-SK"/>
        </w:rPr>
        <w:t xml:space="preserve"> správ</w:t>
      </w:r>
      <w:r w:rsidR="00D83DDF">
        <w:rPr>
          <w:rFonts w:asciiTheme="minorHAnsi" w:hAnsiTheme="minorHAnsi"/>
          <w:lang w:val="sk-SK"/>
        </w:rPr>
        <w:t>u</w:t>
      </w:r>
      <w:r w:rsidR="001075A8" w:rsidRPr="001075A8">
        <w:rPr>
          <w:rFonts w:asciiTheme="minorHAnsi" w:hAnsiTheme="minorHAnsi"/>
          <w:lang w:val="sk-SK"/>
        </w:rPr>
        <w:t xml:space="preserve"> o činnosti STU za rok 2015 </w:t>
      </w:r>
    </w:p>
    <w:p w:rsidR="001075A8" w:rsidRPr="001075A8" w:rsidRDefault="001075A8" w:rsidP="001075A8">
      <w:pPr>
        <w:pStyle w:val="Odsekzoznamu"/>
        <w:numPr>
          <w:ilvl w:val="0"/>
          <w:numId w:val="70"/>
        </w:numPr>
        <w:ind w:left="2268" w:hanging="283"/>
        <w:rPr>
          <w:rFonts w:asciiTheme="minorHAnsi" w:hAnsiTheme="minorHAnsi"/>
          <w:sz w:val="24"/>
          <w:szCs w:val="24"/>
        </w:rPr>
      </w:pPr>
      <w:r w:rsidRPr="001075A8">
        <w:rPr>
          <w:rFonts w:asciiTheme="minorHAnsi" w:hAnsiTheme="minorHAnsi"/>
          <w:sz w:val="24"/>
          <w:szCs w:val="24"/>
        </w:rPr>
        <w:t>s pripomienkami</w:t>
      </w:r>
    </w:p>
    <w:p w:rsidR="001075A8" w:rsidRPr="001075A8" w:rsidRDefault="001075A8" w:rsidP="001075A8">
      <w:pPr>
        <w:pStyle w:val="Odsekzoznamu"/>
        <w:numPr>
          <w:ilvl w:val="0"/>
          <w:numId w:val="70"/>
        </w:numPr>
        <w:ind w:left="2268" w:hanging="283"/>
        <w:rPr>
          <w:rFonts w:asciiTheme="minorHAnsi" w:hAnsiTheme="minorHAnsi"/>
          <w:sz w:val="24"/>
          <w:szCs w:val="24"/>
        </w:rPr>
      </w:pPr>
      <w:r w:rsidRPr="001075A8">
        <w:rPr>
          <w:rFonts w:asciiTheme="minorHAnsi" w:hAnsiTheme="minorHAnsi"/>
          <w:sz w:val="24"/>
          <w:szCs w:val="24"/>
        </w:rPr>
        <w:t>bez pripomienok.</w:t>
      </w:r>
    </w:p>
    <w:p w:rsidR="005C4C65" w:rsidRPr="001075A8" w:rsidRDefault="001075A8" w:rsidP="001075A8">
      <w:pPr>
        <w:pStyle w:val="Default"/>
        <w:tabs>
          <w:tab w:val="left" w:pos="1985"/>
        </w:tabs>
        <w:ind w:left="1985" w:hanging="2127"/>
        <w:rPr>
          <w:rFonts w:asciiTheme="minorHAnsi" w:eastAsia="Times New Roman" w:hAnsiTheme="minorHAnsi" w:cs="Arial"/>
          <w:color w:val="1F497D"/>
        </w:rPr>
      </w:pPr>
      <w:r w:rsidRPr="001075A8">
        <w:rPr>
          <w:rFonts w:asciiTheme="minorHAnsi" w:hAnsiTheme="minorHAnsi"/>
        </w:rPr>
        <w:t xml:space="preserve"> </w:t>
      </w:r>
      <w:r w:rsidR="005C4C65" w:rsidRPr="001075A8">
        <w:rPr>
          <w:rFonts w:asciiTheme="minorHAnsi" w:hAnsiTheme="minorHAnsi"/>
        </w:rPr>
        <w:br w:type="page"/>
      </w:r>
    </w:p>
    <w:p w:rsidR="00B51749" w:rsidRPr="002D7A10" w:rsidRDefault="00B51749" w:rsidP="00180BC5">
      <w:pPr>
        <w:pStyle w:val="snormalny"/>
        <w:rPr>
          <w:rFonts w:asciiTheme="minorHAnsi" w:hAnsiTheme="minorHAnsi"/>
          <w:sz w:val="24"/>
        </w:rPr>
      </w:pPr>
    </w:p>
    <w:p w:rsidR="00B51749" w:rsidRPr="002D7A10" w:rsidRDefault="00B51749" w:rsidP="00B51749">
      <w:pPr>
        <w:ind w:left="-142"/>
        <w:rPr>
          <w:rFonts w:asciiTheme="minorHAnsi" w:hAnsiTheme="minorHAnsi" w:cs="Cambria"/>
          <w:b/>
        </w:rPr>
      </w:pPr>
    </w:p>
    <w:p w:rsidR="00B51749" w:rsidRPr="002D7A10" w:rsidRDefault="00B51749" w:rsidP="00B51749">
      <w:pPr>
        <w:ind w:left="-142"/>
        <w:rPr>
          <w:rFonts w:asciiTheme="minorHAnsi" w:hAnsiTheme="minorHAnsi" w:cs="Cambria"/>
          <w:b/>
        </w:rPr>
      </w:pPr>
      <w:r w:rsidRPr="002D7A10">
        <w:rPr>
          <w:rFonts w:asciiTheme="minorHAnsi" w:hAnsiTheme="minorHAnsi" w:cs="Cambria"/>
          <w:b/>
        </w:rPr>
        <w:t>Výročná správa o činnosti STU za rok 201</w:t>
      </w:r>
      <w:r w:rsidR="0030340E" w:rsidRPr="002D7A10">
        <w:rPr>
          <w:rFonts w:asciiTheme="minorHAnsi" w:hAnsiTheme="minorHAnsi" w:cs="Cambria"/>
          <w:b/>
        </w:rPr>
        <w:t>5</w:t>
      </w:r>
    </w:p>
    <w:p w:rsidR="00B51749" w:rsidRPr="002D7A10" w:rsidRDefault="00B51749" w:rsidP="00B51749">
      <w:pPr>
        <w:ind w:left="-142"/>
        <w:rPr>
          <w:rFonts w:asciiTheme="minorHAnsi" w:hAnsiTheme="minorHAnsi"/>
          <w:b/>
        </w:rPr>
      </w:pPr>
    </w:p>
    <w:p w:rsidR="00B51749" w:rsidRPr="002D7A10" w:rsidRDefault="00B51749" w:rsidP="00B51749">
      <w:pPr>
        <w:tabs>
          <w:tab w:val="left" w:pos="6244"/>
        </w:tabs>
        <w:rPr>
          <w:rFonts w:asciiTheme="minorHAnsi" w:hAnsiTheme="minorHAnsi"/>
          <w:b/>
          <w:bCs/>
        </w:rPr>
      </w:pPr>
      <w:r w:rsidRPr="002D7A10">
        <w:rPr>
          <w:rFonts w:asciiTheme="minorHAnsi" w:hAnsiTheme="minorHAnsi"/>
          <w:b/>
          <w:bCs/>
        </w:rPr>
        <w:tab/>
      </w:r>
    </w:p>
    <w:p w:rsidR="00B51749" w:rsidRPr="002D7A10" w:rsidRDefault="00B51749" w:rsidP="00B51749">
      <w:pPr>
        <w:rPr>
          <w:rFonts w:asciiTheme="minorHAnsi" w:hAnsiTheme="minorHAnsi"/>
          <w:b/>
          <w:bCs/>
        </w:rPr>
      </w:pPr>
      <w:r w:rsidRPr="002D7A10">
        <w:rPr>
          <w:rFonts w:asciiTheme="minorHAnsi" w:hAnsiTheme="minorHAnsi"/>
          <w:b/>
          <w:bCs/>
        </w:rPr>
        <w:t>Obsah</w:t>
      </w:r>
    </w:p>
    <w:p w:rsidR="00B51749" w:rsidRPr="002D7A10" w:rsidRDefault="00B51749" w:rsidP="00B67D29">
      <w:pPr>
        <w:rPr>
          <w:rFonts w:asciiTheme="minorHAnsi" w:hAnsiTheme="minorHAnsi"/>
          <w:b/>
          <w:bCs/>
          <w:color w:val="FF0000"/>
        </w:rPr>
      </w:pPr>
    </w:p>
    <w:p w:rsidR="00D325D1" w:rsidRDefault="00B51749">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2D7A10">
        <w:rPr>
          <w:rFonts w:asciiTheme="minorHAnsi" w:hAnsiTheme="minorHAnsi"/>
          <w:b/>
          <w:bCs/>
          <w:color w:val="FF0000"/>
        </w:rPr>
        <w:fldChar w:fldCharType="begin"/>
      </w:r>
      <w:r w:rsidRPr="002D7A10">
        <w:rPr>
          <w:rFonts w:asciiTheme="minorHAnsi" w:hAnsiTheme="minorHAnsi"/>
          <w:b/>
          <w:bCs/>
          <w:color w:val="FF0000"/>
        </w:rPr>
        <w:instrText xml:space="preserve"> TOC \o "1-3" \u </w:instrText>
      </w:r>
      <w:r w:rsidRPr="002D7A10">
        <w:rPr>
          <w:rFonts w:asciiTheme="minorHAnsi" w:hAnsiTheme="minorHAnsi"/>
          <w:b/>
          <w:bCs/>
          <w:color w:val="FF0000"/>
        </w:rPr>
        <w:fldChar w:fldCharType="separate"/>
      </w:r>
      <w:r w:rsidR="00D325D1" w:rsidRPr="00455D0E">
        <w:rPr>
          <w:rFonts w:asciiTheme="minorHAnsi" w:hAnsiTheme="minorHAnsi"/>
          <w:noProof/>
          <w:color w:val="auto"/>
        </w:rPr>
        <w:t>1</w:t>
      </w:r>
      <w:r w:rsidR="00D325D1">
        <w:rPr>
          <w:rFonts w:asciiTheme="minorHAnsi" w:eastAsiaTheme="minorEastAsia" w:hAnsiTheme="minorHAnsi" w:cstheme="minorBidi"/>
          <w:noProof/>
          <w:color w:val="auto"/>
          <w:sz w:val="22"/>
          <w:szCs w:val="22"/>
          <w:lang w:eastAsia="sk-SK"/>
        </w:rPr>
        <w:tab/>
      </w:r>
      <w:r w:rsidR="00D325D1" w:rsidRPr="00455D0E">
        <w:rPr>
          <w:rFonts w:asciiTheme="minorHAnsi" w:hAnsiTheme="minorHAnsi"/>
          <w:noProof/>
          <w:color w:val="auto"/>
        </w:rPr>
        <w:t>Základné informácie o vysokej škole</w:t>
      </w:r>
      <w:r w:rsidR="00D325D1">
        <w:rPr>
          <w:noProof/>
        </w:rPr>
        <w:tab/>
      </w:r>
      <w:r w:rsidR="00D325D1">
        <w:rPr>
          <w:noProof/>
        </w:rPr>
        <w:fldChar w:fldCharType="begin"/>
      </w:r>
      <w:r w:rsidR="00D325D1">
        <w:rPr>
          <w:noProof/>
        </w:rPr>
        <w:instrText xml:space="preserve"> PAGEREF _Toc448261544 \h </w:instrText>
      </w:r>
      <w:r w:rsidR="00D325D1">
        <w:rPr>
          <w:noProof/>
        </w:rPr>
      </w:r>
      <w:r w:rsidR="00D325D1">
        <w:rPr>
          <w:noProof/>
        </w:rPr>
        <w:fldChar w:fldCharType="separate"/>
      </w:r>
      <w:r w:rsidR="00D83DDF">
        <w:rPr>
          <w:noProof/>
        </w:rPr>
        <w:t>5</w:t>
      </w:r>
      <w:r w:rsidR="00D325D1">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2</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Prehľad najdôležitejších udalostí</w:t>
      </w:r>
      <w:r>
        <w:rPr>
          <w:noProof/>
        </w:rPr>
        <w:tab/>
      </w:r>
      <w:r>
        <w:rPr>
          <w:noProof/>
        </w:rPr>
        <w:fldChar w:fldCharType="begin"/>
      </w:r>
      <w:r>
        <w:rPr>
          <w:noProof/>
        </w:rPr>
        <w:instrText xml:space="preserve"> PAGEREF _Toc448261545 \h </w:instrText>
      </w:r>
      <w:r>
        <w:rPr>
          <w:noProof/>
        </w:rPr>
      </w:r>
      <w:r>
        <w:rPr>
          <w:noProof/>
        </w:rPr>
        <w:fldChar w:fldCharType="separate"/>
      </w:r>
      <w:r w:rsidR="00D83DDF">
        <w:rPr>
          <w:noProof/>
        </w:rPr>
        <w:t>12</w:t>
      </w:r>
      <w:r>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3</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Informácie o poskytovanom vysokoškolskom vzdelávaní</w:t>
      </w:r>
      <w:r>
        <w:rPr>
          <w:noProof/>
        </w:rPr>
        <w:tab/>
      </w:r>
      <w:r>
        <w:rPr>
          <w:noProof/>
        </w:rPr>
        <w:fldChar w:fldCharType="begin"/>
      </w:r>
      <w:r>
        <w:rPr>
          <w:noProof/>
        </w:rPr>
        <w:instrText xml:space="preserve"> PAGEREF _Toc448261546 \h </w:instrText>
      </w:r>
      <w:r>
        <w:rPr>
          <w:noProof/>
        </w:rPr>
      </w:r>
      <w:r>
        <w:rPr>
          <w:noProof/>
        </w:rPr>
        <w:fldChar w:fldCharType="separate"/>
      </w:r>
      <w:r w:rsidR="00D83DDF">
        <w:rPr>
          <w:noProof/>
        </w:rPr>
        <w:t>15</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3.1</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Študijné programy na STU</w:t>
      </w:r>
      <w:r>
        <w:rPr>
          <w:noProof/>
        </w:rPr>
        <w:tab/>
      </w:r>
      <w:r>
        <w:rPr>
          <w:noProof/>
        </w:rPr>
        <w:fldChar w:fldCharType="begin"/>
      </w:r>
      <w:r>
        <w:rPr>
          <w:noProof/>
        </w:rPr>
        <w:instrText xml:space="preserve"> PAGEREF _Toc448261547 \h </w:instrText>
      </w:r>
      <w:r>
        <w:rPr>
          <w:noProof/>
        </w:rPr>
      </w:r>
      <w:r>
        <w:rPr>
          <w:noProof/>
        </w:rPr>
        <w:fldChar w:fldCharType="separate"/>
      </w:r>
      <w:r w:rsidR="00D83DDF">
        <w:rPr>
          <w:noProof/>
        </w:rPr>
        <w:t>15</w:t>
      </w:r>
      <w:r>
        <w:rPr>
          <w:noProof/>
        </w:rPr>
        <w:fldChar w:fldCharType="end"/>
      </w:r>
    </w:p>
    <w:p w:rsidR="00D325D1" w:rsidRDefault="00D325D1">
      <w:pPr>
        <w:pStyle w:val="Obsah1"/>
        <w:tabs>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cs="Calibri"/>
          <w:noProof/>
        </w:rPr>
        <w:t>V priebehu akademického roku 2014/2015 boli podané dve žiadosti o akreditáciu nových bakalárskych ŠP a štyri  žiadosti o zmenu garanta, prípadne spolugaranta ŠP.</w:t>
      </w:r>
      <w:r>
        <w:rPr>
          <w:noProof/>
        </w:rPr>
        <w:tab/>
      </w:r>
      <w:r>
        <w:rPr>
          <w:noProof/>
        </w:rPr>
        <w:fldChar w:fldCharType="begin"/>
      </w:r>
      <w:r>
        <w:rPr>
          <w:noProof/>
        </w:rPr>
        <w:instrText xml:space="preserve"> PAGEREF _Toc448261548 \h </w:instrText>
      </w:r>
      <w:r>
        <w:rPr>
          <w:noProof/>
        </w:rPr>
      </w:r>
      <w:r>
        <w:rPr>
          <w:noProof/>
        </w:rPr>
        <w:fldChar w:fldCharType="separate"/>
      </w:r>
      <w:r w:rsidR="00D83DDF">
        <w:rPr>
          <w:noProof/>
        </w:rPr>
        <w:t>16</w:t>
      </w:r>
      <w:r>
        <w:rPr>
          <w:noProof/>
        </w:rP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rPr>
        <w:t>3.1.1</w:t>
      </w:r>
      <w:r>
        <w:rPr>
          <w:rFonts w:asciiTheme="minorHAnsi" w:eastAsiaTheme="minorEastAsia" w:hAnsiTheme="minorHAnsi" w:cstheme="minorBidi"/>
          <w:color w:val="auto"/>
          <w:sz w:val="22"/>
          <w:szCs w:val="22"/>
          <w:lang w:eastAsia="sk-SK"/>
        </w:rPr>
        <w:tab/>
      </w:r>
      <w:r w:rsidRPr="00455D0E">
        <w:rPr>
          <w:rFonts w:asciiTheme="minorHAnsi" w:hAnsiTheme="minorHAnsi"/>
        </w:rPr>
        <w:t>Akreditácia študijných programov v rámci komplexnej akreditácie činností STU</w:t>
      </w:r>
      <w:r>
        <w:tab/>
      </w:r>
      <w:r>
        <w:fldChar w:fldCharType="begin"/>
      </w:r>
      <w:r>
        <w:instrText xml:space="preserve"> PAGEREF _Toc448261549 \h </w:instrText>
      </w:r>
      <w:r>
        <w:fldChar w:fldCharType="separate"/>
      </w:r>
      <w:r w:rsidR="00D83DDF">
        <w:t>16</w:t>
      </w:r>
      <w: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3.2</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Počty a štruktúra študentov na STU</w:t>
      </w:r>
      <w:r>
        <w:rPr>
          <w:noProof/>
        </w:rPr>
        <w:tab/>
      </w:r>
      <w:r>
        <w:rPr>
          <w:noProof/>
        </w:rPr>
        <w:fldChar w:fldCharType="begin"/>
      </w:r>
      <w:r>
        <w:rPr>
          <w:noProof/>
        </w:rPr>
        <w:instrText xml:space="preserve"> PAGEREF _Toc448261550 \h </w:instrText>
      </w:r>
      <w:r>
        <w:rPr>
          <w:noProof/>
        </w:rPr>
      </w:r>
      <w:r>
        <w:rPr>
          <w:noProof/>
        </w:rPr>
        <w:fldChar w:fldCharType="separate"/>
      </w:r>
      <w:r w:rsidR="00D83DDF">
        <w:rPr>
          <w:noProof/>
        </w:rPr>
        <w:t>19</w:t>
      </w:r>
      <w:r>
        <w:rPr>
          <w:noProof/>
        </w:rP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3.2.1</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Prvý stupeň štúdia – počet a úbytok študentov</w:t>
      </w:r>
      <w:r>
        <w:tab/>
      </w:r>
      <w:r>
        <w:fldChar w:fldCharType="begin"/>
      </w:r>
      <w:r>
        <w:instrText xml:space="preserve"> PAGEREF _Toc448261551 \h </w:instrText>
      </w:r>
      <w:r>
        <w:fldChar w:fldCharType="separate"/>
      </w:r>
      <w:r w:rsidR="00D83DDF">
        <w:t>23</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3.2.2</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Druhý stupeň štúdia - počet a úbytok študentov</w:t>
      </w:r>
      <w:r>
        <w:tab/>
      </w:r>
      <w:r>
        <w:fldChar w:fldCharType="begin"/>
      </w:r>
      <w:r>
        <w:instrText xml:space="preserve"> PAGEREF _Toc448261552 \h </w:instrText>
      </w:r>
      <w:r>
        <w:fldChar w:fldCharType="separate"/>
      </w:r>
      <w:r w:rsidR="00D83DDF">
        <w:t>23</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3.2.3</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Tretí stupeň štúdia – počet a úbytok študentov</w:t>
      </w:r>
      <w:r>
        <w:tab/>
      </w:r>
      <w:r>
        <w:fldChar w:fldCharType="begin"/>
      </w:r>
      <w:r>
        <w:instrText xml:space="preserve"> PAGEREF _Toc448261553 \h </w:instrText>
      </w:r>
      <w:r>
        <w:fldChar w:fldCharType="separate"/>
      </w:r>
      <w:r w:rsidR="00D83DDF">
        <w:t>24</w:t>
      </w:r>
      <w: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3.3</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Štruktúra študentov z hľadiska krajov SR a zahraniční študenti</w:t>
      </w:r>
      <w:r>
        <w:rPr>
          <w:noProof/>
        </w:rPr>
        <w:tab/>
      </w:r>
      <w:r>
        <w:rPr>
          <w:noProof/>
        </w:rPr>
        <w:fldChar w:fldCharType="begin"/>
      </w:r>
      <w:r>
        <w:rPr>
          <w:noProof/>
        </w:rPr>
        <w:instrText xml:space="preserve"> PAGEREF _Toc448261554 \h </w:instrText>
      </w:r>
      <w:r>
        <w:rPr>
          <w:noProof/>
        </w:rPr>
      </w:r>
      <w:r>
        <w:rPr>
          <w:noProof/>
        </w:rPr>
        <w:fldChar w:fldCharType="separate"/>
      </w:r>
      <w:r w:rsidR="00D83DDF">
        <w:rPr>
          <w:noProof/>
        </w:rPr>
        <w:t>25</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14:scene3d>
            <w14:camera w14:prst="orthographicFront"/>
            <w14:lightRig w14:rig="threePt" w14:dir="t">
              <w14:rot w14:lat="0" w14:lon="0" w14:rev="0"/>
            </w14:lightRig>
          </w14:scene3d>
        </w:rPr>
        <w:t>3.4</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rPr>
        <w:t>Informácie o akademickej mobilite študentov STU</w:t>
      </w:r>
      <w:r>
        <w:rPr>
          <w:noProof/>
        </w:rPr>
        <w:tab/>
      </w:r>
      <w:r>
        <w:rPr>
          <w:noProof/>
        </w:rPr>
        <w:fldChar w:fldCharType="begin"/>
      </w:r>
      <w:r>
        <w:rPr>
          <w:noProof/>
        </w:rPr>
        <w:instrText xml:space="preserve"> PAGEREF _Toc448261555 \h </w:instrText>
      </w:r>
      <w:r>
        <w:rPr>
          <w:noProof/>
        </w:rPr>
      </w:r>
      <w:r>
        <w:rPr>
          <w:noProof/>
        </w:rPr>
        <w:fldChar w:fldCharType="separate"/>
      </w:r>
      <w:r w:rsidR="00D83DDF">
        <w:rPr>
          <w:noProof/>
        </w:rPr>
        <w:t>26</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3.5</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Záujem o štúdium a výsledky prijímacieho konania</w:t>
      </w:r>
      <w:r>
        <w:rPr>
          <w:noProof/>
        </w:rPr>
        <w:tab/>
      </w:r>
      <w:r>
        <w:rPr>
          <w:noProof/>
        </w:rPr>
        <w:fldChar w:fldCharType="begin"/>
      </w:r>
      <w:r>
        <w:rPr>
          <w:noProof/>
        </w:rPr>
        <w:instrText xml:space="preserve"> PAGEREF _Toc448261556 \h </w:instrText>
      </w:r>
      <w:r>
        <w:rPr>
          <w:noProof/>
        </w:rPr>
      </w:r>
      <w:r>
        <w:rPr>
          <w:noProof/>
        </w:rPr>
        <w:fldChar w:fldCharType="separate"/>
      </w:r>
      <w:r w:rsidR="00D83DDF">
        <w:rPr>
          <w:noProof/>
        </w:rPr>
        <w:t>30</w:t>
      </w:r>
      <w:r>
        <w:rPr>
          <w:noProof/>
        </w:rP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3.5.1</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Prijímacie konanie na prvý stupeň štúdia</w:t>
      </w:r>
      <w:r>
        <w:tab/>
      </w:r>
      <w:r>
        <w:fldChar w:fldCharType="begin"/>
      </w:r>
      <w:r>
        <w:instrText xml:space="preserve"> PAGEREF _Toc448261557 \h </w:instrText>
      </w:r>
      <w:r>
        <w:fldChar w:fldCharType="separate"/>
      </w:r>
      <w:r w:rsidR="00D83DDF">
        <w:t>31</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3.5.2</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Prijímacie konanie na druhý stupeň štúdia</w:t>
      </w:r>
      <w:r>
        <w:tab/>
      </w:r>
      <w:r>
        <w:fldChar w:fldCharType="begin"/>
      </w:r>
      <w:r>
        <w:instrText xml:space="preserve"> PAGEREF _Toc448261558 \h </w:instrText>
      </w:r>
      <w:r>
        <w:fldChar w:fldCharType="separate"/>
      </w:r>
      <w:r w:rsidR="00D83DDF">
        <w:t>33</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3.5.3</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Prijímacie konanie na tretí stupeň štúdia</w:t>
      </w:r>
      <w:r>
        <w:tab/>
      </w:r>
      <w:r>
        <w:fldChar w:fldCharType="begin"/>
      </w:r>
      <w:r>
        <w:instrText xml:space="preserve"> PAGEREF _Toc448261559 \h </w:instrText>
      </w:r>
      <w:r>
        <w:fldChar w:fldCharType="separate"/>
      </w:r>
      <w:r w:rsidR="00D83DDF">
        <w:t>34</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3.5.4</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Preskúmanie rozhodnutí o neprijatí na štúdium</w:t>
      </w:r>
      <w:r>
        <w:tab/>
      </w:r>
      <w:r>
        <w:fldChar w:fldCharType="begin"/>
      </w:r>
      <w:r>
        <w:instrText xml:space="preserve"> PAGEREF _Toc448261560 \h </w:instrText>
      </w:r>
      <w:r>
        <w:fldChar w:fldCharType="separate"/>
      </w:r>
      <w:r w:rsidR="00D83DDF">
        <w:t>36</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3.5.5</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Vyhodnotenie prijímacieho konania na STU na akademický rok 2014/2015</w:t>
      </w:r>
      <w:r>
        <w:tab/>
      </w:r>
      <w:r>
        <w:fldChar w:fldCharType="begin"/>
      </w:r>
      <w:r>
        <w:instrText xml:space="preserve"> PAGEREF _Toc448261561 \h </w:instrText>
      </w:r>
      <w:r>
        <w:fldChar w:fldCharType="separate"/>
      </w:r>
      <w:r w:rsidR="00D83DDF">
        <w:t>37</w:t>
      </w:r>
      <w: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3.6</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Údaje o absolventoch vysokoškolského štúdia</w:t>
      </w:r>
      <w:r>
        <w:rPr>
          <w:noProof/>
        </w:rPr>
        <w:tab/>
      </w:r>
      <w:r>
        <w:rPr>
          <w:noProof/>
        </w:rPr>
        <w:fldChar w:fldCharType="begin"/>
      </w:r>
      <w:r>
        <w:rPr>
          <w:noProof/>
        </w:rPr>
        <w:instrText xml:space="preserve"> PAGEREF _Toc448261562 \h </w:instrText>
      </w:r>
      <w:r>
        <w:rPr>
          <w:noProof/>
        </w:rPr>
      </w:r>
      <w:r>
        <w:rPr>
          <w:noProof/>
        </w:rPr>
        <w:fldChar w:fldCharType="separate"/>
      </w:r>
      <w:r w:rsidR="00D83DDF">
        <w:rPr>
          <w:noProof/>
        </w:rPr>
        <w:t>38</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3.7</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Prehľad úspechov študentov na národnej a medzinárodnej úrovni</w:t>
      </w:r>
      <w:r>
        <w:rPr>
          <w:noProof/>
        </w:rPr>
        <w:tab/>
      </w:r>
      <w:r>
        <w:rPr>
          <w:noProof/>
        </w:rPr>
        <w:fldChar w:fldCharType="begin"/>
      </w:r>
      <w:r>
        <w:rPr>
          <w:noProof/>
        </w:rPr>
        <w:instrText xml:space="preserve"> PAGEREF _Toc448261563 \h </w:instrText>
      </w:r>
      <w:r>
        <w:rPr>
          <w:noProof/>
        </w:rPr>
      </w:r>
      <w:r>
        <w:rPr>
          <w:noProof/>
        </w:rPr>
        <w:fldChar w:fldCharType="separate"/>
      </w:r>
      <w:r w:rsidR="00D83DDF">
        <w:rPr>
          <w:noProof/>
        </w:rPr>
        <w:t>40</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3.8</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Prehľad ocenení študentov v rámci STU</w:t>
      </w:r>
      <w:r>
        <w:rPr>
          <w:noProof/>
        </w:rPr>
        <w:tab/>
      </w:r>
      <w:r>
        <w:rPr>
          <w:noProof/>
        </w:rPr>
        <w:fldChar w:fldCharType="begin"/>
      </w:r>
      <w:r>
        <w:rPr>
          <w:noProof/>
        </w:rPr>
        <w:instrText xml:space="preserve"> PAGEREF _Toc448261564 \h </w:instrText>
      </w:r>
      <w:r>
        <w:rPr>
          <w:noProof/>
        </w:rPr>
      </w:r>
      <w:r>
        <w:rPr>
          <w:noProof/>
        </w:rPr>
        <w:fldChar w:fldCharType="separate"/>
      </w:r>
      <w:r w:rsidR="00D83DDF">
        <w:rPr>
          <w:noProof/>
        </w:rPr>
        <w:t>42</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3.9</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shd w:val="clear" w:color="auto" w:fill="FFFFFF"/>
        </w:rPr>
        <w:t>Študentská vedecká odborná činnosť na STU</w:t>
      </w:r>
      <w:r>
        <w:rPr>
          <w:noProof/>
        </w:rPr>
        <w:tab/>
      </w:r>
      <w:r>
        <w:rPr>
          <w:noProof/>
        </w:rPr>
        <w:fldChar w:fldCharType="begin"/>
      </w:r>
      <w:r>
        <w:rPr>
          <w:noProof/>
        </w:rPr>
        <w:instrText xml:space="preserve"> PAGEREF _Toc448261565 \h </w:instrText>
      </w:r>
      <w:r>
        <w:rPr>
          <w:noProof/>
        </w:rPr>
      </w:r>
      <w:r>
        <w:rPr>
          <w:noProof/>
        </w:rPr>
        <w:fldChar w:fldCharType="separate"/>
      </w:r>
      <w:r w:rsidR="00D83DDF">
        <w:rPr>
          <w:noProof/>
        </w:rPr>
        <w:t>43</w:t>
      </w:r>
      <w:r>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rPr>
        <w:t>4</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shd w:val="clear" w:color="auto" w:fill="FFFFFF"/>
        </w:rPr>
        <w:t>Informácie o poskytovaní ďalšieho vzdelávania</w:t>
      </w:r>
      <w:r>
        <w:rPr>
          <w:noProof/>
        </w:rPr>
        <w:tab/>
      </w:r>
      <w:r>
        <w:rPr>
          <w:noProof/>
        </w:rPr>
        <w:fldChar w:fldCharType="begin"/>
      </w:r>
      <w:r>
        <w:rPr>
          <w:noProof/>
        </w:rPr>
        <w:instrText xml:space="preserve"> PAGEREF _Toc448261566 \h </w:instrText>
      </w:r>
      <w:r>
        <w:rPr>
          <w:noProof/>
        </w:rPr>
      </w:r>
      <w:r>
        <w:rPr>
          <w:noProof/>
        </w:rPr>
        <w:fldChar w:fldCharType="separate"/>
      </w:r>
      <w:r w:rsidR="00D83DDF">
        <w:rPr>
          <w:noProof/>
        </w:rPr>
        <w:t>45</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4.1</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Ďalšie vzdelávanie na fakultách a ústavoch STU</w:t>
      </w:r>
      <w:r>
        <w:rPr>
          <w:noProof/>
        </w:rPr>
        <w:tab/>
      </w:r>
      <w:r>
        <w:rPr>
          <w:noProof/>
        </w:rPr>
        <w:fldChar w:fldCharType="begin"/>
      </w:r>
      <w:r>
        <w:rPr>
          <w:noProof/>
        </w:rPr>
        <w:instrText xml:space="preserve"> PAGEREF _Toc448261567 \h </w:instrText>
      </w:r>
      <w:r>
        <w:rPr>
          <w:noProof/>
        </w:rPr>
      </w:r>
      <w:r>
        <w:rPr>
          <w:noProof/>
        </w:rPr>
        <w:fldChar w:fldCharType="separate"/>
      </w:r>
      <w:r w:rsidR="00D83DDF">
        <w:rPr>
          <w:noProof/>
        </w:rPr>
        <w:t>46</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4.2</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Aktivity Inštitútu celoživotného vzdelávania na STU</w:t>
      </w:r>
      <w:r>
        <w:rPr>
          <w:noProof/>
        </w:rPr>
        <w:tab/>
      </w:r>
      <w:r>
        <w:rPr>
          <w:noProof/>
        </w:rPr>
        <w:fldChar w:fldCharType="begin"/>
      </w:r>
      <w:r>
        <w:rPr>
          <w:noProof/>
        </w:rPr>
        <w:instrText xml:space="preserve"> PAGEREF _Toc448261568 \h </w:instrText>
      </w:r>
      <w:r>
        <w:rPr>
          <w:noProof/>
        </w:rPr>
      </w:r>
      <w:r>
        <w:rPr>
          <w:noProof/>
        </w:rPr>
        <w:fldChar w:fldCharType="separate"/>
      </w:r>
      <w:r w:rsidR="00D83DDF">
        <w:rPr>
          <w:noProof/>
        </w:rPr>
        <w:t>47</w:t>
      </w:r>
      <w:r>
        <w:rPr>
          <w:noProof/>
        </w:rP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rPr>
        <w:t>Tab. 3.33: Univerzita tretieho veku</w:t>
      </w:r>
      <w:r>
        <w:tab/>
      </w:r>
      <w:r>
        <w:fldChar w:fldCharType="begin"/>
      </w:r>
      <w:r>
        <w:instrText xml:space="preserve"> PAGEREF _Toc448261569 \h </w:instrText>
      </w:r>
      <w:r>
        <w:fldChar w:fldCharType="separate"/>
      </w:r>
      <w:r w:rsidR="00D83DDF">
        <w:t>48</w:t>
      </w:r>
      <w: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5</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Informácie o výskumnej, umeleckej a ďalšej tvorivej činnosti STU</w:t>
      </w:r>
      <w:r>
        <w:rPr>
          <w:noProof/>
        </w:rPr>
        <w:tab/>
      </w:r>
      <w:r>
        <w:rPr>
          <w:noProof/>
        </w:rPr>
        <w:fldChar w:fldCharType="begin"/>
      </w:r>
      <w:r>
        <w:rPr>
          <w:noProof/>
        </w:rPr>
        <w:instrText xml:space="preserve"> PAGEREF _Toc448261570 \h </w:instrText>
      </w:r>
      <w:r>
        <w:rPr>
          <w:noProof/>
        </w:rPr>
      </w:r>
      <w:r>
        <w:rPr>
          <w:noProof/>
        </w:rPr>
        <w:fldChar w:fldCharType="separate"/>
      </w:r>
      <w:r w:rsidR="00D83DDF">
        <w:rPr>
          <w:noProof/>
        </w:rPr>
        <w:t>50</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5.1</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Východiská a vedecko-výskumná výkonnosť STU</w:t>
      </w:r>
      <w:r>
        <w:rPr>
          <w:noProof/>
        </w:rPr>
        <w:tab/>
      </w:r>
      <w:r>
        <w:rPr>
          <w:noProof/>
        </w:rPr>
        <w:fldChar w:fldCharType="begin"/>
      </w:r>
      <w:r>
        <w:rPr>
          <w:noProof/>
        </w:rPr>
        <w:instrText xml:space="preserve"> PAGEREF _Toc448261571 \h </w:instrText>
      </w:r>
      <w:r>
        <w:rPr>
          <w:noProof/>
        </w:rPr>
      </w:r>
      <w:r>
        <w:rPr>
          <w:noProof/>
        </w:rPr>
        <w:fldChar w:fldCharType="separate"/>
      </w:r>
      <w:r w:rsidR="00D83DDF">
        <w:rPr>
          <w:noProof/>
        </w:rPr>
        <w:t>51</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5.2</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Financovanie výskumných aktivít na STU</w:t>
      </w:r>
      <w:r>
        <w:rPr>
          <w:noProof/>
        </w:rPr>
        <w:tab/>
      </w:r>
      <w:r>
        <w:rPr>
          <w:noProof/>
        </w:rPr>
        <w:fldChar w:fldCharType="begin"/>
      </w:r>
      <w:r>
        <w:rPr>
          <w:noProof/>
        </w:rPr>
        <w:instrText xml:space="preserve"> PAGEREF _Toc448261572 \h </w:instrText>
      </w:r>
      <w:r>
        <w:rPr>
          <w:noProof/>
        </w:rPr>
      </w:r>
      <w:r>
        <w:rPr>
          <w:noProof/>
        </w:rPr>
        <w:fldChar w:fldCharType="separate"/>
      </w:r>
      <w:r w:rsidR="00D83DDF">
        <w:rPr>
          <w:noProof/>
        </w:rPr>
        <w:t>56</w:t>
      </w:r>
      <w:r>
        <w:rPr>
          <w:noProof/>
        </w:rP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5.2.1</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Domáce a zahraničné granty</w:t>
      </w:r>
      <w:r>
        <w:tab/>
      </w:r>
      <w:r>
        <w:fldChar w:fldCharType="begin"/>
      </w:r>
      <w:r>
        <w:instrText xml:space="preserve"> PAGEREF _Toc448261573 \h </w:instrText>
      </w:r>
      <w:r>
        <w:fldChar w:fldCharType="separate"/>
      </w:r>
      <w:r w:rsidR="00D83DDF">
        <w:t>58</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lastRenderedPageBreak/>
        <w:t>5.2.2</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Publikačná aktivita STU</w:t>
      </w:r>
      <w:r>
        <w:tab/>
      </w:r>
      <w:r>
        <w:fldChar w:fldCharType="begin"/>
      </w:r>
      <w:r>
        <w:instrText xml:space="preserve"> PAGEREF _Toc448261574 \h </w:instrText>
      </w:r>
      <w:r>
        <w:fldChar w:fldCharType="separate"/>
      </w:r>
      <w:r w:rsidR="00D83DDF">
        <w:t>62</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rPr>
        <w:t>5.2.3</w:t>
      </w:r>
      <w:r>
        <w:rPr>
          <w:rFonts w:asciiTheme="minorHAnsi" w:eastAsiaTheme="minorEastAsia" w:hAnsiTheme="minorHAnsi" w:cstheme="minorBidi"/>
          <w:color w:val="auto"/>
          <w:sz w:val="22"/>
          <w:szCs w:val="22"/>
          <w:lang w:eastAsia="sk-SK"/>
        </w:rPr>
        <w:tab/>
      </w:r>
      <w:r w:rsidRPr="00455D0E">
        <w:rPr>
          <w:rFonts w:asciiTheme="minorHAnsi" w:hAnsiTheme="minorHAnsi"/>
        </w:rPr>
        <w:t>Finančné prostriedky z projektov v rámci podnikateľskej činnosti</w:t>
      </w:r>
      <w:r>
        <w:tab/>
      </w:r>
      <w:r>
        <w:fldChar w:fldCharType="begin"/>
      </w:r>
      <w:r>
        <w:instrText xml:space="preserve"> PAGEREF _Toc448261575 \h </w:instrText>
      </w:r>
      <w:r>
        <w:fldChar w:fldCharType="separate"/>
      </w:r>
      <w:r w:rsidR="00D83DDF">
        <w:t>63</w:t>
      </w:r>
      <w: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5.3</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Motivačné aktivity STU na podporu vedy a výskumu</w:t>
      </w:r>
      <w:r>
        <w:rPr>
          <w:noProof/>
        </w:rPr>
        <w:tab/>
      </w:r>
      <w:r>
        <w:rPr>
          <w:noProof/>
        </w:rPr>
        <w:fldChar w:fldCharType="begin"/>
      </w:r>
      <w:r>
        <w:rPr>
          <w:noProof/>
        </w:rPr>
        <w:instrText xml:space="preserve"> PAGEREF _Toc448261576 \h </w:instrText>
      </w:r>
      <w:r>
        <w:rPr>
          <w:noProof/>
        </w:rPr>
      </w:r>
      <w:r>
        <w:rPr>
          <w:noProof/>
        </w:rPr>
        <w:fldChar w:fldCharType="separate"/>
      </w:r>
      <w:r w:rsidR="00D83DDF">
        <w:rPr>
          <w:noProof/>
        </w:rPr>
        <w:t>64</w:t>
      </w:r>
      <w:r>
        <w:rPr>
          <w:noProof/>
        </w:rP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5.3.1</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Projekty na podporu mladých výskumných pracovníkov</w:t>
      </w:r>
      <w:r>
        <w:tab/>
      </w:r>
      <w:r>
        <w:fldChar w:fldCharType="begin"/>
      </w:r>
      <w:r>
        <w:instrText xml:space="preserve"> PAGEREF _Toc448261577 \h </w:instrText>
      </w:r>
      <w:r>
        <w:fldChar w:fldCharType="separate"/>
      </w:r>
      <w:r w:rsidR="00D83DDF">
        <w:t>64</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5.3.2</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Ocenenie Vedec roka STU</w:t>
      </w:r>
      <w:r>
        <w:tab/>
      </w:r>
      <w:r>
        <w:fldChar w:fldCharType="begin"/>
      </w:r>
      <w:r>
        <w:instrText xml:space="preserve"> PAGEREF _Toc448261578 \h </w:instrText>
      </w:r>
      <w:r>
        <w:fldChar w:fldCharType="separate"/>
      </w:r>
      <w:r w:rsidR="00D83DDF">
        <w:t>65</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5.3.3</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Výzva o najlepšiu publikáciu</w:t>
      </w:r>
      <w:r>
        <w:tab/>
      </w:r>
      <w:r>
        <w:fldChar w:fldCharType="begin"/>
      </w:r>
      <w:r>
        <w:instrText xml:space="preserve"> PAGEREF _Toc448261579 \h </w:instrText>
      </w:r>
      <w:r>
        <w:fldChar w:fldCharType="separate"/>
      </w:r>
      <w:r w:rsidR="00D83DDF">
        <w:t>66</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rPr>
        <w:t>5.3.4</w:t>
      </w:r>
      <w:r>
        <w:rPr>
          <w:rFonts w:asciiTheme="minorHAnsi" w:eastAsiaTheme="minorEastAsia" w:hAnsiTheme="minorHAnsi" w:cstheme="minorBidi"/>
          <w:color w:val="auto"/>
          <w:sz w:val="22"/>
          <w:szCs w:val="22"/>
          <w:lang w:eastAsia="sk-SK"/>
        </w:rPr>
        <w:tab/>
      </w:r>
      <w:r w:rsidRPr="00455D0E">
        <w:rPr>
          <w:rFonts w:asciiTheme="minorHAnsi" w:hAnsiTheme="minorHAnsi"/>
        </w:rPr>
        <w:t>Postdoktorandské pracovné miesta</w:t>
      </w:r>
      <w:r>
        <w:tab/>
      </w:r>
      <w:r>
        <w:fldChar w:fldCharType="begin"/>
      </w:r>
      <w:r>
        <w:instrText xml:space="preserve"> PAGEREF _Toc448261580 \h </w:instrText>
      </w:r>
      <w:r>
        <w:fldChar w:fldCharType="separate"/>
      </w:r>
      <w:r w:rsidR="00D83DDF">
        <w:t>67</w:t>
      </w:r>
      <w: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5.4</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Ochrana duševného vlastníctva a zabezpečenie využitia výsledkov výskumu v praxi</w:t>
      </w:r>
      <w:r>
        <w:rPr>
          <w:noProof/>
        </w:rPr>
        <w:tab/>
      </w:r>
      <w:r>
        <w:rPr>
          <w:noProof/>
        </w:rPr>
        <w:fldChar w:fldCharType="begin"/>
      </w:r>
      <w:r>
        <w:rPr>
          <w:noProof/>
        </w:rPr>
        <w:instrText xml:space="preserve"> PAGEREF _Toc448261581 \h </w:instrText>
      </w:r>
      <w:r>
        <w:rPr>
          <w:noProof/>
        </w:rPr>
      </w:r>
      <w:r>
        <w:rPr>
          <w:noProof/>
        </w:rPr>
        <w:fldChar w:fldCharType="separate"/>
      </w:r>
      <w:r w:rsidR="00D83DDF">
        <w:rPr>
          <w:noProof/>
        </w:rPr>
        <w:t>68</w:t>
      </w:r>
      <w:r>
        <w:rPr>
          <w:noProof/>
        </w:rP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5.4.1</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Kancelária spolupráce sa praxou</w:t>
      </w:r>
      <w:r>
        <w:tab/>
      </w:r>
      <w:r>
        <w:fldChar w:fldCharType="begin"/>
      </w:r>
      <w:r>
        <w:instrText xml:space="preserve"> PAGEREF _Toc448261582 \h </w:instrText>
      </w:r>
      <w:r>
        <w:fldChar w:fldCharType="separate"/>
      </w:r>
      <w:r w:rsidR="00D83DDF">
        <w:t>68</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rPr>
        <w:t>5.4.2</w:t>
      </w:r>
      <w:r>
        <w:rPr>
          <w:rFonts w:asciiTheme="minorHAnsi" w:eastAsiaTheme="minorEastAsia" w:hAnsiTheme="minorHAnsi" w:cstheme="minorBidi"/>
          <w:color w:val="auto"/>
          <w:sz w:val="22"/>
          <w:szCs w:val="22"/>
          <w:lang w:eastAsia="sk-SK"/>
        </w:rPr>
        <w:tab/>
      </w:r>
      <w:r w:rsidRPr="00455D0E">
        <w:rPr>
          <w:rFonts w:asciiTheme="minorHAnsi" w:hAnsiTheme="minorHAnsi"/>
        </w:rPr>
        <w:t>Univerzitný technologický inkubátor</w:t>
      </w:r>
      <w:r>
        <w:tab/>
      </w:r>
      <w:r>
        <w:fldChar w:fldCharType="begin"/>
      </w:r>
      <w:r>
        <w:instrText xml:space="preserve"> PAGEREF _Toc448261583 \h </w:instrText>
      </w:r>
      <w:r>
        <w:fldChar w:fldCharType="separate"/>
      </w:r>
      <w:r w:rsidR="00D83DDF">
        <w:t>70</w:t>
      </w:r>
      <w: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color w:val="auto"/>
        </w:rPr>
        <w:t>5.4.3</w:t>
      </w:r>
      <w:r>
        <w:rPr>
          <w:rFonts w:asciiTheme="minorHAnsi" w:eastAsiaTheme="minorEastAsia" w:hAnsiTheme="minorHAnsi" w:cstheme="minorBidi"/>
          <w:color w:val="auto"/>
          <w:sz w:val="22"/>
          <w:szCs w:val="22"/>
          <w:lang w:eastAsia="sk-SK"/>
        </w:rPr>
        <w:tab/>
      </w:r>
      <w:r w:rsidRPr="00455D0E">
        <w:rPr>
          <w:rFonts w:asciiTheme="minorHAnsi" w:hAnsiTheme="minorHAnsi"/>
          <w:color w:val="auto"/>
        </w:rPr>
        <w:t>STU Scientific</w:t>
      </w:r>
      <w:r>
        <w:tab/>
      </w:r>
      <w:r>
        <w:fldChar w:fldCharType="begin"/>
      </w:r>
      <w:r>
        <w:instrText xml:space="preserve"> PAGEREF _Toc448261584 \h </w:instrText>
      </w:r>
      <w:r>
        <w:fldChar w:fldCharType="separate"/>
      </w:r>
      <w:r w:rsidR="00D83DDF">
        <w:t>71</w:t>
      </w:r>
      <w: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5.5</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Podporné služby výskumu</w:t>
      </w:r>
      <w:r>
        <w:rPr>
          <w:noProof/>
        </w:rPr>
        <w:tab/>
      </w:r>
      <w:r>
        <w:rPr>
          <w:noProof/>
        </w:rPr>
        <w:fldChar w:fldCharType="begin"/>
      </w:r>
      <w:r>
        <w:rPr>
          <w:noProof/>
        </w:rPr>
        <w:instrText xml:space="preserve"> PAGEREF _Toc448261585 \h </w:instrText>
      </w:r>
      <w:r>
        <w:rPr>
          <w:noProof/>
        </w:rPr>
      </w:r>
      <w:r>
        <w:rPr>
          <w:noProof/>
        </w:rPr>
        <w:fldChar w:fldCharType="separate"/>
      </w:r>
      <w:r w:rsidR="00D83DDF">
        <w:rPr>
          <w:noProof/>
        </w:rPr>
        <w:t>72</w:t>
      </w:r>
      <w:r>
        <w:rPr>
          <w:noProof/>
        </w:rPr>
        <w:fldChar w:fldCharType="end"/>
      </w:r>
    </w:p>
    <w:p w:rsidR="00D325D1" w:rsidRDefault="00D325D1">
      <w:pPr>
        <w:pStyle w:val="Obsah3"/>
        <w:rPr>
          <w:rFonts w:asciiTheme="minorHAnsi" w:eastAsiaTheme="minorEastAsia" w:hAnsiTheme="minorHAnsi" w:cstheme="minorBidi"/>
          <w:color w:val="auto"/>
          <w:sz w:val="22"/>
          <w:szCs w:val="22"/>
          <w:lang w:eastAsia="sk-SK"/>
        </w:rPr>
      </w:pPr>
      <w:r w:rsidRPr="00455D0E">
        <w:rPr>
          <w:rFonts w:asciiTheme="minorHAnsi" w:hAnsiTheme="minorHAnsi"/>
        </w:rPr>
        <w:t>5.5.1</w:t>
      </w:r>
      <w:r>
        <w:rPr>
          <w:rFonts w:asciiTheme="minorHAnsi" w:eastAsiaTheme="minorEastAsia" w:hAnsiTheme="minorHAnsi" w:cstheme="minorBidi"/>
          <w:color w:val="auto"/>
          <w:sz w:val="22"/>
          <w:szCs w:val="22"/>
          <w:lang w:eastAsia="sk-SK"/>
        </w:rPr>
        <w:tab/>
      </w:r>
      <w:r w:rsidRPr="00455D0E">
        <w:rPr>
          <w:rFonts w:asciiTheme="minorHAnsi" w:hAnsiTheme="minorHAnsi"/>
        </w:rPr>
        <w:t>Univerzitná knižnica STU</w:t>
      </w:r>
      <w:r>
        <w:tab/>
      </w:r>
      <w:r>
        <w:fldChar w:fldCharType="begin"/>
      </w:r>
      <w:r>
        <w:instrText xml:space="preserve"> PAGEREF _Toc448261586 \h </w:instrText>
      </w:r>
      <w:r>
        <w:fldChar w:fldCharType="separate"/>
      </w:r>
      <w:r w:rsidR="00D83DDF">
        <w:t>72</w:t>
      </w:r>
      <w: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5.6</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Výskumná činnosť nepodporovaná z grantov</w:t>
      </w:r>
      <w:r>
        <w:rPr>
          <w:noProof/>
        </w:rPr>
        <w:tab/>
      </w:r>
      <w:r>
        <w:rPr>
          <w:noProof/>
        </w:rPr>
        <w:fldChar w:fldCharType="begin"/>
      </w:r>
      <w:r>
        <w:rPr>
          <w:noProof/>
        </w:rPr>
        <w:instrText xml:space="preserve"> PAGEREF _Toc448261587 \h </w:instrText>
      </w:r>
      <w:r>
        <w:rPr>
          <w:noProof/>
        </w:rPr>
      </w:r>
      <w:r>
        <w:rPr>
          <w:noProof/>
        </w:rPr>
        <w:fldChar w:fldCharType="separate"/>
      </w:r>
      <w:r w:rsidR="00D83DDF">
        <w:rPr>
          <w:noProof/>
        </w:rPr>
        <w:t>73</w:t>
      </w:r>
      <w:r>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6</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Habilitačné konania a konania na vymenúvanie profesorov</w:t>
      </w:r>
      <w:r>
        <w:rPr>
          <w:noProof/>
        </w:rPr>
        <w:tab/>
      </w:r>
      <w:r>
        <w:rPr>
          <w:noProof/>
        </w:rPr>
        <w:fldChar w:fldCharType="begin"/>
      </w:r>
      <w:r>
        <w:rPr>
          <w:noProof/>
        </w:rPr>
        <w:instrText xml:space="preserve"> PAGEREF _Toc448261588 \h </w:instrText>
      </w:r>
      <w:r>
        <w:rPr>
          <w:noProof/>
        </w:rPr>
      </w:r>
      <w:r>
        <w:rPr>
          <w:noProof/>
        </w:rPr>
        <w:fldChar w:fldCharType="separate"/>
      </w:r>
      <w:r w:rsidR="00D83DDF">
        <w:rPr>
          <w:noProof/>
        </w:rPr>
        <w:t>74</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14:scene3d>
            <w14:camera w14:prst="orthographicFront"/>
            <w14:lightRig w14:rig="threePt" w14:dir="t">
              <w14:rot w14:lat="0" w14:lon="0" w14:rev="0"/>
            </w14:lightRig>
          </w14:scene3d>
        </w:rPr>
        <w:t>6.1</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rPr>
        <w:t>Ocenenia na STU</w:t>
      </w:r>
      <w:r>
        <w:rPr>
          <w:noProof/>
        </w:rPr>
        <w:tab/>
      </w:r>
      <w:r>
        <w:rPr>
          <w:noProof/>
        </w:rPr>
        <w:fldChar w:fldCharType="begin"/>
      </w:r>
      <w:r>
        <w:rPr>
          <w:noProof/>
        </w:rPr>
        <w:instrText xml:space="preserve"> PAGEREF _Toc448261589 \h </w:instrText>
      </w:r>
      <w:r>
        <w:rPr>
          <w:noProof/>
        </w:rPr>
      </w:r>
      <w:r>
        <w:rPr>
          <w:noProof/>
        </w:rPr>
        <w:fldChar w:fldCharType="separate"/>
      </w:r>
      <w:r w:rsidR="00D83DDF">
        <w:rPr>
          <w:noProof/>
        </w:rPr>
        <w:t>76</w:t>
      </w:r>
      <w:r>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7</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Zamestnanci vysokej školy</w:t>
      </w:r>
      <w:r>
        <w:rPr>
          <w:noProof/>
        </w:rPr>
        <w:tab/>
      </w:r>
      <w:r>
        <w:rPr>
          <w:noProof/>
        </w:rPr>
        <w:fldChar w:fldCharType="begin"/>
      </w:r>
      <w:r>
        <w:rPr>
          <w:noProof/>
        </w:rPr>
        <w:instrText xml:space="preserve"> PAGEREF _Toc448261590 \h </w:instrText>
      </w:r>
      <w:r>
        <w:rPr>
          <w:noProof/>
        </w:rPr>
      </w:r>
      <w:r>
        <w:rPr>
          <w:noProof/>
        </w:rPr>
        <w:fldChar w:fldCharType="separate"/>
      </w:r>
      <w:r w:rsidR="00D83DDF">
        <w:rPr>
          <w:noProof/>
        </w:rPr>
        <w:t>77</w:t>
      </w:r>
      <w:r>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8</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Podpora študentov</w:t>
      </w:r>
      <w:r>
        <w:rPr>
          <w:noProof/>
        </w:rPr>
        <w:tab/>
      </w:r>
      <w:r>
        <w:rPr>
          <w:noProof/>
        </w:rPr>
        <w:fldChar w:fldCharType="begin"/>
      </w:r>
      <w:r>
        <w:rPr>
          <w:noProof/>
        </w:rPr>
        <w:instrText xml:space="preserve"> PAGEREF _Toc448261591 \h </w:instrText>
      </w:r>
      <w:r>
        <w:rPr>
          <w:noProof/>
        </w:rPr>
      </w:r>
      <w:r>
        <w:rPr>
          <w:noProof/>
        </w:rPr>
        <w:fldChar w:fldCharType="separate"/>
      </w:r>
      <w:r w:rsidR="00D83DDF">
        <w:rPr>
          <w:noProof/>
        </w:rPr>
        <w:t>79</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8.1</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shd w:val="clear" w:color="auto" w:fill="FFFFFF"/>
        </w:rPr>
        <w:t>Sociálne štipendiá</w:t>
      </w:r>
      <w:r>
        <w:rPr>
          <w:noProof/>
        </w:rPr>
        <w:tab/>
      </w:r>
      <w:r>
        <w:rPr>
          <w:noProof/>
        </w:rPr>
        <w:fldChar w:fldCharType="begin"/>
      </w:r>
      <w:r>
        <w:rPr>
          <w:noProof/>
        </w:rPr>
        <w:instrText xml:space="preserve"> PAGEREF _Toc448261592 \h </w:instrText>
      </w:r>
      <w:r>
        <w:rPr>
          <w:noProof/>
        </w:rPr>
      </w:r>
      <w:r>
        <w:rPr>
          <w:noProof/>
        </w:rPr>
        <w:fldChar w:fldCharType="separate"/>
      </w:r>
      <w:r w:rsidR="00D83DDF">
        <w:rPr>
          <w:noProof/>
        </w:rPr>
        <w:t>79</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8.2</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shd w:val="clear" w:color="auto" w:fill="FFFFFF"/>
        </w:rPr>
        <w:t>Motivačné štipendiá</w:t>
      </w:r>
      <w:r>
        <w:rPr>
          <w:noProof/>
        </w:rPr>
        <w:tab/>
      </w:r>
      <w:r>
        <w:rPr>
          <w:noProof/>
        </w:rPr>
        <w:fldChar w:fldCharType="begin"/>
      </w:r>
      <w:r>
        <w:rPr>
          <w:noProof/>
        </w:rPr>
        <w:instrText xml:space="preserve"> PAGEREF _Toc448261593 \h </w:instrText>
      </w:r>
      <w:r>
        <w:rPr>
          <w:noProof/>
        </w:rPr>
      </w:r>
      <w:r>
        <w:rPr>
          <w:noProof/>
        </w:rPr>
        <w:fldChar w:fldCharType="separate"/>
      </w:r>
      <w:r w:rsidR="00D83DDF">
        <w:rPr>
          <w:noProof/>
        </w:rPr>
        <w:t>79</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8.3</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shd w:val="clear" w:color="auto" w:fill="FFFFFF"/>
        </w:rPr>
        <w:t>Pôžičky</w:t>
      </w:r>
      <w:r>
        <w:rPr>
          <w:noProof/>
        </w:rPr>
        <w:tab/>
      </w:r>
      <w:r>
        <w:rPr>
          <w:noProof/>
        </w:rPr>
        <w:fldChar w:fldCharType="begin"/>
      </w:r>
      <w:r>
        <w:rPr>
          <w:noProof/>
        </w:rPr>
        <w:instrText xml:space="preserve"> PAGEREF _Toc448261594 \h </w:instrText>
      </w:r>
      <w:r>
        <w:rPr>
          <w:noProof/>
        </w:rPr>
      </w:r>
      <w:r>
        <w:rPr>
          <w:noProof/>
        </w:rPr>
        <w:fldChar w:fldCharType="separate"/>
      </w:r>
      <w:r w:rsidR="00D83DDF">
        <w:rPr>
          <w:noProof/>
        </w:rPr>
        <w:t>82</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8.4</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shd w:val="clear" w:color="auto" w:fill="FFFFFF"/>
        </w:rPr>
        <w:t>Ubytovanie</w:t>
      </w:r>
      <w:r>
        <w:rPr>
          <w:noProof/>
        </w:rPr>
        <w:tab/>
      </w:r>
      <w:r>
        <w:rPr>
          <w:noProof/>
        </w:rPr>
        <w:fldChar w:fldCharType="begin"/>
      </w:r>
      <w:r>
        <w:rPr>
          <w:noProof/>
        </w:rPr>
        <w:instrText xml:space="preserve"> PAGEREF _Toc448261595 \h </w:instrText>
      </w:r>
      <w:r>
        <w:rPr>
          <w:noProof/>
        </w:rPr>
      </w:r>
      <w:r>
        <w:rPr>
          <w:noProof/>
        </w:rPr>
        <w:fldChar w:fldCharType="separate"/>
      </w:r>
      <w:r w:rsidR="00D83DDF">
        <w:rPr>
          <w:noProof/>
        </w:rPr>
        <w:t>82</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8.5</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Stravovanie</w:t>
      </w:r>
      <w:r>
        <w:rPr>
          <w:noProof/>
        </w:rPr>
        <w:tab/>
      </w:r>
      <w:r>
        <w:rPr>
          <w:noProof/>
        </w:rPr>
        <w:fldChar w:fldCharType="begin"/>
      </w:r>
      <w:r>
        <w:rPr>
          <w:noProof/>
        </w:rPr>
        <w:instrText xml:space="preserve"> PAGEREF _Toc448261596 \h </w:instrText>
      </w:r>
      <w:r>
        <w:rPr>
          <w:noProof/>
        </w:rPr>
      </w:r>
      <w:r>
        <w:rPr>
          <w:noProof/>
        </w:rPr>
        <w:fldChar w:fldCharType="separate"/>
      </w:r>
      <w:r w:rsidR="00D83DDF">
        <w:rPr>
          <w:noProof/>
        </w:rPr>
        <w:t>84</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8.6</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Študentské organizácie</w:t>
      </w:r>
      <w:r>
        <w:rPr>
          <w:noProof/>
        </w:rPr>
        <w:tab/>
      </w:r>
      <w:r>
        <w:rPr>
          <w:noProof/>
        </w:rPr>
        <w:fldChar w:fldCharType="begin"/>
      </w:r>
      <w:r>
        <w:rPr>
          <w:noProof/>
        </w:rPr>
        <w:instrText xml:space="preserve"> PAGEREF _Toc448261597 \h </w:instrText>
      </w:r>
      <w:r>
        <w:rPr>
          <w:noProof/>
        </w:rPr>
      </w:r>
      <w:r>
        <w:rPr>
          <w:noProof/>
        </w:rPr>
        <w:fldChar w:fldCharType="separate"/>
      </w:r>
      <w:r w:rsidR="00D83DDF">
        <w:rPr>
          <w:noProof/>
        </w:rPr>
        <w:t>84</w:t>
      </w:r>
      <w:r>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9</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Podporné činnosti vysokej školy</w:t>
      </w:r>
      <w:r>
        <w:rPr>
          <w:noProof/>
        </w:rPr>
        <w:tab/>
      </w:r>
      <w:r>
        <w:rPr>
          <w:noProof/>
        </w:rPr>
        <w:fldChar w:fldCharType="begin"/>
      </w:r>
      <w:r>
        <w:rPr>
          <w:noProof/>
        </w:rPr>
        <w:instrText xml:space="preserve"> PAGEREF _Toc448261598 \h </w:instrText>
      </w:r>
      <w:r>
        <w:rPr>
          <w:noProof/>
        </w:rPr>
      </w:r>
      <w:r>
        <w:rPr>
          <w:noProof/>
        </w:rPr>
        <w:fldChar w:fldCharType="separate"/>
      </w:r>
      <w:r w:rsidR="00D83DDF">
        <w:rPr>
          <w:noProof/>
        </w:rPr>
        <w:t>86</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9.1</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Informačné a komunikačné technológie</w:t>
      </w:r>
      <w:r>
        <w:rPr>
          <w:noProof/>
        </w:rPr>
        <w:tab/>
      </w:r>
      <w:r>
        <w:rPr>
          <w:noProof/>
        </w:rPr>
        <w:fldChar w:fldCharType="begin"/>
      </w:r>
      <w:r>
        <w:rPr>
          <w:noProof/>
        </w:rPr>
        <w:instrText xml:space="preserve"> PAGEREF _Toc448261599 \h </w:instrText>
      </w:r>
      <w:r>
        <w:rPr>
          <w:noProof/>
        </w:rPr>
      </w:r>
      <w:r>
        <w:rPr>
          <w:noProof/>
        </w:rPr>
        <w:fldChar w:fldCharType="separate"/>
      </w:r>
      <w:r w:rsidR="00D83DDF">
        <w:rPr>
          <w:noProof/>
        </w:rPr>
        <w:t>86</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9.2</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Vysokoškolský umelecký súbor Technik STU</w:t>
      </w:r>
      <w:r>
        <w:rPr>
          <w:noProof/>
        </w:rPr>
        <w:tab/>
      </w:r>
      <w:r>
        <w:rPr>
          <w:noProof/>
        </w:rPr>
        <w:fldChar w:fldCharType="begin"/>
      </w:r>
      <w:r>
        <w:rPr>
          <w:noProof/>
        </w:rPr>
        <w:instrText xml:space="preserve"> PAGEREF _Toc448261600 \h </w:instrText>
      </w:r>
      <w:r>
        <w:rPr>
          <w:noProof/>
        </w:rPr>
      </w:r>
      <w:r>
        <w:rPr>
          <w:noProof/>
        </w:rPr>
        <w:fldChar w:fldCharType="separate"/>
      </w:r>
      <w:r w:rsidR="00D83DDF">
        <w:rPr>
          <w:noProof/>
        </w:rPr>
        <w:t>87</w:t>
      </w:r>
      <w:r>
        <w:rPr>
          <w:noProof/>
        </w:rPr>
        <w:fldChar w:fldCharType="end"/>
      </w:r>
    </w:p>
    <w:p w:rsidR="00D325D1" w:rsidRDefault="00D325D1">
      <w:pPr>
        <w:pStyle w:val="Obsah1"/>
        <w:tabs>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rPr>
        <w:t>Spevácky zbor</w:t>
      </w:r>
      <w:r>
        <w:rPr>
          <w:noProof/>
        </w:rPr>
        <w:tab/>
      </w:r>
      <w:r>
        <w:rPr>
          <w:noProof/>
        </w:rPr>
        <w:fldChar w:fldCharType="begin"/>
      </w:r>
      <w:r>
        <w:rPr>
          <w:noProof/>
        </w:rPr>
        <w:instrText xml:space="preserve"> PAGEREF _Toc448261601 \h </w:instrText>
      </w:r>
      <w:r>
        <w:rPr>
          <w:noProof/>
        </w:rPr>
      </w:r>
      <w:r>
        <w:rPr>
          <w:noProof/>
        </w:rPr>
        <w:fldChar w:fldCharType="separate"/>
      </w:r>
      <w:r w:rsidR="00D83DDF">
        <w:rPr>
          <w:noProof/>
        </w:rPr>
        <w:t>88</w:t>
      </w:r>
      <w:r>
        <w:rPr>
          <w:noProof/>
        </w:rPr>
        <w:fldChar w:fldCharType="end"/>
      </w:r>
    </w:p>
    <w:p w:rsidR="00D325D1" w:rsidRDefault="00D325D1">
      <w:pPr>
        <w:pStyle w:val="Obsah1"/>
        <w:tabs>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rPr>
        <w:t>Komorný orchester</w:t>
      </w:r>
      <w:r>
        <w:rPr>
          <w:noProof/>
        </w:rPr>
        <w:tab/>
      </w:r>
      <w:r>
        <w:rPr>
          <w:noProof/>
        </w:rPr>
        <w:fldChar w:fldCharType="begin"/>
      </w:r>
      <w:r>
        <w:rPr>
          <w:noProof/>
        </w:rPr>
        <w:instrText xml:space="preserve"> PAGEREF _Toc448261602 \h </w:instrText>
      </w:r>
      <w:r>
        <w:rPr>
          <w:noProof/>
        </w:rPr>
      </w:r>
      <w:r>
        <w:rPr>
          <w:noProof/>
        </w:rPr>
        <w:fldChar w:fldCharType="separate"/>
      </w:r>
      <w:r w:rsidR="00D83DDF">
        <w:rPr>
          <w:noProof/>
        </w:rPr>
        <w:t>88</w:t>
      </w:r>
      <w:r>
        <w:rPr>
          <w:noProof/>
        </w:rPr>
        <w:fldChar w:fldCharType="end"/>
      </w:r>
    </w:p>
    <w:p w:rsidR="00D325D1" w:rsidRDefault="00D325D1">
      <w:pPr>
        <w:pStyle w:val="Obsah2"/>
        <w:tabs>
          <w:tab w:val="left" w:pos="8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9.3</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Centrum akademického športu STU</w:t>
      </w:r>
      <w:r>
        <w:rPr>
          <w:noProof/>
        </w:rPr>
        <w:tab/>
      </w:r>
      <w:r>
        <w:rPr>
          <w:noProof/>
        </w:rPr>
        <w:fldChar w:fldCharType="begin"/>
      </w:r>
      <w:r>
        <w:rPr>
          <w:noProof/>
        </w:rPr>
        <w:instrText xml:space="preserve"> PAGEREF _Toc448261603 \h </w:instrText>
      </w:r>
      <w:r>
        <w:rPr>
          <w:noProof/>
        </w:rPr>
      </w:r>
      <w:r>
        <w:rPr>
          <w:noProof/>
        </w:rPr>
        <w:fldChar w:fldCharType="separate"/>
      </w:r>
      <w:r w:rsidR="00D83DDF">
        <w:rPr>
          <w:noProof/>
        </w:rPr>
        <w:t>88</w:t>
      </w:r>
      <w:r>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10</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Rozvoj vysokej školy</w:t>
      </w:r>
      <w:r>
        <w:rPr>
          <w:noProof/>
        </w:rPr>
        <w:tab/>
      </w:r>
      <w:r>
        <w:rPr>
          <w:noProof/>
        </w:rPr>
        <w:fldChar w:fldCharType="begin"/>
      </w:r>
      <w:r>
        <w:rPr>
          <w:noProof/>
        </w:rPr>
        <w:instrText xml:space="preserve"> PAGEREF _Toc448261604 \h </w:instrText>
      </w:r>
      <w:r>
        <w:rPr>
          <w:noProof/>
        </w:rPr>
      </w:r>
      <w:r>
        <w:rPr>
          <w:noProof/>
        </w:rPr>
        <w:fldChar w:fldCharType="separate"/>
      </w:r>
      <w:r w:rsidR="00D83DDF">
        <w:rPr>
          <w:noProof/>
        </w:rPr>
        <w:t>90</w:t>
      </w:r>
      <w:r>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11</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Medzinárodné aktivity STU</w:t>
      </w:r>
      <w:r>
        <w:rPr>
          <w:noProof/>
        </w:rPr>
        <w:tab/>
      </w:r>
      <w:r>
        <w:rPr>
          <w:noProof/>
        </w:rPr>
        <w:fldChar w:fldCharType="begin"/>
      </w:r>
      <w:r>
        <w:rPr>
          <w:noProof/>
        </w:rPr>
        <w:instrText xml:space="preserve"> PAGEREF _Toc448261605 \h </w:instrText>
      </w:r>
      <w:r>
        <w:rPr>
          <w:noProof/>
        </w:rPr>
      </w:r>
      <w:r>
        <w:rPr>
          <w:noProof/>
        </w:rPr>
        <w:fldChar w:fldCharType="separate"/>
      </w:r>
      <w:r w:rsidR="00D83DDF">
        <w:rPr>
          <w:noProof/>
        </w:rPr>
        <w:t>92</w:t>
      </w:r>
      <w:r>
        <w:rPr>
          <w:noProof/>
        </w:rPr>
        <w:fldChar w:fldCharType="end"/>
      </w:r>
    </w:p>
    <w:p w:rsidR="00D325D1" w:rsidRDefault="00D325D1">
      <w:pPr>
        <w:pStyle w:val="Obsah2"/>
        <w:tabs>
          <w:tab w:val="left" w:pos="110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11.1</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Medzinárodné dohody a partnerstvá</w:t>
      </w:r>
      <w:r>
        <w:rPr>
          <w:noProof/>
        </w:rPr>
        <w:tab/>
      </w:r>
      <w:r>
        <w:rPr>
          <w:noProof/>
        </w:rPr>
        <w:fldChar w:fldCharType="begin"/>
      </w:r>
      <w:r>
        <w:rPr>
          <w:noProof/>
        </w:rPr>
        <w:instrText xml:space="preserve"> PAGEREF _Toc448261606 \h </w:instrText>
      </w:r>
      <w:r>
        <w:rPr>
          <w:noProof/>
        </w:rPr>
      </w:r>
      <w:r>
        <w:rPr>
          <w:noProof/>
        </w:rPr>
        <w:fldChar w:fldCharType="separate"/>
      </w:r>
      <w:r w:rsidR="00D83DDF">
        <w:rPr>
          <w:noProof/>
        </w:rPr>
        <w:t>92</w:t>
      </w:r>
      <w:r>
        <w:rPr>
          <w:noProof/>
        </w:rPr>
        <w:fldChar w:fldCharType="end"/>
      </w:r>
    </w:p>
    <w:p w:rsidR="00D325D1" w:rsidRDefault="00D325D1">
      <w:pPr>
        <w:pStyle w:val="Obsah2"/>
        <w:tabs>
          <w:tab w:val="left" w:pos="110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11.2</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Medzinárodné vzdelávacie projekty a siete</w:t>
      </w:r>
      <w:r>
        <w:rPr>
          <w:noProof/>
        </w:rPr>
        <w:tab/>
      </w:r>
      <w:r>
        <w:rPr>
          <w:noProof/>
        </w:rPr>
        <w:fldChar w:fldCharType="begin"/>
      </w:r>
      <w:r>
        <w:rPr>
          <w:noProof/>
        </w:rPr>
        <w:instrText xml:space="preserve"> PAGEREF _Toc448261607 \h </w:instrText>
      </w:r>
      <w:r>
        <w:rPr>
          <w:noProof/>
        </w:rPr>
      </w:r>
      <w:r>
        <w:rPr>
          <w:noProof/>
        </w:rPr>
        <w:fldChar w:fldCharType="separate"/>
      </w:r>
      <w:r w:rsidR="00D83DDF">
        <w:rPr>
          <w:noProof/>
        </w:rPr>
        <w:t>93</w:t>
      </w:r>
      <w:r>
        <w:rPr>
          <w:noProof/>
        </w:rPr>
        <w:fldChar w:fldCharType="end"/>
      </w:r>
    </w:p>
    <w:p w:rsidR="00D325D1" w:rsidRDefault="00D325D1">
      <w:pPr>
        <w:pStyle w:val="Obsah2"/>
        <w:tabs>
          <w:tab w:val="left" w:pos="110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eastAsia="MS Mincho" w:hAnsiTheme="minorHAnsi"/>
          <w:noProof/>
          <w14:scene3d>
            <w14:camera w14:prst="orthographicFront"/>
            <w14:lightRig w14:rig="threePt" w14:dir="t">
              <w14:rot w14:lat="0" w14:lon="0" w14:rev="0"/>
            </w14:lightRig>
          </w14:scene3d>
        </w:rPr>
        <w:t>11.3</w:t>
      </w:r>
      <w:r>
        <w:rPr>
          <w:rFonts w:asciiTheme="minorHAnsi" w:eastAsiaTheme="minorEastAsia" w:hAnsiTheme="minorHAnsi" w:cstheme="minorBidi"/>
          <w:noProof/>
          <w:color w:val="auto"/>
          <w:sz w:val="22"/>
          <w:szCs w:val="22"/>
          <w:lang w:eastAsia="sk-SK"/>
        </w:rPr>
        <w:tab/>
      </w:r>
      <w:r w:rsidRPr="00455D0E">
        <w:rPr>
          <w:rFonts w:asciiTheme="minorHAnsi" w:eastAsia="MS Mincho" w:hAnsiTheme="minorHAnsi"/>
          <w:noProof/>
        </w:rPr>
        <w:t>Účasť na veľtrhoch vzdelávania a iné propagačné aktivity</w:t>
      </w:r>
      <w:r>
        <w:rPr>
          <w:noProof/>
        </w:rPr>
        <w:tab/>
      </w:r>
      <w:r>
        <w:rPr>
          <w:noProof/>
        </w:rPr>
        <w:fldChar w:fldCharType="begin"/>
      </w:r>
      <w:r>
        <w:rPr>
          <w:noProof/>
        </w:rPr>
        <w:instrText xml:space="preserve"> PAGEREF _Toc448261608 \h </w:instrText>
      </w:r>
      <w:r>
        <w:rPr>
          <w:noProof/>
        </w:rPr>
      </w:r>
      <w:r>
        <w:rPr>
          <w:noProof/>
        </w:rPr>
        <w:fldChar w:fldCharType="separate"/>
      </w:r>
      <w:r w:rsidR="00D83DDF">
        <w:rPr>
          <w:noProof/>
        </w:rPr>
        <w:t>95</w:t>
      </w:r>
      <w:r>
        <w:rPr>
          <w:noProof/>
        </w:rPr>
        <w:fldChar w:fldCharType="end"/>
      </w:r>
    </w:p>
    <w:p w:rsidR="00D325D1" w:rsidRDefault="00D325D1">
      <w:pPr>
        <w:pStyle w:val="Obsah2"/>
        <w:tabs>
          <w:tab w:val="left" w:pos="110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11.4</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Mobility študentov a zamestnancov</w:t>
      </w:r>
      <w:r>
        <w:rPr>
          <w:noProof/>
        </w:rPr>
        <w:tab/>
      </w:r>
      <w:r>
        <w:rPr>
          <w:noProof/>
        </w:rPr>
        <w:fldChar w:fldCharType="begin"/>
      </w:r>
      <w:r>
        <w:rPr>
          <w:noProof/>
        </w:rPr>
        <w:instrText xml:space="preserve"> PAGEREF _Toc448261609 \h </w:instrText>
      </w:r>
      <w:r>
        <w:rPr>
          <w:noProof/>
        </w:rPr>
      </w:r>
      <w:r>
        <w:rPr>
          <w:noProof/>
        </w:rPr>
        <w:fldChar w:fldCharType="separate"/>
      </w:r>
      <w:r w:rsidR="00D83DDF">
        <w:rPr>
          <w:noProof/>
        </w:rPr>
        <w:t>95</w:t>
      </w:r>
      <w:r>
        <w:rPr>
          <w:noProof/>
        </w:rPr>
        <w:fldChar w:fldCharType="end"/>
      </w:r>
    </w:p>
    <w:p w:rsidR="00D325D1" w:rsidRDefault="00D325D1">
      <w:pPr>
        <w:pStyle w:val="Obsah2"/>
        <w:tabs>
          <w:tab w:val="left" w:pos="110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lastRenderedPageBreak/>
        <w:t>11.5</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Pôsobenie STU v medzinárodných organizáciách a sieťach</w:t>
      </w:r>
      <w:r>
        <w:rPr>
          <w:noProof/>
        </w:rPr>
        <w:tab/>
      </w:r>
      <w:r>
        <w:rPr>
          <w:noProof/>
        </w:rPr>
        <w:fldChar w:fldCharType="begin"/>
      </w:r>
      <w:r>
        <w:rPr>
          <w:noProof/>
        </w:rPr>
        <w:instrText xml:space="preserve"> PAGEREF _Toc448261610 \h </w:instrText>
      </w:r>
      <w:r>
        <w:rPr>
          <w:noProof/>
        </w:rPr>
      </w:r>
      <w:r>
        <w:rPr>
          <w:noProof/>
        </w:rPr>
        <w:fldChar w:fldCharType="separate"/>
      </w:r>
      <w:r w:rsidR="00D83DDF">
        <w:rPr>
          <w:noProof/>
        </w:rPr>
        <w:t>96</w:t>
      </w:r>
      <w:r>
        <w:rPr>
          <w:noProof/>
        </w:rPr>
        <w:fldChar w:fldCharType="end"/>
      </w:r>
    </w:p>
    <w:p w:rsidR="00D325D1" w:rsidRDefault="00D325D1">
      <w:pPr>
        <w:pStyle w:val="Obsah2"/>
        <w:tabs>
          <w:tab w:val="left" w:pos="110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11.6</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Vycestovania zamestnancov do zahraničia a prijatia zahraničných hostí</w:t>
      </w:r>
      <w:r>
        <w:rPr>
          <w:noProof/>
        </w:rPr>
        <w:tab/>
      </w:r>
      <w:r>
        <w:rPr>
          <w:noProof/>
        </w:rPr>
        <w:fldChar w:fldCharType="begin"/>
      </w:r>
      <w:r>
        <w:rPr>
          <w:noProof/>
        </w:rPr>
        <w:instrText xml:space="preserve"> PAGEREF _Toc448261611 \h </w:instrText>
      </w:r>
      <w:r>
        <w:rPr>
          <w:noProof/>
        </w:rPr>
      </w:r>
      <w:r>
        <w:rPr>
          <w:noProof/>
        </w:rPr>
        <w:fldChar w:fldCharType="separate"/>
      </w:r>
      <w:r w:rsidR="00D83DDF">
        <w:rPr>
          <w:noProof/>
        </w:rPr>
        <w:t>97</w:t>
      </w:r>
      <w:r>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12</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Systém kvality na STU</w:t>
      </w:r>
      <w:r>
        <w:rPr>
          <w:noProof/>
        </w:rPr>
        <w:tab/>
      </w:r>
      <w:r>
        <w:rPr>
          <w:noProof/>
        </w:rPr>
        <w:fldChar w:fldCharType="begin"/>
      </w:r>
      <w:r>
        <w:rPr>
          <w:noProof/>
        </w:rPr>
        <w:instrText xml:space="preserve"> PAGEREF _Toc448261612 \h </w:instrText>
      </w:r>
      <w:r>
        <w:rPr>
          <w:noProof/>
        </w:rPr>
      </w:r>
      <w:r>
        <w:rPr>
          <w:noProof/>
        </w:rPr>
        <w:fldChar w:fldCharType="separate"/>
      </w:r>
      <w:r w:rsidR="00D83DDF">
        <w:rPr>
          <w:noProof/>
        </w:rPr>
        <w:t>100</w:t>
      </w:r>
      <w:r>
        <w:rPr>
          <w:noProof/>
        </w:rPr>
        <w:fldChar w:fldCharType="end"/>
      </w:r>
    </w:p>
    <w:p w:rsidR="00D325D1" w:rsidRDefault="00D325D1">
      <w:pPr>
        <w:pStyle w:val="Obsah2"/>
        <w:tabs>
          <w:tab w:val="left" w:pos="110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12.1</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Manažment vysokej školy</w:t>
      </w:r>
      <w:r>
        <w:rPr>
          <w:noProof/>
        </w:rPr>
        <w:tab/>
      </w:r>
      <w:r>
        <w:rPr>
          <w:noProof/>
        </w:rPr>
        <w:fldChar w:fldCharType="begin"/>
      </w:r>
      <w:r>
        <w:rPr>
          <w:noProof/>
        </w:rPr>
        <w:instrText xml:space="preserve"> PAGEREF _Toc448261613 \h </w:instrText>
      </w:r>
      <w:r>
        <w:rPr>
          <w:noProof/>
        </w:rPr>
      </w:r>
      <w:r>
        <w:rPr>
          <w:noProof/>
        </w:rPr>
        <w:fldChar w:fldCharType="separate"/>
      </w:r>
      <w:r w:rsidR="00D83DDF">
        <w:rPr>
          <w:noProof/>
        </w:rPr>
        <w:t>100</w:t>
      </w:r>
      <w:r>
        <w:rPr>
          <w:noProof/>
        </w:rPr>
        <w:fldChar w:fldCharType="end"/>
      </w:r>
    </w:p>
    <w:p w:rsidR="00D325D1" w:rsidRDefault="00D325D1">
      <w:pPr>
        <w:pStyle w:val="Obsah2"/>
        <w:tabs>
          <w:tab w:val="left" w:pos="110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12.2</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Hodnotenie vzdelávania študentmi</w:t>
      </w:r>
      <w:r>
        <w:rPr>
          <w:noProof/>
        </w:rPr>
        <w:tab/>
      </w:r>
      <w:r>
        <w:rPr>
          <w:noProof/>
        </w:rPr>
        <w:fldChar w:fldCharType="begin"/>
      </w:r>
      <w:r>
        <w:rPr>
          <w:noProof/>
        </w:rPr>
        <w:instrText xml:space="preserve"> PAGEREF _Toc448261614 \h </w:instrText>
      </w:r>
      <w:r>
        <w:rPr>
          <w:noProof/>
        </w:rPr>
      </w:r>
      <w:r>
        <w:rPr>
          <w:noProof/>
        </w:rPr>
        <w:fldChar w:fldCharType="separate"/>
      </w:r>
      <w:r w:rsidR="00D83DDF">
        <w:rPr>
          <w:noProof/>
        </w:rPr>
        <w:t>102</w:t>
      </w:r>
      <w:r>
        <w:rPr>
          <w:noProof/>
        </w:rPr>
        <w:fldChar w:fldCharType="end"/>
      </w:r>
    </w:p>
    <w:p w:rsidR="00D325D1" w:rsidRDefault="00D325D1">
      <w:pPr>
        <w:pStyle w:val="Obsah2"/>
        <w:tabs>
          <w:tab w:val="left" w:pos="110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12.3</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Kvantitatívne vyhodnotenie zabezpečovania kvality vzdelávania</w:t>
      </w:r>
      <w:r>
        <w:rPr>
          <w:noProof/>
        </w:rPr>
        <w:tab/>
      </w:r>
      <w:r>
        <w:rPr>
          <w:noProof/>
        </w:rPr>
        <w:fldChar w:fldCharType="begin"/>
      </w:r>
      <w:r>
        <w:rPr>
          <w:noProof/>
        </w:rPr>
        <w:instrText xml:space="preserve"> PAGEREF _Toc448261615 \h </w:instrText>
      </w:r>
      <w:r>
        <w:rPr>
          <w:noProof/>
        </w:rPr>
      </w:r>
      <w:r>
        <w:rPr>
          <w:noProof/>
        </w:rPr>
        <w:fldChar w:fldCharType="separate"/>
      </w:r>
      <w:r w:rsidR="00D83DDF">
        <w:rPr>
          <w:noProof/>
        </w:rPr>
        <w:t>103</w:t>
      </w:r>
      <w:r>
        <w:rPr>
          <w:noProof/>
        </w:rPr>
        <w:fldChar w:fldCharType="end"/>
      </w:r>
    </w:p>
    <w:p w:rsidR="00D325D1" w:rsidRDefault="00D325D1">
      <w:pPr>
        <w:pStyle w:val="Obsah2"/>
        <w:tabs>
          <w:tab w:val="left" w:pos="110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14:scene3d>
            <w14:camera w14:prst="orthographicFront"/>
            <w14:lightRig w14:rig="threePt" w14:dir="t">
              <w14:rot w14:lat="0" w14:lon="0" w14:rev="0"/>
            </w14:lightRig>
          </w14:scene3d>
        </w:rPr>
        <w:t>12.4</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Hodnotenie úrovne vzdelávacej činnosti na STU za akademický rok 2014/15 z pohľadu Vedeckej rady STU</w:t>
      </w:r>
      <w:r>
        <w:rPr>
          <w:noProof/>
        </w:rPr>
        <w:tab/>
      </w:r>
      <w:r>
        <w:rPr>
          <w:noProof/>
        </w:rPr>
        <w:fldChar w:fldCharType="begin"/>
      </w:r>
      <w:r>
        <w:rPr>
          <w:noProof/>
        </w:rPr>
        <w:instrText xml:space="preserve"> PAGEREF _Toc448261616 \h </w:instrText>
      </w:r>
      <w:r>
        <w:rPr>
          <w:noProof/>
        </w:rPr>
      </w:r>
      <w:r>
        <w:rPr>
          <w:noProof/>
        </w:rPr>
        <w:fldChar w:fldCharType="separate"/>
      </w:r>
      <w:r w:rsidR="00D83DDF">
        <w:rPr>
          <w:noProof/>
        </w:rPr>
        <w:t>105</w:t>
      </w:r>
      <w:r>
        <w:rPr>
          <w:noProof/>
        </w:rPr>
        <w:fldChar w:fldCharType="end"/>
      </w:r>
    </w:p>
    <w:p w:rsidR="00D325D1" w:rsidRDefault="00D325D1">
      <w:pPr>
        <w:pStyle w:val="Obsah2"/>
        <w:tabs>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 xml:space="preserve">12.5. </w:t>
      </w:r>
      <w:r w:rsidRPr="00455D0E">
        <w:rPr>
          <w:rFonts w:asciiTheme="minorHAnsi" w:hAnsiTheme="minorHAnsi"/>
          <w:noProof/>
        </w:rPr>
        <w:t>Hodnotenie úrovne vedeckovýskumnej a umeleckej činnosti na STU za rok 2015 z pohľadu Vedeckej rady STU</w:t>
      </w:r>
      <w:r>
        <w:rPr>
          <w:noProof/>
        </w:rPr>
        <w:tab/>
      </w:r>
      <w:r>
        <w:rPr>
          <w:noProof/>
        </w:rPr>
        <w:fldChar w:fldCharType="begin"/>
      </w:r>
      <w:r>
        <w:rPr>
          <w:noProof/>
        </w:rPr>
        <w:instrText xml:space="preserve"> PAGEREF _Toc448261617 \h </w:instrText>
      </w:r>
      <w:r>
        <w:rPr>
          <w:noProof/>
        </w:rPr>
      </w:r>
      <w:r>
        <w:rPr>
          <w:noProof/>
        </w:rPr>
        <w:fldChar w:fldCharType="separate"/>
      </w:r>
      <w:r w:rsidR="00D83DDF">
        <w:rPr>
          <w:noProof/>
        </w:rPr>
        <w:t>106</w:t>
      </w:r>
      <w:r>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13</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Kontaktné údaje</w:t>
      </w:r>
      <w:r>
        <w:rPr>
          <w:noProof/>
        </w:rPr>
        <w:tab/>
      </w:r>
      <w:r>
        <w:rPr>
          <w:noProof/>
        </w:rPr>
        <w:fldChar w:fldCharType="begin"/>
      </w:r>
      <w:r>
        <w:rPr>
          <w:noProof/>
        </w:rPr>
        <w:instrText xml:space="preserve"> PAGEREF _Toc448261618 \h </w:instrText>
      </w:r>
      <w:r>
        <w:rPr>
          <w:noProof/>
        </w:rPr>
      </w:r>
      <w:r>
        <w:rPr>
          <w:noProof/>
        </w:rPr>
        <w:fldChar w:fldCharType="separate"/>
      </w:r>
      <w:r w:rsidR="00D83DDF">
        <w:rPr>
          <w:noProof/>
        </w:rPr>
        <w:t>107</w:t>
      </w:r>
      <w:r>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14</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Sumár</w:t>
      </w:r>
      <w:r>
        <w:rPr>
          <w:noProof/>
        </w:rPr>
        <w:tab/>
      </w:r>
      <w:r>
        <w:rPr>
          <w:noProof/>
        </w:rPr>
        <w:fldChar w:fldCharType="begin"/>
      </w:r>
      <w:r>
        <w:rPr>
          <w:noProof/>
        </w:rPr>
        <w:instrText xml:space="preserve"> PAGEREF _Toc448261619 \h </w:instrText>
      </w:r>
      <w:r>
        <w:rPr>
          <w:noProof/>
        </w:rPr>
      </w:r>
      <w:r>
        <w:rPr>
          <w:noProof/>
        </w:rPr>
        <w:fldChar w:fldCharType="separate"/>
      </w:r>
      <w:r w:rsidR="00D83DDF">
        <w:rPr>
          <w:noProof/>
        </w:rPr>
        <w:t>108</w:t>
      </w:r>
      <w:r>
        <w:rPr>
          <w:noProof/>
        </w:rPr>
        <w:fldChar w:fldCharType="end"/>
      </w:r>
    </w:p>
    <w:p w:rsidR="00D325D1" w:rsidRDefault="00D325D1">
      <w:pPr>
        <w:pStyle w:val="Obsah1"/>
        <w:tabs>
          <w:tab w:val="left" w:pos="480"/>
          <w:tab w:val="right" w:leader="dot" w:pos="9488"/>
        </w:tabs>
        <w:rPr>
          <w:rFonts w:asciiTheme="minorHAnsi" w:eastAsiaTheme="minorEastAsia" w:hAnsiTheme="minorHAnsi" w:cstheme="minorBidi"/>
          <w:noProof/>
          <w:color w:val="auto"/>
          <w:sz w:val="22"/>
          <w:szCs w:val="22"/>
          <w:lang w:eastAsia="sk-SK"/>
        </w:rPr>
      </w:pPr>
      <w:r w:rsidRPr="00455D0E">
        <w:rPr>
          <w:rFonts w:asciiTheme="minorHAnsi" w:hAnsiTheme="minorHAnsi"/>
          <w:noProof/>
          <w:color w:val="auto"/>
        </w:rPr>
        <w:t>15</w:t>
      </w:r>
      <w:r>
        <w:rPr>
          <w:rFonts w:asciiTheme="minorHAnsi" w:eastAsiaTheme="minorEastAsia" w:hAnsiTheme="minorHAnsi" w:cstheme="minorBidi"/>
          <w:noProof/>
          <w:color w:val="auto"/>
          <w:sz w:val="22"/>
          <w:szCs w:val="22"/>
          <w:lang w:eastAsia="sk-SK"/>
        </w:rPr>
        <w:tab/>
      </w:r>
      <w:r w:rsidRPr="00455D0E">
        <w:rPr>
          <w:rFonts w:asciiTheme="minorHAnsi" w:hAnsiTheme="minorHAnsi"/>
          <w:noProof/>
          <w:color w:val="auto"/>
        </w:rPr>
        <w:t>Prílohy a tabuľky</w:t>
      </w:r>
      <w:r>
        <w:rPr>
          <w:noProof/>
        </w:rPr>
        <w:tab/>
      </w:r>
      <w:r>
        <w:rPr>
          <w:noProof/>
        </w:rPr>
        <w:fldChar w:fldCharType="begin"/>
      </w:r>
      <w:r>
        <w:rPr>
          <w:noProof/>
        </w:rPr>
        <w:instrText xml:space="preserve"> PAGEREF _Toc448261620 \h </w:instrText>
      </w:r>
      <w:r>
        <w:rPr>
          <w:noProof/>
        </w:rPr>
      </w:r>
      <w:r>
        <w:rPr>
          <w:noProof/>
        </w:rPr>
        <w:fldChar w:fldCharType="separate"/>
      </w:r>
      <w:r w:rsidR="00D83DDF">
        <w:rPr>
          <w:noProof/>
        </w:rPr>
        <w:t>109</w:t>
      </w:r>
      <w:r>
        <w:rPr>
          <w:noProof/>
        </w:rPr>
        <w:fldChar w:fldCharType="end"/>
      </w:r>
    </w:p>
    <w:p w:rsidR="00B51749" w:rsidRPr="002D7A10" w:rsidRDefault="00B51749" w:rsidP="00B67D29">
      <w:pPr>
        <w:rPr>
          <w:rFonts w:asciiTheme="minorHAnsi" w:hAnsiTheme="minorHAnsi"/>
          <w:b/>
          <w:bCs/>
          <w:color w:val="FF0000"/>
        </w:rPr>
      </w:pPr>
      <w:r w:rsidRPr="002D7A10">
        <w:rPr>
          <w:rFonts w:asciiTheme="minorHAnsi" w:hAnsiTheme="minorHAnsi"/>
          <w:b/>
          <w:bCs/>
          <w:color w:val="FF0000"/>
        </w:rPr>
        <w:fldChar w:fldCharType="end"/>
      </w:r>
    </w:p>
    <w:p w:rsidR="00B51749" w:rsidRDefault="00B51749" w:rsidP="00B51749">
      <w:pPr>
        <w:rPr>
          <w:rFonts w:asciiTheme="minorHAnsi" w:hAnsiTheme="minorHAnsi"/>
          <w:b/>
          <w:color w:val="FF0000"/>
        </w:rPr>
      </w:pPr>
      <w:r w:rsidRPr="002D7A10">
        <w:rPr>
          <w:rFonts w:asciiTheme="minorHAnsi" w:hAnsiTheme="minorHAnsi"/>
          <w:b/>
          <w:color w:val="FF0000"/>
        </w:rPr>
        <w:br w:type="page"/>
      </w:r>
    </w:p>
    <w:p w:rsidR="0032657C" w:rsidRPr="002D7A10" w:rsidRDefault="0032657C" w:rsidP="00B51749">
      <w:pPr>
        <w:rPr>
          <w:rFonts w:asciiTheme="minorHAnsi" w:hAnsiTheme="minorHAnsi"/>
          <w:b/>
          <w:color w:val="FF0000"/>
        </w:rPr>
      </w:pPr>
    </w:p>
    <w:p w:rsidR="00B51749" w:rsidRPr="002D7A10" w:rsidRDefault="00B51749" w:rsidP="00B51749">
      <w:pPr>
        <w:pStyle w:val="Nadpis1"/>
        <w:rPr>
          <w:rFonts w:asciiTheme="minorHAnsi" w:hAnsiTheme="minorHAnsi"/>
          <w:color w:val="auto"/>
          <w:sz w:val="24"/>
          <w:szCs w:val="24"/>
        </w:rPr>
      </w:pPr>
      <w:bookmarkStart w:id="1" w:name="_Toc448261544"/>
      <w:r w:rsidRPr="002D7A10">
        <w:rPr>
          <w:rFonts w:asciiTheme="minorHAnsi" w:hAnsiTheme="minorHAnsi"/>
          <w:color w:val="auto"/>
          <w:sz w:val="24"/>
          <w:szCs w:val="24"/>
        </w:rPr>
        <w:t>Základné informácie o vysokej škole</w:t>
      </w:r>
      <w:bookmarkEnd w:id="1"/>
    </w:p>
    <w:p w:rsidR="00B51749" w:rsidRPr="002D7A10" w:rsidRDefault="00B51749" w:rsidP="00B51749">
      <w:pPr>
        <w:rPr>
          <w:rFonts w:asciiTheme="minorHAnsi" w:hAnsiTheme="minorHAnsi"/>
        </w:rPr>
      </w:pPr>
    </w:p>
    <w:p w:rsidR="00B51749" w:rsidRPr="002D7A10" w:rsidRDefault="00B51749" w:rsidP="00B51749">
      <w:pPr>
        <w:rPr>
          <w:rFonts w:asciiTheme="minorHAnsi" w:hAnsiTheme="minorHAnsi"/>
        </w:rPr>
      </w:pPr>
      <w:r w:rsidRPr="002D7A10">
        <w:rPr>
          <w:rFonts w:asciiTheme="minorHAnsi" w:hAnsiTheme="minorHAnsi"/>
        </w:rPr>
        <w:t xml:space="preserve">Slovenská technická univerzita v Bratislave (STU) je modernou, výskumno-vzdelávacou inštitúciou. </w:t>
      </w:r>
      <w:r w:rsidRPr="002D7A10">
        <w:rPr>
          <w:rFonts w:asciiTheme="minorHAnsi" w:hAnsiTheme="minorHAnsi"/>
          <w:b/>
        </w:rPr>
        <w:t xml:space="preserve">Vzdelávanie vychádza z vlastného vedeckého výskumu a je orientované na potreby praxe. </w:t>
      </w:r>
      <w:r w:rsidR="00D609FF" w:rsidRPr="002D7A10">
        <w:rPr>
          <w:rFonts w:asciiTheme="minorHAnsi" w:hAnsiTheme="minorHAnsi"/>
          <w:b/>
        </w:rPr>
        <w:t>Jej a</w:t>
      </w:r>
      <w:r w:rsidRPr="002D7A10">
        <w:rPr>
          <w:rFonts w:asciiTheme="minorHAnsi" w:hAnsiTheme="minorHAnsi"/>
          <w:b/>
        </w:rPr>
        <w:t xml:space="preserve">bsolventi patria k najžiadanejším na trhu práce a k najlepšie zarábajúcim. </w:t>
      </w:r>
    </w:p>
    <w:p w:rsidR="00B51749" w:rsidRPr="002D7A10" w:rsidRDefault="00FD2BBE" w:rsidP="00AA1B47">
      <w:pPr>
        <w:pStyle w:val="Normlnywebov"/>
        <w:rPr>
          <w:rFonts w:asciiTheme="minorHAnsi" w:hAnsiTheme="minorHAnsi"/>
          <w:b/>
          <w:bCs/>
        </w:rPr>
      </w:pPr>
      <w:r w:rsidRPr="002D7A10">
        <w:rPr>
          <w:rFonts w:asciiTheme="minorHAnsi" w:hAnsiTheme="minorHAnsi"/>
        </w:rPr>
        <w:t xml:space="preserve">Prestížny rebríček </w:t>
      </w:r>
      <w:proofErr w:type="spellStart"/>
      <w:r w:rsidRPr="002D7A10">
        <w:rPr>
          <w:rFonts w:asciiTheme="minorHAnsi" w:hAnsiTheme="minorHAnsi"/>
          <w:b/>
          <w:iCs/>
        </w:rPr>
        <w:t>Times</w:t>
      </w:r>
      <w:proofErr w:type="spellEnd"/>
      <w:r w:rsidRPr="002D7A10">
        <w:rPr>
          <w:rFonts w:asciiTheme="minorHAnsi" w:hAnsiTheme="minorHAnsi"/>
          <w:b/>
          <w:iCs/>
        </w:rPr>
        <w:t xml:space="preserve"> </w:t>
      </w:r>
      <w:proofErr w:type="spellStart"/>
      <w:r w:rsidRPr="002D7A10">
        <w:rPr>
          <w:rFonts w:asciiTheme="minorHAnsi" w:hAnsiTheme="minorHAnsi"/>
          <w:b/>
          <w:iCs/>
        </w:rPr>
        <w:t>Higher</w:t>
      </w:r>
      <w:proofErr w:type="spellEnd"/>
      <w:r w:rsidRPr="002D7A10">
        <w:rPr>
          <w:rFonts w:asciiTheme="minorHAnsi" w:hAnsiTheme="minorHAnsi"/>
          <w:b/>
          <w:iCs/>
        </w:rPr>
        <w:t xml:space="preserve"> </w:t>
      </w:r>
      <w:proofErr w:type="spellStart"/>
      <w:r w:rsidRPr="002D7A10">
        <w:rPr>
          <w:rFonts w:asciiTheme="minorHAnsi" w:hAnsiTheme="minorHAnsi"/>
          <w:b/>
          <w:iCs/>
        </w:rPr>
        <w:t>Education</w:t>
      </w:r>
      <w:proofErr w:type="spellEnd"/>
      <w:r w:rsidRPr="002D7A10">
        <w:rPr>
          <w:rFonts w:asciiTheme="minorHAnsi" w:hAnsiTheme="minorHAnsi"/>
          <w:b/>
        </w:rPr>
        <w:t xml:space="preserve"> </w:t>
      </w:r>
      <w:proofErr w:type="spellStart"/>
      <w:r w:rsidRPr="002D7A10">
        <w:rPr>
          <w:rFonts w:asciiTheme="minorHAnsi" w:hAnsiTheme="minorHAnsi"/>
          <w:b/>
        </w:rPr>
        <w:t>World</w:t>
      </w:r>
      <w:proofErr w:type="spellEnd"/>
      <w:r w:rsidRPr="002D7A10">
        <w:rPr>
          <w:rFonts w:asciiTheme="minorHAnsi" w:hAnsiTheme="minorHAnsi"/>
          <w:b/>
        </w:rPr>
        <w:t xml:space="preserve"> </w:t>
      </w:r>
      <w:proofErr w:type="spellStart"/>
      <w:r w:rsidRPr="002D7A10">
        <w:rPr>
          <w:rFonts w:asciiTheme="minorHAnsi" w:hAnsiTheme="minorHAnsi"/>
          <w:b/>
        </w:rPr>
        <w:t>University</w:t>
      </w:r>
      <w:proofErr w:type="spellEnd"/>
      <w:r w:rsidRPr="002D7A10">
        <w:rPr>
          <w:rFonts w:asciiTheme="minorHAnsi" w:hAnsiTheme="minorHAnsi"/>
          <w:b/>
        </w:rPr>
        <w:t xml:space="preserve"> </w:t>
      </w:r>
      <w:proofErr w:type="spellStart"/>
      <w:r w:rsidRPr="002D7A10">
        <w:rPr>
          <w:rFonts w:asciiTheme="minorHAnsi" w:hAnsiTheme="minorHAnsi"/>
          <w:b/>
        </w:rPr>
        <w:t>Rankings</w:t>
      </w:r>
      <w:proofErr w:type="spellEnd"/>
      <w:r w:rsidRPr="002D7A10">
        <w:rPr>
          <w:rFonts w:asciiTheme="minorHAnsi" w:hAnsiTheme="minorHAnsi"/>
        </w:rPr>
        <w:t xml:space="preserve"> zaradil Slovenskú technickú univerzitu v Bratislave do rebríčka najlepších univerzít sveta. </w:t>
      </w:r>
      <w:r w:rsidRPr="002D7A10">
        <w:rPr>
          <w:rFonts w:asciiTheme="minorHAnsi" w:hAnsiTheme="minorHAnsi"/>
          <w:b/>
        </w:rPr>
        <w:t>Do rebríčka sa v roku 2015-16 tak prvý raz dostali slovenské univerzity, a to na pozícií 601-800</w:t>
      </w:r>
      <w:r w:rsidRPr="002D7A10">
        <w:rPr>
          <w:rFonts w:asciiTheme="minorHAnsi" w:hAnsiTheme="minorHAnsi"/>
        </w:rPr>
        <w:t>.</w:t>
      </w:r>
      <w:r w:rsidR="00DC3C40" w:rsidRPr="002D7A10">
        <w:rPr>
          <w:rFonts w:asciiTheme="minorHAnsi" w:hAnsiTheme="minorHAnsi"/>
          <w:b/>
          <w:bCs/>
        </w:rPr>
        <w:t xml:space="preserve"> </w:t>
      </w:r>
      <w:r w:rsidR="00DC3C40" w:rsidRPr="002D7A10">
        <w:rPr>
          <w:rFonts w:asciiTheme="minorHAnsi" w:hAnsiTheme="minorHAnsi"/>
          <w:bCs/>
        </w:rPr>
        <w:t>P</w:t>
      </w:r>
      <w:r w:rsidR="00B51749" w:rsidRPr="002D7A10">
        <w:rPr>
          <w:rFonts w:asciiTheme="minorHAnsi" w:hAnsiTheme="minorHAnsi"/>
        </w:rPr>
        <w:t xml:space="preserve">odľa rebríčka ARRA je Slovenská technická univerzita </w:t>
      </w:r>
      <w:r w:rsidR="00B51749" w:rsidRPr="002D7A10">
        <w:rPr>
          <w:rFonts w:asciiTheme="minorHAnsi" w:hAnsiTheme="minorHAnsi"/>
          <w:b/>
        </w:rPr>
        <w:t xml:space="preserve">dlhodobo najlepšou univerzitou na Slovensku pre chemické technológie, technické a počítačové vedy. </w:t>
      </w:r>
    </w:p>
    <w:p w:rsidR="00B51749" w:rsidRPr="002D7A10" w:rsidRDefault="00B51749" w:rsidP="001C3376">
      <w:pPr>
        <w:shd w:val="clear" w:color="auto" w:fill="FFFFFF"/>
        <w:spacing w:after="120"/>
        <w:rPr>
          <w:rFonts w:asciiTheme="minorHAnsi" w:hAnsiTheme="minorHAnsi" w:cs="Calibri"/>
        </w:rPr>
      </w:pPr>
      <w:r w:rsidRPr="002D7A10">
        <w:rPr>
          <w:rFonts w:asciiTheme="minorHAnsi" w:hAnsiTheme="minorHAnsi"/>
        </w:rPr>
        <w:t>STU poskytuje vysokoškolské vzdelávanie univerzitného typu najmä v technických disciplínach vo všetkých troch stupňoch vysokoškolského vzdelávania a</w:t>
      </w:r>
      <w:r w:rsidR="00D609FF" w:rsidRPr="002D7A10">
        <w:rPr>
          <w:rFonts w:asciiTheme="minorHAnsi" w:hAnsiTheme="minorHAnsi"/>
        </w:rPr>
        <w:t>j</w:t>
      </w:r>
      <w:r w:rsidRPr="002D7A10">
        <w:rPr>
          <w:rFonts w:asciiTheme="minorHAnsi" w:hAnsiTheme="minorHAnsi"/>
        </w:rPr>
        <w:t> v celoživotnom vzdelávaní. Na STU</w:t>
      </w:r>
      <w:r w:rsidR="00D609FF" w:rsidRPr="002D7A10">
        <w:rPr>
          <w:rFonts w:asciiTheme="minorHAnsi" w:hAnsiTheme="minorHAnsi"/>
        </w:rPr>
        <w:t xml:space="preserve"> študovalo</w:t>
      </w:r>
      <w:r w:rsidRPr="002D7A10">
        <w:rPr>
          <w:rFonts w:asciiTheme="minorHAnsi" w:hAnsiTheme="minorHAnsi"/>
        </w:rPr>
        <w:t xml:space="preserve"> v akademickom roku </w:t>
      </w:r>
      <w:r w:rsidR="001C3376" w:rsidRPr="002D7A10">
        <w:rPr>
          <w:rFonts w:asciiTheme="minorHAnsi" w:hAnsiTheme="minorHAnsi" w:cs="Calibri"/>
          <w:b/>
        </w:rPr>
        <w:t xml:space="preserve">2014/2015 bol 15 403 </w:t>
      </w:r>
      <w:r w:rsidRPr="002D7A10">
        <w:rPr>
          <w:rFonts w:asciiTheme="minorHAnsi" w:hAnsiTheme="minorHAnsi" w:cs="Calibri"/>
          <w:b/>
        </w:rPr>
        <w:t>študentov</w:t>
      </w:r>
      <w:r w:rsidRPr="002D7A10">
        <w:rPr>
          <w:rFonts w:asciiTheme="minorHAnsi" w:hAnsiTheme="minorHAnsi"/>
        </w:rPr>
        <w:t>.</w:t>
      </w:r>
      <w:r w:rsidRPr="002D7A10">
        <w:rPr>
          <w:rFonts w:asciiTheme="minorHAnsi" w:hAnsiTheme="minorHAnsi"/>
          <w:b/>
        </w:rPr>
        <w:t xml:space="preserve"> </w:t>
      </w:r>
      <w:r w:rsidR="001C3376" w:rsidRPr="002D7A10">
        <w:rPr>
          <w:rFonts w:asciiTheme="minorHAnsi" w:hAnsiTheme="minorHAnsi"/>
          <w:b/>
        </w:rPr>
        <w:t xml:space="preserve"> </w:t>
      </w:r>
      <w:r w:rsidR="001C3376" w:rsidRPr="002D7A10">
        <w:rPr>
          <w:rFonts w:asciiTheme="minorHAnsi" w:hAnsiTheme="minorHAnsi" w:cs="Calibri"/>
          <w:shd w:val="clear" w:color="auto" w:fill="FFFFFF"/>
        </w:rPr>
        <w:t>V</w:t>
      </w:r>
      <w:r w:rsidR="00CD3F3F" w:rsidRPr="002D7A10">
        <w:rPr>
          <w:rFonts w:asciiTheme="minorHAnsi" w:hAnsiTheme="minorHAnsi" w:cs="Calibri"/>
          <w:shd w:val="clear" w:color="auto" w:fill="FFFFFF"/>
        </w:rPr>
        <w:t xml:space="preserve"> tomto </w:t>
      </w:r>
      <w:r w:rsidR="001C3376" w:rsidRPr="002D7A10">
        <w:rPr>
          <w:rFonts w:asciiTheme="minorHAnsi" w:hAnsiTheme="minorHAnsi" w:cs="Calibri"/>
          <w:shd w:val="clear" w:color="auto" w:fill="FFFFFF"/>
        </w:rPr>
        <w:t xml:space="preserve">akademickom roku úspešne </w:t>
      </w:r>
      <w:r w:rsidR="001C3376" w:rsidRPr="002D7A10">
        <w:rPr>
          <w:rFonts w:asciiTheme="minorHAnsi" w:hAnsiTheme="minorHAnsi" w:cs="Calibri"/>
          <w:b/>
          <w:shd w:val="clear" w:color="auto" w:fill="FFFFFF"/>
        </w:rPr>
        <w:t xml:space="preserve">skončilo štúdium </w:t>
      </w:r>
      <w:r w:rsidR="00CD3F3F" w:rsidRPr="002D7A10">
        <w:rPr>
          <w:rFonts w:asciiTheme="minorHAnsi" w:hAnsiTheme="minorHAnsi" w:cs="Calibri"/>
          <w:b/>
          <w:shd w:val="clear" w:color="auto" w:fill="FFFFFF"/>
        </w:rPr>
        <w:t xml:space="preserve">na STU </w:t>
      </w:r>
      <w:r w:rsidR="001C3376" w:rsidRPr="002D7A10">
        <w:rPr>
          <w:rFonts w:asciiTheme="minorHAnsi" w:hAnsiTheme="minorHAnsi" w:cs="Calibri"/>
          <w:b/>
          <w:shd w:val="clear" w:color="auto" w:fill="FFFFFF"/>
        </w:rPr>
        <w:t>4 172 absolventov</w:t>
      </w:r>
      <w:r w:rsidR="001C3376" w:rsidRPr="002D7A10">
        <w:rPr>
          <w:rFonts w:asciiTheme="minorHAnsi" w:hAnsiTheme="minorHAnsi" w:cs="Calibri"/>
          <w:shd w:val="clear" w:color="auto" w:fill="FFFFFF"/>
        </w:rPr>
        <w:t>, z toho na prvom stupni 2 068 absolventov, na druhom stupni 1 859 absolventov a na treťom 245 absolventov.</w:t>
      </w:r>
    </w:p>
    <w:p w:rsidR="00AE1DDD" w:rsidRPr="002D7A10" w:rsidRDefault="00B51749" w:rsidP="00AE1DDD">
      <w:pPr>
        <w:rPr>
          <w:rFonts w:asciiTheme="minorHAnsi" w:hAnsiTheme="minorHAnsi"/>
        </w:rPr>
      </w:pPr>
      <w:r w:rsidRPr="002D7A10">
        <w:rPr>
          <w:rFonts w:asciiTheme="minorHAnsi" w:hAnsiTheme="minorHAnsi"/>
        </w:rPr>
        <w:t>Pre vzdelávací proces na STU je charakteristická spolupráca pracovísk univerzity s priemyselnou a spoločenskou praxou. STU a jej jednotlivé pracoviská tiež intenzívne spolupracujú s významnými vedeckými inštitúciami a univerzitami v zahraničí.</w:t>
      </w:r>
      <w:r w:rsidRPr="002D7A10">
        <w:rPr>
          <w:rFonts w:asciiTheme="minorHAnsi" w:hAnsiTheme="minorHAnsi"/>
          <w:color w:val="FF0000"/>
        </w:rPr>
        <w:t xml:space="preserve"> </w:t>
      </w:r>
      <w:r w:rsidR="00AE1DDD" w:rsidRPr="002D7A10">
        <w:rPr>
          <w:rFonts w:asciiTheme="minorHAnsi" w:hAnsiTheme="minorHAnsi"/>
          <w:b/>
        </w:rPr>
        <w:t>V roku 2015 sa na STU riešilo 2</w:t>
      </w:r>
      <w:r w:rsidR="00D41CFA">
        <w:rPr>
          <w:rFonts w:asciiTheme="minorHAnsi" w:hAnsiTheme="minorHAnsi"/>
          <w:b/>
        </w:rPr>
        <w:t>9</w:t>
      </w:r>
      <w:r w:rsidR="005F5D00">
        <w:rPr>
          <w:rFonts w:asciiTheme="minorHAnsi" w:hAnsiTheme="minorHAnsi"/>
          <w:b/>
        </w:rPr>
        <w:t>4</w:t>
      </w:r>
      <w:r w:rsidR="00AE1DDD" w:rsidRPr="002D7A10">
        <w:rPr>
          <w:rFonts w:asciiTheme="minorHAnsi" w:hAnsiTheme="minorHAnsi"/>
          <w:b/>
        </w:rPr>
        <w:t xml:space="preserve"> projektov zmluvného výskumu pre priemyselnú prax a takmer 500 výskumných projektov financovaných z grantov</w:t>
      </w:r>
      <w:r w:rsidR="00AE1DDD" w:rsidRPr="002D7A10">
        <w:rPr>
          <w:rFonts w:asciiTheme="minorHAnsi" w:hAnsiTheme="minorHAnsi"/>
        </w:rPr>
        <w:t>, z čoho bolo 22 projektov rámcových programov Európskej únie (7. RP a Horizont 2020), vrátane iniciatív ENIAC a ECSEL.</w:t>
      </w:r>
    </w:p>
    <w:p w:rsidR="00AE1DDD" w:rsidRPr="002D7A10" w:rsidRDefault="00AE1DDD" w:rsidP="00AE1DDD">
      <w:pPr>
        <w:rPr>
          <w:rFonts w:asciiTheme="minorHAnsi" w:hAnsiTheme="minorHAnsi"/>
        </w:rPr>
      </w:pPr>
    </w:p>
    <w:p w:rsidR="00B51749" w:rsidRPr="00BD1B30" w:rsidRDefault="00B51749" w:rsidP="00BD1B30">
      <w:pPr>
        <w:pStyle w:val="Odsekzoznamu"/>
        <w:spacing w:line="240" w:lineRule="auto"/>
        <w:ind w:left="0"/>
        <w:rPr>
          <w:rFonts w:asciiTheme="minorHAnsi" w:hAnsiTheme="minorHAnsi"/>
          <w:sz w:val="24"/>
          <w:szCs w:val="24"/>
        </w:rPr>
      </w:pPr>
      <w:r w:rsidRPr="002D7A10">
        <w:rPr>
          <w:rFonts w:asciiTheme="minorHAnsi" w:hAnsiTheme="minorHAnsi"/>
          <w:b/>
          <w:sz w:val="24"/>
          <w:szCs w:val="24"/>
        </w:rPr>
        <w:t>Názov</w:t>
      </w:r>
      <w:r w:rsidRPr="002D7A10">
        <w:rPr>
          <w:rFonts w:asciiTheme="minorHAnsi" w:hAnsiTheme="minorHAnsi"/>
          <w:sz w:val="24"/>
          <w:szCs w:val="24"/>
        </w:rPr>
        <w:t>: Slovenská technická univerzita v Bratislave</w:t>
      </w:r>
    </w:p>
    <w:p w:rsidR="00B51749" w:rsidRPr="002D7A10" w:rsidRDefault="00B51749" w:rsidP="00B51749">
      <w:pPr>
        <w:rPr>
          <w:rFonts w:asciiTheme="minorHAnsi" w:hAnsiTheme="minorHAnsi"/>
        </w:rPr>
      </w:pPr>
      <w:r w:rsidRPr="002D7A10">
        <w:rPr>
          <w:rFonts w:asciiTheme="minorHAnsi" w:hAnsiTheme="minorHAnsi"/>
          <w:b/>
        </w:rPr>
        <w:t>Začlenenie:</w:t>
      </w:r>
      <w:r w:rsidRPr="002D7A10">
        <w:rPr>
          <w:rFonts w:asciiTheme="minorHAnsi" w:hAnsiTheme="minorHAnsi"/>
        </w:rPr>
        <w:t xml:space="preserve"> univerzitná vysoká škola</w:t>
      </w:r>
    </w:p>
    <w:p w:rsidR="00B51749" w:rsidRPr="002D7A10" w:rsidRDefault="00B51749" w:rsidP="00B51749">
      <w:pPr>
        <w:rPr>
          <w:rFonts w:asciiTheme="minorHAnsi" w:hAnsiTheme="minorHAnsi"/>
        </w:rPr>
      </w:pPr>
    </w:p>
    <w:p w:rsidR="00B51749" w:rsidRPr="002D7A10" w:rsidRDefault="00B51749" w:rsidP="00B51749">
      <w:pPr>
        <w:rPr>
          <w:rFonts w:asciiTheme="minorHAnsi" w:hAnsiTheme="minorHAnsi"/>
        </w:rPr>
      </w:pPr>
      <w:r w:rsidRPr="002D7A10">
        <w:rPr>
          <w:rFonts w:asciiTheme="minorHAnsi" w:hAnsiTheme="minorHAnsi"/>
          <w:b/>
        </w:rPr>
        <w:t xml:space="preserve">História: </w:t>
      </w:r>
      <w:r w:rsidRPr="002D7A10">
        <w:rPr>
          <w:rFonts w:asciiTheme="minorHAnsi" w:hAnsiTheme="minorHAnsi"/>
        </w:rPr>
        <w:t xml:space="preserve">Slovenská technická univerzita v Bratislave je druhou najväčšou a druhou najstaršou univerzitou na Slovensku. Ako prvá polytechnika na Slovensku bola zriadená zákonom č. 170/1937 </w:t>
      </w:r>
      <w:proofErr w:type="spellStart"/>
      <w:r w:rsidRPr="002D7A10">
        <w:rPr>
          <w:rFonts w:asciiTheme="minorHAnsi" w:hAnsiTheme="minorHAnsi"/>
        </w:rPr>
        <w:t>Sb</w:t>
      </w:r>
      <w:proofErr w:type="spellEnd"/>
      <w:r w:rsidRPr="002D7A10">
        <w:rPr>
          <w:rFonts w:asciiTheme="minorHAnsi" w:hAnsiTheme="minorHAnsi"/>
        </w:rPr>
        <w:t xml:space="preserve">. z. a n. zo dňa 25. júna 1937 pod pôvodným názvom „Vysoká škola technická Dr. M. R. Štefánika“. Vládnym nariadením č. 6 zo dňa 14. 2. 1939 </w:t>
      </w:r>
      <w:proofErr w:type="spellStart"/>
      <w:r w:rsidRPr="002D7A10">
        <w:rPr>
          <w:rFonts w:asciiTheme="minorHAnsi" w:hAnsiTheme="minorHAnsi"/>
        </w:rPr>
        <w:t>Úr</w:t>
      </w:r>
      <w:proofErr w:type="spellEnd"/>
      <w:r w:rsidRPr="002D7A10">
        <w:rPr>
          <w:rFonts w:asciiTheme="minorHAnsi" w:hAnsiTheme="minorHAnsi"/>
        </w:rPr>
        <w:t>. n. bola premenovaná na „Slovenskú vysokú školu technickú“. Zákonom SNR č. 93/1991 Zb. s účinnosťou od 1. 4. 1991 bol zmenený názov školy na súčasný názov „Slovenská technická univerzita v Bratislave“.</w:t>
      </w:r>
    </w:p>
    <w:p w:rsidR="00B51749" w:rsidRPr="002D7A10" w:rsidRDefault="00B51749" w:rsidP="00B51749">
      <w:pPr>
        <w:rPr>
          <w:rFonts w:asciiTheme="minorHAnsi" w:hAnsiTheme="minorHAnsi"/>
        </w:rPr>
      </w:pPr>
      <w:r w:rsidRPr="002D7A10">
        <w:rPr>
          <w:rFonts w:asciiTheme="minorHAnsi" w:hAnsiTheme="minorHAnsi"/>
        </w:rPr>
        <w:t xml:space="preserve">STU nadväzuje na bohaté tradície technického vzdelávania, ktorého základy boli položené zriadením Banskej akadémie v Banskej Štiavnici v roku 1762. </w:t>
      </w:r>
    </w:p>
    <w:p w:rsidR="00B51749" w:rsidRPr="002D7A10" w:rsidRDefault="00B51749" w:rsidP="00B51749">
      <w:pPr>
        <w:rPr>
          <w:rFonts w:asciiTheme="minorHAnsi" w:hAnsiTheme="minorHAnsi"/>
        </w:rPr>
      </w:pPr>
    </w:p>
    <w:p w:rsidR="00B51749" w:rsidRPr="002D7A10" w:rsidRDefault="00B51749" w:rsidP="00B51749">
      <w:pPr>
        <w:rPr>
          <w:rFonts w:asciiTheme="minorHAnsi" w:hAnsiTheme="minorHAnsi"/>
        </w:rPr>
      </w:pPr>
      <w:r w:rsidRPr="002D7A10">
        <w:rPr>
          <w:rFonts w:asciiTheme="minorHAnsi" w:hAnsiTheme="minorHAnsi"/>
          <w:b/>
        </w:rPr>
        <w:t>Typ</w:t>
      </w:r>
      <w:r w:rsidRPr="002D7A10">
        <w:rPr>
          <w:rFonts w:asciiTheme="minorHAnsi" w:hAnsiTheme="minorHAnsi"/>
        </w:rPr>
        <w:t>: verejná vysoká škola</w:t>
      </w:r>
    </w:p>
    <w:p w:rsidR="00B51749" w:rsidRPr="002D7A10" w:rsidRDefault="00B51749" w:rsidP="00B51749">
      <w:pPr>
        <w:rPr>
          <w:rFonts w:asciiTheme="minorHAnsi" w:hAnsiTheme="minorHAnsi"/>
        </w:rPr>
      </w:pPr>
    </w:p>
    <w:p w:rsidR="00B51749" w:rsidRPr="002D7A10" w:rsidRDefault="00B51749" w:rsidP="00B51749">
      <w:pPr>
        <w:rPr>
          <w:rFonts w:asciiTheme="minorHAnsi" w:hAnsiTheme="minorHAnsi"/>
        </w:rPr>
      </w:pPr>
      <w:r w:rsidRPr="002D7A10">
        <w:rPr>
          <w:rFonts w:asciiTheme="minorHAnsi" w:hAnsiTheme="minorHAnsi"/>
          <w:b/>
        </w:rPr>
        <w:t xml:space="preserve">Poslanie vysokej školy: </w:t>
      </w:r>
      <w:r w:rsidRPr="002D7A10">
        <w:rPr>
          <w:rFonts w:asciiTheme="minorHAnsi" w:hAnsiTheme="minorHAnsi"/>
        </w:rPr>
        <w:t xml:space="preserve">Slovenská technická univerzita v Bratislave vychováva generáciu, ktorá je základom budúcej ekonomiky Slovenska. Praktická výučba, zapájanie študentov do výskumu a orientácia na inovatívne oblasti je predpokladom prípravy generácie pre ekonomiku, ktorá bude udržateľná, konkurencie schopná, inovatívna a bude tvoriť zamestnanosť. </w:t>
      </w:r>
    </w:p>
    <w:p w:rsidR="00B51749" w:rsidRPr="002D7A10" w:rsidRDefault="00B51749" w:rsidP="00B51749">
      <w:pPr>
        <w:rPr>
          <w:rFonts w:asciiTheme="minorHAnsi" w:hAnsiTheme="minorHAnsi"/>
        </w:rPr>
      </w:pPr>
    </w:p>
    <w:p w:rsidR="00B51749" w:rsidRPr="002D7A10" w:rsidRDefault="00B51749" w:rsidP="00B51749">
      <w:pPr>
        <w:rPr>
          <w:rFonts w:asciiTheme="minorHAnsi" w:hAnsiTheme="minorHAnsi"/>
          <w:color w:val="FF0000"/>
        </w:rPr>
      </w:pPr>
    </w:p>
    <w:p w:rsidR="00B51749" w:rsidRPr="00BD1B30" w:rsidRDefault="00B51749" w:rsidP="00B51749">
      <w:pPr>
        <w:rPr>
          <w:rFonts w:asciiTheme="minorHAnsi" w:hAnsiTheme="minorHAnsi"/>
          <w:b/>
        </w:rPr>
      </w:pPr>
      <w:r w:rsidRPr="002D7A10">
        <w:rPr>
          <w:rFonts w:asciiTheme="minorHAnsi" w:hAnsiTheme="minorHAnsi"/>
          <w:b/>
        </w:rPr>
        <w:lastRenderedPageBreak/>
        <w:t>Vedenie univerzity:</w:t>
      </w:r>
    </w:p>
    <w:p w:rsidR="00B51749" w:rsidRPr="002D7A10" w:rsidRDefault="00B51749" w:rsidP="00B51749">
      <w:pPr>
        <w:rPr>
          <w:rFonts w:asciiTheme="minorHAnsi" w:hAnsiTheme="minorHAnsi"/>
        </w:rPr>
      </w:pPr>
      <w:r w:rsidRPr="002D7A10">
        <w:rPr>
          <w:rFonts w:asciiTheme="minorHAnsi" w:hAnsiTheme="minorHAnsi"/>
        </w:rPr>
        <w:t>prof. Ing. Robert REDHAMMER, PhD.</w:t>
      </w:r>
      <w:r w:rsidRPr="002D7A10">
        <w:rPr>
          <w:rFonts w:asciiTheme="minorHAnsi" w:hAnsiTheme="minorHAnsi"/>
          <w:b/>
        </w:rPr>
        <w:t xml:space="preserve"> </w:t>
      </w:r>
      <w:r w:rsidRPr="002D7A10">
        <w:rPr>
          <w:rFonts w:asciiTheme="minorHAnsi" w:hAnsiTheme="minorHAnsi"/>
        </w:rPr>
        <w:t>(od. 23. 3. 2011)</w:t>
      </w:r>
    </w:p>
    <w:p w:rsidR="00B51749" w:rsidRPr="002D7A10" w:rsidRDefault="00B51749" w:rsidP="00B51749">
      <w:pPr>
        <w:rPr>
          <w:rFonts w:asciiTheme="minorHAnsi" w:hAnsiTheme="minorHAnsi"/>
          <w:i/>
        </w:rPr>
      </w:pPr>
      <w:r w:rsidRPr="002D7A10">
        <w:rPr>
          <w:rFonts w:asciiTheme="minorHAnsi" w:hAnsiTheme="minorHAnsi"/>
          <w:i/>
        </w:rPr>
        <w:t>rektor</w:t>
      </w:r>
    </w:p>
    <w:p w:rsidR="00B51749" w:rsidRPr="002D7A10" w:rsidRDefault="00B51749" w:rsidP="00B51749">
      <w:pPr>
        <w:rPr>
          <w:rFonts w:asciiTheme="minorHAnsi" w:hAnsiTheme="minorHAnsi"/>
          <w:i/>
        </w:rPr>
      </w:pPr>
    </w:p>
    <w:p w:rsidR="00B51749" w:rsidRPr="002D7A10" w:rsidRDefault="00B51749" w:rsidP="00B51749">
      <w:pPr>
        <w:rPr>
          <w:rFonts w:asciiTheme="minorHAnsi" w:hAnsiTheme="minorHAnsi"/>
        </w:rPr>
      </w:pPr>
      <w:r w:rsidRPr="002D7A10">
        <w:rPr>
          <w:rFonts w:asciiTheme="minorHAnsi" w:hAnsiTheme="minorHAnsi"/>
        </w:rPr>
        <w:t>prof. Ing. Marián PECIAR, PhD. (od 29. 3. 2011)</w:t>
      </w:r>
    </w:p>
    <w:p w:rsidR="00B51749" w:rsidRPr="002D7A10" w:rsidRDefault="00B51749" w:rsidP="00B51749">
      <w:pPr>
        <w:rPr>
          <w:rFonts w:asciiTheme="minorHAnsi" w:hAnsiTheme="minorHAnsi"/>
          <w:i/>
        </w:rPr>
      </w:pPr>
      <w:r w:rsidRPr="002D7A10">
        <w:rPr>
          <w:rFonts w:asciiTheme="minorHAnsi" w:hAnsiTheme="minorHAnsi"/>
          <w:i/>
        </w:rPr>
        <w:t>prorektor pre spoluprácu s praxou</w:t>
      </w:r>
    </w:p>
    <w:p w:rsidR="00B51749" w:rsidRPr="002D7A10" w:rsidRDefault="00B51749" w:rsidP="00B51749">
      <w:pPr>
        <w:rPr>
          <w:rFonts w:asciiTheme="minorHAnsi" w:hAnsiTheme="minorHAnsi"/>
          <w:i/>
        </w:rPr>
      </w:pPr>
      <w:r w:rsidRPr="002D7A10">
        <w:rPr>
          <w:rFonts w:asciiTheme="minorHAnsi" w:hAnsiTheme="minorHAnsi"/>
          <w:i/>
        </w:rPr>
        <w:t>štatutárny zástupca</w:t>
      </w:r>
    </w:p>
    <w:p w:rsidR="00B51749" w:rsidRPr="002D7A10" w:rsidRDefault="00B51749" w:rsidP="00B51749">
      <w:pPr>
        <w:rPr>
          <w:rFonts w:asciiTheme="minorHAnsi" w:hAnsiTheme="minorHAnsi"/>
          <w:i/>
        </w:rPr>
      </w:pPr>
    </w:p>
    <w:p w:rsidR="00B51749" w:rsidRPr="002D7A10" w:rsidRDefault="00B51749" w:rsidP="00B51749">
      <w:pPr>
        <w:rPr>
          <w:rFonts w:asciiTheme="minorHAnsi" w:hAnsiTheme="minorHAnsi"/>
        </w:rPr>
      </w:pPr>
      <w:r w:rsidRPr="002D7A10">
        <w:rPr>
          <w:rFonts w:asciiTheme="minorHAnsi" w:hAnsiTheme="minorHAnsi"/>
        </w:rPr>
        <w:t>prof. Ing. Stanislav BISKUPIČ, DrSc. (od 8. 4. 2011)</w:t>
      </w:r>
    </w:p>
    <w:p w:rsidR="00B51749" w:rsidRPr="002D7A10" w:rsidRDefault="00B51749" w:rsidP="00B51749">
      <w:pPr>
        <w:rPr>
          <w:rFonts w:asciiTheme="minorHAnsi" w:hAnsiTheme="minorHAnsi"/>
          <w:i/>
        </w:rPr>
      </w:pPr>
      <w:r w:rsidRPr="002D7A10">
        <w:rPr>
          <w:rFonts w:asciiTheme="minorHAnsi" w:hAnsiTheme="minorHAnsi"/>
          <w:i/>
        </w:rPr>
        <w:t>prorektor pre vedu a výskum</w:t>
      </w:r>
    </w:p>
    <w:p w:rsidR="00B51749" w:rsidRPr="002D7A10" w:rsidRDefault="00B51749" w:rsidP="00B51749">
      <w:pPr>
        <w:rPr>
          <w:rFonts w:asciiTheme="minorHAnsi" w:hAnsiTheme="minorHAnsi"/>
          <w:i/>
        </w:rPr>
      </w:pPr>
    </w:p>
    <w:p w:rsidR="00B51749" w:rsidRPr="002D7A10" w:rsidRDefault="00B51749" w:rsidP="00B51749">
      <w:pPr>
        <w:rPr>
          <w:rFonts w:asciiTheme="minorHAnsi" w:hAnsiTheme="minorHAnsi"/>
        </w:rPr>
      </w:pPr>
      <w:r w:rsidRPr="002D7A10">
        <w:rPr>
          <w:rFonts w:asciiTheme="minorHAnsi" w:hAnsiTheme="minorHAnsi"/>
        </w:rPr>
        <w:t xml:space="preserve">doc. Ing. </w:t>
      </w:r>
      <w:r w:rsidR="002E14BF" w:rsidRPr="002D7A10">
        <w:rPr>
          <w:rFonts w:asciiTheme="minorHAnsi" w:hAnsiTheme="minorHAnsi"/>
        </w:rPr>
        <w:t>Štefan STANKO</w:t>
      </w:r>
      <w:r w:rsidRPr="002D7A10">
        <w:rPr>
          <w:rFonts w:asciiTheme="minorHAnsi" w:hAnsiTheme="minorHAnsi"/>
        </w:rPr>
        <w:t>, PhD. (</w:t>
      </w:r>
      <w:r w:rsidR="00B478CE" w:rsidRPr="002D7A10">
        <w:rPr>
          <w:rFonts w:asciiTheme="minorHAnsi" w:hAnsiTheme="minorHAnsi"/>
        </w:rPr>
        <w:t>od 8.4.2015</w:t>
      </w:r>
      <w:r w:rsidRPr="002D7A10">
        <w:rPr>
          <w:rFonts w:asciiTheme="minorHAnsi" w:hAnsiTheme="minorHAnsi"/>
        </w:rPr>
        <w:t>)</w:t>
      </w:r>
    </w:p>
    <w:p w:rsidR="00B51749" w:rsidRPr="002D7A10" w:rsidRDefault="00B51749" w:rsidP="00B51749">
      <w:pPr>
        <w:rPr>
          <w:rFonts w:asciiTheme="minorHAnsi" w:hAnsiTheme="minorHAnsi"/>
          <w:i/>
        </w:rPr>
      </w:pPr>
      <w:r w:rsidRPr="002D7A10">
        <w:rPr>
          <w:rFonts w:asciiTheme="minorHAnsi" w:hAnsiTheme="minorHAnsi"/>
          <w:i/>
        </w:rPr>
        <w:t>prorektor pre vzdelávanie</w:t>
      </w:r>
      <w:r w:rsidR="002E14BF" w:rsidRPr="002D7A10">
        <w:rPr>
          <w:rFonts w:asciiTheme="minorHAnsi" w:hAnsiTheme="minorHAnsi"/>
          <w:i/>
        </w:rPr>
        <w:t xml:space="preserve"> a medzinárodné vzťahy</w:t>
      </w:r>
    </w:p>
    <w:p w:rsidR="00B51749" w:rsidRPr="002D7A10" w:rsidRDefault="00B51749" w:rsidP="00B51749">
      <w:pPr>
        <w:rPr>
          <w:rFonts w:asciiTheme="minorHAnsi" w:hAnsiTheme="minorHAnsi"/>
          <w:i/>
        </w:rPr>
      </w:pPr>
    </w:p>
    <w:p w:rsidR="00B51749" w:rsidRPr="002D7A10" w:rsidRDefault="002E14BF" w:rsidP="00B51749">
      <w:pPr>
        <w:rPr>
          <w:rFonts w:asciiTheme="minorHAnsi" w:hAnsiTheme="minorHAnsi"/>
          <w:color w:val="FF0000"/>
        </w:rPr>
      </w:pPr>
      <w:proofErr w:type="spellStart"/>
      <w:r w:rsidRPr="002D7A10">
        <w:rPr>
          <w:rFonts w:asciiTheme="minorHAnsi" w:hAnsiTheme="minorHAnsi"/>
          <w:bCs/>
        </w:rPr>
        <w:t>Dr.h.c</w:t>
      </w:r>
      <w:proofErr w:type="spellEnd"/>
      <w:r w:rsidRPr="002D7A10">
        <w:rPr>
          <w:rFonts w:asciiTheme="minorHAnsi" w:hAnsiTheme="minorHAnsi"/>
          <w:bCs/>
        </w:rPr>
        <w:t xml:space="preserve">., prof. </w:t>
      </w:r>
      <w:proofErr w:type="spellStart"/>
      <w:r w:rsidRPr="002D7A10">
        <w:rPr>
          <w:rFonts w:asciiTheme="minorHAnsi" w:hAnsiTheme="minorHAnsi"/>
          <w:bCs/>
        </w:rPr>
        <w:t>h.c</w:t>
      </w:r>
      <w:proofErr w:type="spellEnd"/>
      <w:r w:rsidRPr="002D7A10">
        <w:rPr>
          <w:rFonts w:asciiTheme="minorHAnsi" w:hAnsiTheme="minorHAnsi"/>
          <w:bCs/>
        </w:rPr>
        <w:t xml:space="preserve">., </w:t>
      </w:r>
      <w:r w:rsidRPr="002D7A10">
        <w:rPr>
          <w:rFonts w:asciiTheme="minorHAnsi" w:hAnsiTheme="minorHAnsi"/>
        </w:rPr>
        <w:t xml:space="preserve">prof. Dr. Ing. Oliver MORAVČÍK </w:t>
      </w:r>
      <w:r w:rsidR="00B51749" w:rsidRPr="002D7A10">
        <w:rPr>
          <w:rFonts w:asciiTheme="minorHAnsi" w:hAnsiTheme="minorHAnsi"/>
        </w:rPr>
        <w:t>(</w:t>
      </w:r>
      <w:r w:rsidR="00B478CE" w:rsidRPr="002D7A10">
        <w:rPr>
          <w:rFonts w:asciiTheme="minorHAnsi" w:hAnsiTheme="minorHAnsi"/>
        </w:rPr>
        <w:t>od 8.4.2015)</w:t>
      </w:r>
    </w:p>
    <w:p w:rsidR="00B51749" w:rsidRPr="002D7A10" w:rsidRDefault="00B51749" w:rsidP="00B51749">
      <w:pPr>
        <w:rPr>
          <w:rFonts w:asciiTheme="minorHAnsi" w:hAnsiTheme="minorHAnsi"/>
          <w:i/>
        </w:rPr>
      </w:pPr>
      <w:r w:rsidRPr="002D7A10">
        <w:rPr>
          <w:rFonts w:asciiTheme="minorHAnsi" w:hAnsiTheme="minorHAnsi"/>
          <w:i/>
        </w:rPr>
        <w:t xml:space="preserve">prorektor pre </w:t>
      </w:r>
      <w:r w:rsidR="002E14BF" w:rsidRPr="002D7A10">
        <w:rPr>
          <w:rFonts w:asciiTheme="minorHAnsi" w:hAnsiTheme="minorHAnsi"/>
          <w:i/>
        </w:rPr>
        <w:t xml:space="preserve">strategické projekty a </w:t>
      </w:r>
      <w:r w:rsidRPr="002D7A10">
        <w:rPr>
          <w:rFonts w:asciiTheme="minorHAnsi" w:hAnsiTheme="minorHAnsi"/>
          <w:i/>
        </w:rPr>
        <w:t>rozvoj</w:t>
      </w:r>
    </w:p>
    <w:p w:rsidR="00B51749" w:rsidRPr="002D7A10" w:rsidRDefault="00B51749" w:rsidP="00B51749">
      <w:pPr>
        <w:autoSpaceDE w:val="0"/>
        <w:autoSpaceDN w:val="0"/>
        <w:adjustRightInd w:val="0"/>
        <w:rPr>
          <w:rFonts w:asciiTheme="minorHAnsi" w:hAnsiTheme="minorHAnsi"/>
          <w:i/>
        </w:rPr>
      </w:pPr>
    </w:p>
    <w:p w:rsidR="00B51749" w:rsidRPr="002D7A10" w:rsidRDefault="00B51749" w:rsidP="00B51749">
      <w:pPr>
        <w:autoSpaceDE w:val="0"/>
        <w:autoSpaceDN w:val="0"/>
        <w:adjustRightInd w:val="0"/>
        <w:rPr>
          <w:rFonts w:asciiTheme="minorHAnsi" w:hAnsiTheme="minorHAnsi"/>
          <w:i/>
          <w:iCs/>
        </w:rPr>
      </w:pPr>
      <w:r w:rsidRPr="002D7A10">
        <w:rPr>
          <w:rFonts w:asciiTheme="minorHAnsi" w:hAnsiTheme="minorHAnsi"/>
        </w:rPr>
        <w:t>Ing. Dušan FAKTOR, PhD. (od 25. 7. 2012)</w:t>
      </w:r>
    </w:p>
    <w:p w:rsidR="00B51749" w:rsidRPr="002D7A10" w:rsidRDefault="00B51749" w:rsidP="00B51749">
      <w:pPr>
        <w:autoSpaceDE w:val="0"/>
        <w:autoSpaceDN w:val="0"/>
        <w:adjustRightInd w:val="0"/>
        <w:rPr>
          <w:rFonts w:asciiTheme="minorHAnsi" w:hAnsiTheme="minorHAnsi"/>
          <w:i/>
          <w:iCs/>
        </w:rPr>
      </w:pPr>
      <w:r w:rsidRPr="002D7A10">
        <w:rPr>
          <w:rFonts w:asciiTheme="minorHAnsi" w:hAnsiTheme="minorHAnsi"/>
          <w:i/>
          <w:iCs/>
        </w:rPr>
        <w:t>kvestor</w:t>
      </w:r>
    </w:p>
    <w:p w:rsidR="00B51749" w:rsidRPr="002D7A10" w:rsidRDefault="00B51749" w:rsidP="00B51749">
      <w:pPr>
        <w:autoSpaceDE w:val="0"/>
        <w:autoSpaceDN w:val="0"/>
        <w:adjustRightInd w:val="0"/>
        <w:rPr>
          <w:rFonts w:asciiTheme="minorHAnsi" w:hAnsiTheme="minorHAnsi"/>
          <w:i/>
          <w:iCs/>
        </w:rPr>
      </w:pPr>
    </w:p>
    <w:p w:rsidR="00B51749" w:rsidRPr="002D7A10" w:rsidRDefault="00B51749" w:rsidP="00B51749">
      <w:pPr>
        <w:autoSpaceDE w:val="0"/>
        <w:autoSpaceDN w:val="0"/>
        <w:adjustRightInd w:val="0"/>
        <w:rPr>
          <w:rFonts w:asciiTheme="minorHAnsi" w:hAnsiTheme="minorHAnsi"/>
          <w:i/>
          <w:iCs/>
          <w:color w:val="FF0000"/>
        </w:rPr>
      </w:pPr>
    </w:p>
    <w:p w:rsidR="00BD1B30" w:rsidRDefault="00B51749" w:rsidP="00BD1B30">
      <w:pPr>
        <w:rPr>
          <w:rFonts w:asciiTheme="minorHAnsi" w:hAnsiTheme="minorHAnsi"/>
          <w:b/>
        </w:rPr>
      </w:pPr>
      <w:r w:rsidRPr="002D7A10">
        <w:rPr>
          <w:rFonts w:asciiTheme="minorHAnsi" w:hAnsiTheme="minorHAnsi"/>
          <w:b/>
        </w:rPr>
        <w:t>Akademický senát STU:</w:t>
      </w:r>
    </w:p>
    <w:p w:rsidR="00086CA4" w:rsidRDefault="00B51749" w:rsidP="00086CA4">
      <w:pPr>
        <w:rPr>
          <w:rFonts w:asciiTheme="minorHAnsi" w:hAnsiTheme="minorHAnsi"/>
          <w:lang w:eastAsia="sk-SK"/>
        </w:rPr>
      </w:pPr>
      <w:r w:rsidRPr="002D7A10">
        <w:rPr>
          <w:rFonts w:asciiTheme="minorHAnsi" w:hAnsiTheme="minorHAnsi"/>
          <w:b/>
          <w:bCs/>
          <w:lang w:eastAsia="sk-SK"/>
        </w:rPr>
        <w:t xml:space="preserve">PREDSEDA </w:t>
      </w:r>
      <w:r w:rsidRPr="002D7A10">
        <w:rPr>
          <w:rFonts w:asciiTheme="minorHAnsi" w:hAnsiTheme="minorHAnsi"/>
          <w:lang w:eastAsia="sk-SK"/>
        </w:rPr>
        <w:br/>
      </w:r>
      <w:r w:rsidR="00F24F02" w:rsidRPr="002D7A10">
        <w:rPr>
          <w:rFonts w:asciiTheme="minorHAnsi" w:hAnsiTheme="minorHAnsi"/>
        </w:rPr>
        <w:t xml:space="preserve">prof. Ing. Ján HÍVEŠ, PhD. </w:t>
      </w:r>
      <w:r w:rsidRPr="002D7A10">
        <w:rPr>
          <w:rFonts w:asciiTheme="minorHAnsi" w:hAnsiTheme="minorHAnsi"/>
          <w:lang w:eastAsia="sk-SK"/>
        </w:rPr>
        <w:t>(</w:t>
      </w:r>
      <w:r w:rsidR="00F24F02" w:rsidRPr="002D7A10">
        <w:rPr>
          <w:rFonts w:asciiTheme="minorHAnsi" w:hAnsiTheme="minorHAnsi"/>
          <w:lang w:eastAsia="sk-SK"/>
        </w:rPr>
        <w:t>FCHPT</w:t>
      </w:r>
      <w:r w:rsidRPr="002D7A10">
        <w:rPr>
          <w:rFonts w:asciiTheme="minorHAnsi" w:hAnsiTheme="minorHAnsi"/>
          <w:lang w:eastAsia="sk-SK"/>
        </w:rPr>
        <w:t>) (funkčné obdobie 201</w:t>
      </w:r>
      <w:r w:rsidR="00F24F02" w:rsidRPr="002D7A10">
        <w:rPr>
          <w:rFonts w:asciiTheme="minorHAnsi" w:hAnsiTheme="minorHAnsi"/>
          <w:lang w:eastAsia="sk-SK"/>
        </w:rPr>
        <w:t>5</w:t>
      </w:r>
      <w:r w:rsidRPr="002D7A10">
        <w:rPr>
          <w:rFonts w:asciiTheme="minorHAnsi" w:hAnsiTheme="minorHAnsi"/>
          <w:lang w:eastAsia="sk-SK"/>
        </w:rPr>
        <w:t xml:space="preserve"> – </w:t>
      </w:r>
      <w:r w:rsidR="00086CA4">
        <w:rPr>
          <w:rFonts w:asciiTheme="minorHAnsi" w:hAnsiTheme="minorHAnsi"/>
          <w:lang w:eastAsia="sk-SK"/>
        </w:rPr>
        <w:t>201</w:t>
      </w:r>
      <w:r w:rsidR="00086CA4" w:rsidRPr="00961E05">
        <w:rPr>
          <w:rFonts w:asciiTheme="minorHAnsi" w:hAnsiTheme="minorHAnsi"/>
          <w:lang w:eastAsia="sk-SK"/>
        </w:rPr>
        <w:t>6</w:t>
      </w:r>
      <w:r w:rsidR="00272E08" w:rsidRPr="00961E05">
        <w:rPr>
          <w:rFonts w:asciiTheme="minorHAnsi" w:hAnsiTheme="minorHAnsi"/>
          <w:lang w:eastAsia="sk-SK"/>
        </w:rPr>
        <w:t>)</w:t>
      </w:r>
    </w:p>
    <w:p w:rsidR="00086CA4" w:rsidRDefault="00B51749" w:rsidP="00086CA4">
      <w:pPr>
        <w:rPr>
          <w:rFonts w:asciiTheme="minorHAnsi" w:hAnsiTheme="minorHAnsi"/>
          <w:b/>
        </w:rPr>
      </w:pPr>
      <w:r w:rsidRPr="002D7A10">
        <w:rPr>
          <w:rFonts w:asciiTheme="minorHAnsi" w:hAnsiTheme="minorHAnsi"/>
          <w:b/>
          <w:bCs/>
          <w:lang w:eastAsia="sk-SK"/>
        </w:rPr>
        <w:t>PODPREDSEDA</w:t>
      </w:r>
      <w:r w:rsidRPr="002D7A10">
        <w:rPr>
          <w:rFonts w:asciiTheme="minorHAnsi" w:hAnsiTheme="minorHAnsi"/>
          <w:lang w:eastAsia="sk-SK"/>
        </w:rPr>
        <w:t xml:space="preserve"> </w:t>
      </w:r>
      <w:r w:rsidRPr="002D7A10">
        <w:rPr>
          <w:rFonts w:asciiTheme="minorHAnsi" w:hAnsiTheme="minorHAnsi"/>
          <w:color w:val="FF0000"/>
          <w:lang w:eastAsia="sk-SK"/>
        </w:rPr>
        <w:br/>
      </w:r>
      <w:r w:rsidR="00F24F02" w:rsidRPr="002D7A10">
        <w:rPr>
          <w:rFonts w:asciiTheme="minorHAnsi" w:eastAsia="Times New Roman" w:hAnsiTheme="minorHAnsi"/>
          <w:lang w:eastAsia="sk-SK"/>
        </w:rPr>
        <w:t>doc. Ing. arch. Milan ANDRÁŠ, PhD. (FA)</w:t>
      </w:r>
    </w:p>
    <w:p w:rsidR="00F24F02" w:rsidRPr="00086CA4" w:rsidRDefault="00F24F02" w:rsidP="00086CA4">
      <w:pPr>
        <w:rPr>
          <w:rFonts w:asciiTheme="minorHAnsi" w:hAnsiTheme="minorHAnsi"/>
          <w:b/>
        </w:rPr>
      </w:pPr>
      <w:r w:rsidRPr="002D7A10">
        <w:rPr>
          <w:rFonts w:asciiTheme="minorHAnsi" w:eastAsia="Times New Roman" w:hAnsiTheme="minorHAnsi"/>
          <w:b/>
          <w:bCs/>
          <w:lang w:eastAsia="sk-SK"/>
        </w:rPr>
        <w:t>TAJOMNÍČKA</w:t>
      </w:r>
      <w:r w:rsidRPr="002D7A10">
        <w:rPr>
          <w:rFonts w:asciiTheme="minorHAnsi" w:eastAsia="Times New Roman" w:hAnsiTheme="minorHAnsi"/>
          <w:lang w:eastAsia="sk-SK"/>
        </w:rPr>
        <w:br/>
        <w:t xml:space="preserve">Mgr. Magdaléna DUBECKÁ </w:t>
      </w:r>
    </w:p>
    <w:p w:rsidR="00F24F02" w:rsidRPr="002D7A10" w:rsidRDefault="00F24F02" w:rsidP="00F24F02">
      <w:pPr>
        <w:rPr>
          <w:rFonts w:asciiTheme="minorHAnsi" w:hAnsiTheme="minorHAnsi"/>
          <w:b/>
          <w:bCs/>
          <w:color w:val="FF0000"/>
          <w:lang w:eastAsia="sk-SK"/>
        </w:rPr>
      </w:pPr>
    </w:p>
    <w:p w:rsidR="00F24F02" w:rsidRPr="002D7A10" w:rsidRDefault="00B51749" w:rsidP="00F24F02">
      <w:pPr>
        <w:rPr>
          <w:rFonts w:asciiTheme="minorHAnsi" w:eastAsia="Times New Roman" w:hAnsiTheme="minorHAnsi"/>
          <w:b/>
          <w:bCs/>
          <w:lang w:eastAsia="sk-SK"/>
        </w:rPr>
      </w:pPr>
      <w:r w:rsidRPr="002D7A10">
        <w:rPr>
          <w:rFonts w:asciiTheme="minorHAnsi" w:hAnsiTheme="minorHAnsi"/>
          <w:b/>
          <w:bCs/>
          <w:lang w:eastAsia="sk-SK"/>
        </w:rPr>
        <w:t>ČLENOVIA –</w:t>
      </w:r>
      <w:r w:rsidR="00F24F02" w:rsidRPr="002D7A10">
        <w:rPr>
          <w:rFonts w:asciiTheme="minorHAnsi" w:eastAsia="Times New Roman" w:hAnsiTheme="minorHAnsi"/>
          <w:b/>
          <w:bCs/>
          <w:lang w:eastAsia="sk-SK"/>
        </w:rPr>
        <w:t xml:space="preserve"> zamestnanecká časť </w:t>
      </w:r>
      <w:r w:rsidR="00F24F02" w:rsidRPr="002D7A10">
        <w:rPr>
          <w:rFonts w:asciiTheme="minorHAnsi" w:hAnsiTheme="minorHAnsi"/>
          <w:lang w:eastAsia="sk-SK"/>
        </w:rPr>
        <w:t>(funkčné obdobie 2015 – 2019)</w:t>
      </w:r>
    </w:p>
    <w:p w:rsidR="008116AD" w:rsidRPr="002D7A10" w:rsidRDefault="008116AD" w:rsidP="008116AD">
      <w:pPr>
        <w:jc w:val="left"/>
        <w:rPr>
          <w:rFonts w:asciiTheme="minorHAnsi" w:eastAsia="Times New Roman" w:hAnsiTheme="minorHAnsi"/>
          <w:lang w:eastAsia="sk-SK"/>
        </w:rPr>
      </w:pPr>
      <w:r w:rsidRPr="002D7A10">
        <w:rPr>
          <w:rFonts w:asciiTheme="minorHAnsi" w:eastAsia="Times New Roman" w:hAnsiTheme="minorHAnsi"/>
          <w:lang w:eastAsia="sk-SK"/>
        </w:rPr>
        <w:t xml:space="preserve">prof. PhDr. Miroslav </w:t>
      </w:r>
      <w:r w:rsidR="00F24F02" w:rsidRPr="002D7A10">
        <w:rPr>
          <w:rFonts w:asciiTheme="minorHAnsi" w:eastAsia="Times New Roman" w:hAnsiTheme="minorHAnsi"/>
          <w:lang w:eastAsia="sk-SK"/>
        </w:rPr>
        <w:t>BOBRÍK, CSc. (FCHPT)</w:t>
      </w:r>
      <w:r w:rsidR="00F24F02" w:rsidRPr="002D7A10">
        <w:rPr>
          <w:rFonts w:asciiTheme="minorHAnsi" w:eastAsia="Times New Roman" w:hAnsiTheme="minorHAnsi"/>
          <w:lang w:eastAsia="sk-SK"/>
        </w:rPr>
        <w:br/>
      </w:r>
      <w:r w:rsidRPr="002D7A10">
        <w:rPr>
          <w:rFonts w:asciiTheme="minorHAnsi" w:eastAsia="Times New Roman" w:hAnsiTheme="minorHAnsi"/>
          <w:lang w:eastAsia="sk-SK"/>
        </w:rPr>
        <w:t xml:space="preserve">prof. Ing. </w:t>
      </w:r>
      <w:r w:rsidR="00F24F02" w:rsidRPr="002D7A10">
        <w:rPr>
          <w:rFonts w:asciiTheme="minorHAnsi" w:eastAsia="Times New Roman" w:hAnsiTheme="minorHAnsi"/>
          <w:lang w:eastAsia="sk-SK"/>
        </w:rPr>
        <w:t>Ľubomír</w:t>
      </w:r>
      <w:r w:rsidRPr="002D7A10">
        <w:rPr>
          <w:rFonts w:asciiTheme="minorHAnsi" w:eastAsia="Times New Roman" w:hAnsiTheme="minorHAnsi"/>
          <w:lang w:eastAsia="sk-SK"/>
        </w:rPr>
        <w:t xml:space="preserve"> ČAPLOVIČ</w:t>
      </w:r>
      <w:r w:rsidR="00F24F02" w:rsidRPr="002D7A10">
        <w:rPr>
          <w:rFonts w:asciiTheme="minorHAnsi" w:eastAsia="Times New Roman" w:hAnsiTheme="minorHAnsi"/>
          <w:lang w:eastAsia="sk-SK"/>
        </w:rPr>
        <w:t>, PhD. (MTF)</w:t>
      </w:r>
      <w:r w:rsidR="00F24F02" w:rsidRPr="002D7A10">
        <w:rPr>
          <w:rFonts w:asciiTheme="minorHAnsi" w:eastAsia="Times New Roman" w:hAnsiTheme="minorHAnsi"/>
          <w:lang w:eastAsia="sk-SK"/>
        </w:rPr>
        <w:br/>
        <w:t>doc. Ing. Jozef DICKÝ, PhD. (SvF)</w:t>
      </w:r>
      <w:r w:rsidR="00F24F02" w:rsidRPr="002D7A10">
        <w:rPr>
          <w:rFonts w:asciiTheme="minorHAnsi" w:eastAsia="Times New Roman" w:hAnsiTheme="minorHAnsi"/>
          <w:lang w:eastAsia="sk-SK"/>
        </w:rPr>
        <w:br/>
      </w:r>
      <w:r w:rsidRPr="002D7A10">
        <w:rPr>
          <w:rFonts w:asciiTheme="minorHAnsi" w:hAnsiTheme="minorHAnsi"/>
        </w:rPr>
        <w:t xml:space="preserve">prof. Ing. arch. Maroš </w:t>
      </w:r>
      <w:proofErr w:type="spellStart"/>
      <w:r w:rsidRPr="002D7A10">
        <w:rPr>
          <w:rFonts w:asciiTheme="minorHAnsi" w:hAnsiTheme="minorHAnsi"/>
        </w:rPr>
        <w:t>Finka</w:t>
      </w:r>
      <w:proofErr w:type="spellEnd"/>
      <w:r w:rsidRPr="002D7A10">
        <w:rPr>
          <w:rFonts w:asciiTheme="minorHAnsi" w:hAnsiTheme="minorHAnsi"/>
        </w:rPr>
        <w:t>, PhD.</w:t>
      </w:r>
      <w:r w:rsidR="00F24F02" w:rsidRPr="002D7A10">
        <w:rPr>
          <w:rFonts w:asciiTheme="minorHAnsi" w:eastAsia="Times New Roman" w:hAnsiTheme="minorHAnsi"/>
          <w:lang w:eastAsia="sk-SK"/>
        </w:rPr>
        <w:t xml:space="preserve"> (ÚM)</w:t>
      </w:r>
      <w:r w:rsidRPr="002D7A10">
        <w:rPr>
          <w:rFonts w:asciiTheme="minorHAnsi" w:eastAsia="Times New Roman" w:hAnsiTheme="minorHAnsi"/>
          <w:lang w:eastAsia="sk-SK"/>
        </w:rPr>
        <w:t xml:space="preserve"> </w:t>
      </w:r>
    </w:p>
    <w:p w:rsidR="00F24F02" w:rsidRPr="002D7A10" w:rsidRDefault="008116AD" w:rsidP="008116AD">
      <w:pPr>
        <w:jc w:val="left"/>
        <w:rPr>
          <w:rFonts w:asciiTheme="minorHAnsi" w:eastAsia="Times New Roman" w:hAnsiTheme="minorHAnsi"/>
          <w:lang w:eastAsia="sk-SK"/>
        </w:rPr>
      </w:pPr>
      <w:r w:rsidRPr="002D7A10">
        <w:rPr>
          <w:rFonts w:asciiTheme="minorHAnsi" w:eastAsia="Times New Roman" w:hAnsiTheme="minorHAnsi"/>
          <w:lang w:eastAsia="sk-SK"/>
        </w:rPr>
        <w:t xml:space="preserve">prof. Ing. Ladislav </w:t>
      </w:r>
      <w:r w:rsidR="00F24F02" w:rsidRPr="002D7A10">
        <w:rPr>
          <w:rFonts w:asciiTheme="minorHAnsi" w:eastAsia="Times New Roman" w:hAnsiTheme="minorHAnsi"/>
          <w:lang w:eastAsia="sk-SK"/>
        </w:rPr>
        <w:t>GULAN</w:t>
      </w:r>
      <w:r w:rsidRPr="002D7A10">
        <w:rPr>
          <w:rFonts w:asciiTheme="minorHAnsi" w:eastAsia="Times New Roman" w:hAnsiTheme="minorHAnsi"/>
          <w:lang w:eastAsia="sk-SK"/>
        </w:rPr>
        <w:t>,</w:t>
      </w:r>
      <w:r w:rsidR="00F24F02" w:rsidRPr="002D7A10">
        <w:rPr>
          <w:rFonts w:asciiTheme="minorHAnsi" w:eastAsia="Times New Roman" w:hAnsiTheme="minorHAnsi"/>
          <w:lang w:eastAsia="sk-SK"/>
        </w:rPr>
        <w:t xml:space="preserve"> PhD. (SjF)</w:t>
      </w:r>
      <w:r w:rsidR="00F24F02" w:rsidRPr="002D7A10">
        <w:rPr>
          <w:rFonts w:asciiTheme="minorHAnsi" w:eastAsia="Times New Roman" w:hAnsiTheme="minorHAnsi"/>
          <w:lang w:eastAsia="sk-SK"/>
        </w:rPr>
        <w:br/>
      </w:r>
      <w:r w:rsidRPr="002D7A10">
        <w:rPr>
          <w:rFonts w:asciiTheme="minorHAnsi" w:eastAsia="Times New Roman" w:hAnsiTheme="minorHAnsi"/>
          <w:lang w:eastAsia="sk-SK"/>
        </w:rPr>
        <w:t xml:space="preserve">doc. Ing. Ľuboš HRUŠTINEC, </w:t>
      </w:r>
      <w:r w:rsidR="00F24F02" w:rsidRPr="002D7A10">
        <w:rPr>
          <w:rFonts w:asciiTheme="minorHAnsi" w:eastAsia="Times New Roman" w:hAnsiTheme="minorHAnsi"/>
          <w:lang w:eastAsia="sk-SK"/>
        </w:rPr>
        <w:t>PhD. (SvF)</w:t>
      </w:r>
      <w:r w:rsidR="00F24F02" w:rsidRPr="002D7A10">
        <w:rPr>
          <w:rFonts w:asciiTheme="minorHAnsi" w:eastAsia="Times New Roman" w:hAnsiTheme="minorHAnsi"/>
          <w:lang w:eastAsia="sk-SK"/>
        </w:rPr>
        <w:br/>
      </w:r>
      <w:r w:rsidRPr="002D7A10">
        <w:rPr>
          <w:rFonts w:asciiTheme="minorHAnsi" w:eastAsia="Times New Roman" w:hAnsiTheme="minorHAnsi"/>
          <w:lang w:eastAsia="sk-SK"/>
        </w:rPr>
        <w:t xml:space="preserve">prof. Ing. Ivan </w:t>
      </w:r>
      <w:r w:rsidR="00F24F02" w:rsidRPr="002D7A10">
        <w:rPr>
          <w:rFonts w:asciiTheme="minorHAnsi" w:eastAsia="Times New Roman" w:hAnsiTheme="minorHAnsi"/>
          <w:lang w:eastAsia="sk-SK"/>
        </w:rPr>
        <w:t>HUDEC, PhD. (FCHPT)</w:t>
      </w:r>
      <w:r w:rsidR="00F24F02" w:rsidRPr="002D7A10">
        <w:rPr>
          <w:rFonts w:asciiTheme="minorHAnsi" w:eastAsia="Times New Roman" w:hAnsiTheme="minorHAnsi"/>
          <w:lang w:eastAsia="sk-SK"/>
        </w:rPr>
        <w:br/>
      </w:r>
      <w:r w:rsidRPr="002D7A10">
        <w:rPr>
          <w:rFonts w:asciiTheme="minorHAnsi" w:eastAsia="Times New Roman" w:hAnsiTheme="minorHAnsi"/>
          <w:lang w:eastAsia="sk-SK"/>
        </w:rPr>
        <w:t xml:space="preserve">doc. Ing. arch. </w:t>
      </w:r>
      <w:r w:rsidR="00F24F02" w:rsidRPr="002D7A10">
        <w:rPr>
          <w:rFonts w:asciiTheme="minorHAnsi" w:eastAsia="Times New Roman" w:hAnsiTheme="minorHAnsi"/>
          <w:lang w:eastAsia="sk-SK"/>
        </w:rPr>
        <w:t>Jarmila</w:t>
      </w:r>
      <w:r w:rsidRPr="002D7A10">
        <w:rPr>
          <w:rFonts w:asciiTheme="minorHAnsi" w:eastAsia="Times New Roman" w:hAnsiTheme="minorHAnsi"/>
          <w:lang w:eastAsia="sk-SK"/>
        </w:rPr>
        <w:t xml:space="preserve"> HÚSENICOVÁ</w:t>
      </w:r>
      <w:r w:rsidR="00F24F02" w:rsidRPr="002D7A10">
        <w:rPr>
          <w:rFonts w:asciiTheme="minorHAnsi" w:eastAsia="Times New Roman" w:hAnsiTheme="minorHAnsi"/>
          <w:lang w:eastAsia="sk-SK"/>
        </w:rPr>
        <w:t>, PhD. (SvF)</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t xml:space="preserve">prof. Ing. </w:t>
      </w:r>
      <w:r w:rsidR="00F24F02" w:rsidRPr="002D7A10">
        <w:rPr>
          <w:rFonts w:asciiTheme="minorHAnsi" w:eastAsia="Times New Roman" w:hAnsiTheme="minorHAnsi"/>
          <w:lang w:eastAsia="sk-SK"/>
        </w:rPr>
        <w:t>František</w:t>
      </w:r>
      <w:r w:rsidRPr="002D7A10">
        <w:rPr>
          <w:rFonts w:asciiTheme="minorHAnsi" w:eastAsia="Times New Roman" w:hAnsiTheme="minorHAnsi"/>
          <w:lang w:eastAsia="sk-SK"/>
        </w:rPr>
        <w:t xml:space="preserve"> JANÍČEK</w:t>
      </w:r>
      <w:r w:rsidR="00F24F02" w:rsidRPr="002D7A10">
        <w:rPr>
          <w:rFonts w:asciiTheme="minorHAnsi" w:eastAsia="Times New Roman" w:hAnsiTheme="minorHAnsi"/>
          <w:lang w:eastAsia="sk-SK"/>
        </w:rPr>
        <w:t>, PhD. (FEI)</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t xml:space="preserve">doc. Ing. arch. </w:t>
      </w:r>
      <w:r w:rsidR="00F24F02" w:rsidRPr="002D7A10">
        <w:rPr>
          <w:rFonts w:asciiTheme="minorHAnsi" w:eastAsia="Times New Roman" w:hAnsiTheme="minorHAnsi"/>
          <w:lang w:eastAsia="sk-SK"/>
        </w:rPr>
        <w:t>Danica</w:t>
      </w:r>
      <w:r w:rsidRPr="002D7A10">
        <w:rPr>
          <w:rFonts w:asciiTheme="minorHAnsi" w:eastAsia="Times New Roman" w:hAnsiTheme="minorHAnsi"/>
          <w:lang w:eastAsia="sk-SK"/>
        </w:rPr>
        <w:t xml:space="preserve"> KONČEKOVÁ</w:t>
      </w:r>
      <w:r w:rsidR="00F24F02" w:rsidRPr="002D7A10">
        <w:rPr>
          <w:rFonts w:asciiTheme="minorHAnsi" w:eastAsia="Times New Roman" w:hAnsiTheme="minorHAnsi"/>
          <w:lang w:eastAsia="sk-SK"/>
        </w:rPr>
        <w:t>, PhD. (FA)</w:t>
      </w:r>
      <w:r w:rsidR="00F24F02" w:rsidRPr="002D7A10">
        <w:rPr>
          <w:rFonts w:asciiTheme="minorHAnsi" w:eastAsia="Times New Roman" w:hAnsiTheme="minorHAnsi"/>
          <w:lang w:eastAsia="sk-SK"/>
        </w:rPr>
        <w:br/>
      </w:r>
      <w:r w:rsidR="009C0CB0" w:rsidRPr="002D7A10">
        <w:rPr>
          <w:rFonts w:asciiTheme="minorHAnsi" w:eastAsia="Times New Roman" w:hAnsiTheme="minorHAnsi"/>
          <w:lang w:eastAsia="sk-SK"/>
        </w:rPr>
        <w:t xml:space="preserve">Ing. </w:t>
      </w:r>
      <w:r w:rsidR="00F24F02" w:rsidRPr="002D7A10">
        <w:rPr>
          <w:rFonts w:asciiTheme="minorHAnsi" w:eastAsia="Times New Roman" w:hAnsiTheme="minorHAnsi"/>
          <w:lang w:eastAsia="sk-SK"/>
        </w:rPr>
        <w:t>Tomáš</w:t>
      </w:r>
      <w:r w:rsidRPr="002D7A10">
        <w:rPr>
          <w:rFonts w:asciiTheme="minorHAnsi" w:eastAsia="Times New Roman" w:hAnsiTheme="minorHAnsi"/>
          <w:lang w:eastAsia="sk-SK"/>
        </w:rPr>
        <w:t xml:space="preserve"> KOVÁČIK</w:t>
      </w:r>
      <w:r w:rsidR="00F24F02" w:rsidRPr="002D7A10">
        <w:rPr>
          <w:rFonts w:asciiTheme="minorHAnsi" w:eastAsia="Times New Roman" w:hAnsiTheme="minorHAnsi"/>
          <w:lang w:eastAsia="sk-SK"/>
        </w:rPr>
        <w:t>, PhD.(FIIT)</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t xml:space="preserve">prof. Ing. </w:t>
      </w:r>
      <w:r w:rsidR="00F24F02" w:rsidRPr="002D7A10">
        <w:rPr>
          <w:rFonts w:asciiTheme="minorHAnsi" w:eastAsia="Times New Roman" w:hAnsiTheme="minorHAnsi"/>
          <w:lang w:eastAsia="sk-SK"/>
        </w:rPr>
        <w:t>Vladimír</w:t>
      </w:r>
      <w:r w:rsidRPr="002D7A10">
        <w:rPr>
          <w:rFonts w:asciiTheme="minorHAnsi" w:eastAsia="Times New Roman" w:hAnsiTheme="minorHAnsi"/>
          <w:lang w:eastAsia="sk-SK"/>
        </w:rPr>
        <w:t xml:space="preserve"> LUKEŠ</w:t>
      </w:r>
      <w:r w:rsidR="00F24F02" w:rsidRPr="002D7A10">
        <w:rPr>
          <w:rFonts w:asciiTheme="minorHAnsi" w:eastAsia="Times New Roman" w:hAnsiTheme="minorHAnsi"/>
          <w:lang w:eastAsia="sk-SK"/>
        </w:rPr>
        <w:t>, DrSc. (FCHPT)</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t xml:space="preserve">doc. Ing. </w:t>
      </w:r>
      <w:r w:rsidR="00F24F02" w:rsidRPr="002D7A10">
        <w:rPr>
          <w:rFonts w:asciiTheme="minorHAnsi" w:eastAsia="Times New Roman" w:hAnsiTheme="minorHAnsi"/>
          <w:lang w:eastAsia="sk-SK"/>
        </w:rPr>
        <w:t>Milan</w:t>
      </w:r>
      <w:r w:rsidRPr="002D7A10">
        <w:rPr>
          <w:rFonts w:asciiTheme="minorHAnsi" w:eastAsia="Times New Roman" w:hAnsiTheme="minorHAnsi"/>
          <w:lang w:eastAsia="sk-SK"/>
        </w:rPr>
        <w:t xml:space="preserve"> NAĎ</w:t>
      </w:r>
      <w:r w:rsidR="00F24F02" w:rsidRPr="002D7A10">
        <w:rPr>
          <w:rFonts w:asciiTheme="minorHAnsi" w:eastAsia="Times New Roman" w:hAnsiTheme="minorHAnsi"/>
          <w:lang w:eastAsia="sk-SK"/>
        </w:rPr>
        <w:t>, CSc. (MTF)</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t xml:space="preserve">Ing. arch. </w:t>
      </w:r>
      <w:r w:rsidR="00F24F02" w:rsidRPr="002D7A10">
        <w:rPr>
          <w:rFonts w:asciiTheme="minorHAnsi" w:eastAsia="Times New Roman" w:hAnsiTheme="minorHAnsi"/>
          <w:lang w:eastAsia="sk-SK"/>
        </w:rPr>
        <w:t>Pavel</w:t>
      </w:r>
      <w:r w:rsidRPr="002D7A10">
        <w:rPr>
          <w:rFonts w:asciiTheme="minorHAnsi" w:eastAsia="Times New Roman" w:hAnsiTheme="minorHAnsi"/>
          <w:lang w:eastAsia="sk-SK"/>
        </w:rPr>
        <w:t xml:space="preserve"> NAHÁLKA</w:t>
      </w:r>
      <w:r w:rsidR="00016545" w:rsidRPr="002D7A10">
        <w:rPr>
          <w:rFonts w:asciiTheme="minorHAnsi" w:eastAsia="Times New Roman" w:hAnsiTheme="minorHAnsi"/>
          <w:lang w:eastAsia="sk-SK"/>
        </w:rPr>
        <w:t xml:space="preserve">, </w:t>
      </w:r>
      <w:r w:rsidR="00F24F02" w:rsidRPr="002D7A10">
        <w:rPr>
          <w:rFonts w:asciiTheme="minorHAnsi" w:eastAsia="Times New Roman" w:hAnsiTheme="minorHAnsi"/>
          <w:lang w:eastAsia="sk-SK"/>
        </w:rPr>
        <w:t>PhD. (FA)</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t xml:space="preserve">prof. Ing. </w:t>
      </w:r>
      <w:r w:rsidR="00F24F02" w:rsidRPr="002D7A10">
        <w:rPr>
          <w:rFonts w:asciiTheme="minorHAnsi" w:eastAsia="Times New Roman" w:hAnsiTheme="minorHAnsi"/>
          <w:lang w:eastAsia="sk-SK"/>
        </w:rPr>
        <w:t>Vladimír</w:t>
      </w:r>
      <w:r w:rsidRPr="002D7A10">
        <w:rPr>
          <w:rFonts w:asciiTheme="minorHAnsi" w:eastAsia="Times New Roman" w:hAnsiTheme="minorHAnsi"/>
          <w:lang w:eastAsia="sk-SK"/>
        </w:rPr>
        <w:t xml:space="preserve"> NEČAS</w:t>
      </w:r>
      <w:r w:rsidR="00F24F02" w:rsidRPr="002D7A10">
        <w:rPr>
          <w:rFonts w:asciiTheme="minorHAnsi" w:eastAsia="Times New Roman" w:hAnsiTheme="minorHAnsi"/>
          <w:lang w:eastAsia="sk-SK"/>
        </w:rPr>
        <w:t>, PhD. (FEI)</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t xml:space="preserve">doc. Ing. </w:t>
      </w:r>
      <w:r w:rsidR="00F24F02" w:rsidRPr="002D7A10">
        <w:rPr>
          <w:rFonts w:asciiTheme="minorHAnsi" w:eastAsia="Times New Roman" w:hAnsiTheme="minorHAnsi"/>
          <w:lang w:eastAsia="sk-SK"/>
        </w:rPr>
        <w:t>Jarmila</w:t>
      </w:r>
      <w:r w:rsidRPr="002D7A10">
        <w:rPr>
          <w:rFonts w:asciiTheme="minorHAnsi" w:eastAsia="Times New Roman" w:hAnsiTheme="minorHAnsi"/>
          <w:lang w:eastAsia="sk-SK"/>
        </w:rPr>
        <w:t xml:space="preserve"> PAVLOVIČOVÁ</w:t>
      </w:r>
      <w:r w:rsidR="00F24F02" w:rsidRPr="002D7A10">
        <w:rPr>
          <w:rFonts w:asciiTheme="minorHAnsi" w:eastAsia="Times New Roman" w:hAnsiTheme="minorHAnsi"/>
          <w:lang w:eastAsia="sk-SK"/>
        </w:rPr>
        <w:t>, PhD. (FEI)</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t xml:space="preserve">doc. Ing. </w:t>
      </w:r>
      <w:r w:rsidR="00F24F02" w:rsidRPr="002D7A10">
        <w:rPr>
          <w:rFonts w:asciiTheme="minorHAnsi" w:eastAsia="Times New Roman" w:hAnsiTheme="minorHAnsi"/>
          <w:lang w:eastAsia="sk-SK"/>
        </w:rPr>
        <w:t>František</w:t>
      </w:r>
      <w:r w:rsidRPr="002D7A10">
        <w:rPr>
          <w:rFonts w:asciiTheme="minorHAnsi" w:eastAsia="Times New Roman" w:hAnsiTheme="minorHAnsi"/>
          <w:lang w:eastAsia="sk-SK"/>
        </w:rPr>
        <w:t xml:space="preserve"> RIDZOŇ</w:t>
      </w:r>
      <w:r w:rsidR="00F24F02" w:rsidRPr="002D7A10">
        <w:rPr>
          <w:rFonts w:asciiTheme="minorHAnsi" w:eastAsia="Times New Roman" w:hAnsiTheme="minorHAnsi"/>
          <w:lang w:eastAsia="sk-SK"/>
        </w:rPr>
        <w:t>, CSc. (SjF)</w:t>
      </w:r>
      <w:r w:rsidR="00F24F02" w:rsidRPr="002D7A10">
        <w:rPr>
          <w:rFonts w:asciiTheme="minorHAnsi" w:eastAsia="Times New Roman" w:hAnsiTheme="minorHAnsi"/>
          <w:lang w:eastAsia="sk-SK"/>
        </w:rPr>
        <w:br/>
      </w:r>
      <w:r w:rsidR="009C0CB0" w:rsidRPr="002D7A10">
        <w:rPr>
          <w:rFonts w:asciiTheme="minorHAnsi" w:eastAsia="Times New Roman" w:hAnsiTheme="minorHAnsi"/>
          <w:lang w:eastAsia="sk-SK"/>
        </w:rPr>
        <w:t xml:space="preserve">doc. Ing. </w:t>
      </w:r>
      <w:r w:rsidR="00F24F02" w:rsidRPr="002D7A10">
        <w:rPr>
          <w:rFonts w:asciiTheme="minorHAnsi" w:eastAsia="Times New Roman" w:hAnsiTheme="minorHAnsi"/>
          <w:lang w:eastAsia="sk-SK"/>
        </w:rPr>
        <w:t>Róbert</w:t>
      </w:r>
      <w:r w:rsidRPr="002D7A10">
        <w:rPr>
          <w:rFonts w:asciiTheme="minorHAnsi" w:eastAsia="Times New Roman" w:hAnsiTheme="minorHAnsi"/>
          <w:lang w:eastAsia="sk-SK"/>
        </w:rPr>
        <w:t xml:space="preserve"> RIEDLMAJER</w:t>
      </w:r>
      <w:r w:rsidR="00F24F02" w:rsidRPr="002D7A10">
        <w:rPr>
          <w:rFonts w:asciiTheme="minorHAnsi" w:eastAsia="Times New Roman" w:hAnsiTheme="minorHAnsi"/>
          <w:lang w:eastAsia="sk-SK"/>
        </w:rPr>
        <w:t>, PhD. (MTF)</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t xml:space="preserve">prof. Ing. </w:t>
      </w:r>
      <w:r w:rsidR="00F24F02" w:rsidRPr="002D7A10">
        <w:rPr>
          <w:rFonts w:asciiTheme="minorHAnsi" w:eastAsia="Times New Roman" w:hAnsiTheme="minorHAnsi"/>
          <w:lang w:eastAsia="sk-SK"/>
        </w:rPr>
        <w:t>Boris</w:t>
      </w:r>
      <w:r w:rsidRPr="002D7A10">
        <w:rPr>
          <w:rFonts w:asciiTheme="minorHAnsi" w:eastAsia="Times New Roman" w:hAnsiTheme="minorHAnsi"/>
          <w:lang w:eastAsia="sk-SK"/>
        </w:rPr>
        <w:t xml:space="preserve"> ROHÁĽ-IĽKIV</w:t>
      </w:r>
      <w:r w:rsidR="00F24F02" w:rsidRPr="002D7A10">
        <w:rPr>
          <w:rFonts w:asciiTheme="minorHAnsi" w:eastAsia="Times New Roman" w:hAnsiTheme="minorHAnsi"/>
          <w:lang w:eastAsia="sk-SK"/>
        </w:rPr>
        <w:t>, CSc. (SjF)</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lastRenderedPageBreak/>
        <w:t xml:space="preserve">doc. Ing. arch. </w:t>
      </w:r>
      <w:r w:rsidR="00F24F02" w:rsidRPr="002D7A10">
        <w:rPr>
          <w:rFonts w:asciiTheme="minorHAnsi" w:eastAsia="Times New Roman" w:hAnsiTheme="minorHAnsi"/>
          <w:lang w:eastAsia="sk-SK"/>
        </w:rPr>
        <w:t>Lea</w:t>
      </w:r>
      <w:r w:rsidRPr="002D7A10">
        <w:rPr>
          <w:rFonts w:asciiTheme="minorHAnsi" w:eastAsia="Times New Roman" w:hAnsiTheme="minorHAnsi"/>
          <w:lang w:eastAsia="sk-SK"/>
        </w:rPr>
        <w:t xml:space="preserve"> ROLLOVÁ</w:t>
      </w:r>
      <w:r w:rsidR="00F24F02" w:rsidRPr="002D7A10">
        <w:rPr>
          <w:rFonts w:asciiTheme="minorHAnsi" w:eastAsia="Times New Roman" w:hAnsiTheme="minorHAnsi"/>
          <w:lang w:eastAsia="sk-SK"/>
        </w:rPr>
        <w:t>, PhD. (FA)</w:t>
      </w:r>
      <w:r w:rsidR="00F24F02" w:rsidRPr="002D7A10">
        <w:rPr>
          <w:rFonts w:asciiTheme="minorHAnsi" w:eastAsia="Times New Roman" w:hAnsiTheme="minorHAnsi"/>
          <w:lang w:eastAsia="sk-SK"/>
        </w:rPr>
        <w:br/>
      </w:r>
      <w:r w:rsidR="009C0CB0" w:rsidRPr="002D7A10">
        <w:rPr>
          <w:rFonts w:asciiTheme="minorHAnsi" w:eastAsia="Times New Roman" w:hAnsiTheme="minorHAnsi"/>
          <w:lang w:eastAsia="sk-SK"/>
        </w:rPr>
        <w:t xml:space="preserve">Ing. </w:t>
      </w:r>
      <w:r w:rsidR="00F24F02" w:rsidRPr="002D7A10">
        <w:rPr>
          <w:rFonts w:asciiTheme="minorHAnsi" w:eastAsia="Times New Roman" w:hAnsiTheme="minorHAnsi"/>
          <w:lang w:eastAsia="sk-SK"/>
        </w:rPr>
        <w:t>Jakub</w:t>
      </w:r>
      <w:r w:rsidRPr="002D7A10">
        <w:rPr>
          <w:rFonts w:asciiTheme="minorHAnsi" w:eastAsia="Times New Roman" w:hAnsiTheme="minorHAnsi"/>
          <w:lang w:eastAsia="sk-SK"/>
        </w:rPr>
        <w:t xml:space="preserve"> ŠIMKO</w:t>
      </w:r>
      <w:r w:rsidR="00F24F02" w:rsidRPr="002D7A10">
        <w:rPr>
          <w:rFonts w:asciiTheme="minorHAnsi" w:eastAsia="Times New Roman" w:hAnsiTheme="minorHAnsi"/>
          <w:lang w:eastAsia="sk-SK"/>
        </w:rPr>
        <w:t>, PhD. (FIIT)</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t xml:space="preserve">prof. Ing. </w:t>
      </w:r>
      <w:r w:rsidR="00F24F02" w:rsidRPr="002D7A10">
        <w:rPr>
          <w:rFonts w:asciiTheme="minorHAnsi" w:eastAsia="Times New Roman" w:hAnsiTheme="minorHAnsi"/>
          <w:lang w:eastAsia="sk-SK"/>
        </w:rPr>
        <w:t>Ľubomír</w:t>
      </w:r>
      <w:r w:rsidRPr="002D7A10">
        <w:rPr>
          <w:rFonts w:asciiTheme="minorHAnsi" w:eastAsia="Times New Roman" w:hAnsiTheme="minorHAnsi"/>
          <w:lang w:eastAsia="sk-SK"/>
        </w:rPr>
        <w:t xml:space="preserve"> ŠOOŠ</w:t>
      </w:r>
      <w:r w:rsidR="00F24F02" w:rsidRPr="002D7A10">
        <w:rPr>
          <w:rFonts w:asciiTheme="minorHAnsi" w:eastAsia="Times New Roman" w:hAnsiTheme="minorHAnsi"/>
          <w:lang w:eastAsia="sk-SK"/>
        </w:rPr>
        <w:t>, PhD. (SjF)</w:t>
      </w:r>
      <w:r w:rsidR="00F24F02" w:rsidRPr="002D7A10">
        <w:rPr>
          <w:rFonts w:asciiTheme="minorHAnsi" w:eastAsia="Times New Roman" w:hAnsiTheme="minorHAnsi"/>
          <w:lang w:eastAsia="sk-SK"/>
        </w:rPr>
        <w:br/>
      </w:r>
      <w:r w:rsidR="009C0CB0" w:rsidRPr="002D7A10">
        <w:rPr>
          <w:rFonts w:asciiTheme="minorHAnsi" w:eastAsia="Times New Roman" w:hAnsiTheme="minorHAnsi"/>
          <w:lang w:eastAsia="sk-SK"/>
        </w:rPr>
        <w:t xml:space="preserve">Ing. </w:t>
      </w:r>
      <w:r w:rsidR="00F24F02" w:rsidRPr="002D7A10">
        <w:rPr>
          <w:rFonts w:asciiTheme="minorHAnsi" w:eastAsia="Times New Roman" w:hAnsiTheme="minorHAnsi"/>
          <w:lang w:eastAsia="sk-SK"/>
        </w:rPr>
        <w:t>Peter</w:t>
      </w:r>
      <w:r w:rsidRPr="002D7A10">
        <w:rPr>
          <w:rFonts w:asciiTheme="minorHAnsi" w:eastAsia="Times New Roman" w:hAnsiTheme="minorHAnsi"/>
          <w:lang w:eastAsia="sk-SK"/>
        </w:rPr>
        <w:t xml:space="preserve"> TRÚCHLY</w:t>
      </w:r>
      <w:r w:rsidR="00F24F02" w:rsidRPr="002D7A10">
        <w:rPr>
          <w:rFonts w:asciiTheme="minorHAnsi" w:eastAsia="Times New Roman" w:hAnsiTheme="minorHAnsi"/>
          <w:lang w:eastAsia="sk-SK"/>
        </w:rPr>
        <w:t>, PhD. (FIIT)</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t xml:space="preserve">prof. Ing. </w:t>
      </w:r>
      <w:r w:rsidR="00F24F02" w:rsidRPr="002D7A10">
        <w:rPr>
          <w:rFonts w:asciiTheme="minorHAnsi" w:eastAsia="Times New Roman" w:hAnsiTheme="minorHAnsi"/>
          <w:lang w:eastAsia="sk-SK"/>
        </w:rPr>
        <w:t>František</w:t>
      </w:r>
      <w:r w:rsidRPr="002D7A10">
        <w:rPr>
          <w:rFonts w:asciiTheme="minorHAnsi" w:eastAsia="Times New Roman" w:hAnsiTheme="minorHAnsi"/>
          <w:lang w:eastAsia="sk-SK"/>
        </w:rPr>
        <w:t xml:space="preserve"> UHEREK</w:t>
      </w:r>
      <w:r w:rsidR="00F24F02" w:rsidRPr="002D7A10">
        <w:rPr>
          <w:rFonts w:asciiTheme="minorHAnsi" w:eastAsia="Times New Roman" w:hAnsiTheme="minorHAnsi"/>
          <w:lang w:eastAsia="sk-SK"/>
        </w:rPr>
        <w:t>, PhD. (FEI)</w:t>
      </w:r>
      <w:r w:rsidR="00F24F02" w:rsidRPr="002D7A10">
        <w:rPr>
          <w:rFonts w:asciiTheme="minorHAnsi" w:eastAsia="Times New Roman" w:hAnsiTheme="minorHAnsi"/>
          <w:lang w:eastAsia="sk-SK"/>
        </w:rPr>
        <w:br/>
      </w:r>
      <w:r w:rsidR="009C0CB0" w:rsidRPr="002D7A10">
        <w:rPr>
          <w:rFonts w:asciiTheme="minorHAnsi" w:eastAsia="Times New Roman" w:hAnsiTheme="minorHAnsi"/>
          <w:lang w:eastAsia="sk-SK"/>
        </w:rPr>
        <w:t xml:space="preserve">doc. Ing. </w:t>
      </w:r>
      <w:r w:rsidR="00F24F02" w:rsidRPr="002D7A10">
        <w:rPr>
          <w:rFonts w:asciiTheme="minorHAnsi" w:eastAsia="Times New Roman" w:hAnsiTheme="minorHAnsi"/>
          <w:lang w:eastAsia="sk-SK"/>
        </w:rPr>
        <w:t>Štefan</w:t>
      </w:r>
      <w:r w:rsidRPr="002D7A10">
        <w:rPr>
          <w:rFonts w:asciiTheme="minorHAnsi" w:eastAsia="Times New Roman" w:hAnsiTheme="minorHAnsi"/>
          <w:lang w:eastAsia="sk-SK"/>
        </w:rPr>
        <w:t xml:space="preserve"> VÁCLAV</w:t>
      </w:r>
      <w:r w:rsidR="00F24F02" w:rsidRPr="002D7A10">
        <w:rPr>
          <w:rFonts w:asciiTheme="minorHAnsi" w:eastAsia="Times New Roman" w:hAnsiTheme="minorHAnsi"/>
          <w:lang w:eastAsia="sk-SK"/>
        </w:rPr>
        <w:t>, PhD. (MTF)</w:t>
      </w:r>
      <w:r w:rsidR="00F24F02" w:rsidRPr="002D7A10">
        <w:rPr>
          <w:rFonts w:asciiTheme="minorHAnsi" w:eastAsia="Times New Roman" w:hAnsiTheme="minorHAnsi"/>
          <w:lang w:eastAsia="sk-SK"/>
        </w:rPr>
        <w:br/>
      </w:r>
      <w:r w:rsidR="009C0CB0" w:rsidRPr="002D7A10">
        <w:rPr>
          <w:rFonts w:asciiTheme="minorHAnsi" w:eastAsia="Times New Roman" w:hAnsiTheme="minorHAnsi"/>
          <w:lang w:eastAsia="sk-SK"/>
        </w:rPr>
        <w:t xml:space="preserve">doc. Ing. </w:t>
      </w:r>
      <w:proofErr w:type="spellStart"/>
      <w:r w:rsidR="00F24F02" w:rsidRPr="002D7A10">
        <w:rPr>
          <w:rFonts w:asciiTheme="minorHAnsi" w:eastAsia="Times New Roman" w:hAnsiTheme="minorHAnsi"/>
          <w:lang w:eastAsia="sk-SK"/>
        </w:rPr>
        <w:t>Valentíno</w:t>
      </w:r>
      <w:proofErr w:type="spellEnd"/>
      <w:r w:rsidRPr="002D7A10">
        <w:rPr>
          <w:rFonts w:asciiTheme="minorHAnsi" w:eastAsia="Times New Roman" w:hAnsiTheme="minorHAnsi"/>
          <w:lang w:eastAsia="sk-SK"/>
        </w:rPr>
        <w:t xml:space="preserve"> VRANIĆ</w:t>
      </w:r>
      <w:r w:rsidR="00F24F02" w:rsidRPr="002D7A10">
        <w:rPr>
          <w:rFonts w:asciiTheme="minorHAnsi" w:eastAsia="Times New Roman" w:hAnsiTheme="minorHAnsi"/>
          <w:lang w:eastAsia="sk-SK"/>
        </w:rPr>
        <w:t>, PhD. (FIIT)</w:t>
      </w:r>
      <w:r w:rsidR="00F24F02" w:rsidRPr="002D7A10">
        <w:rPr>
          <w:rFonts w:asciiTheme="minorHAnsi" w:eastAsia="Times New Roman" w:hAnsiTheme="minorHAnsi"/>
          <w:lang w:eastAsia="sk-SK"/>
        </w:rPr>
        <w:br/>
      </w:r>
      <w:r w:rsidR="00016545" w:rsidRPr="002D7A10">
        <w:rPr>
          <w:rFonts w:asciiTheme="minorHAnsi" w:eastAsia="Times New Roman" w:hAnsiTheme="minorHAnsi"/>
          <w:lang w:eastAsia="sk-SK"/>
        </w:rPr>
        <w:t xml:space="preserve">JUDr. </w:t>
      </w:r>
      <w:r w:rsidR="00F24F02" w:rsidRPr="002D7A10">
        <w:rPr>
          <w:rFonts w:asciiTheme="minorHAnsi" w:eastAsia="Times New Roman" w:hAnsiTheme="minorHAnsi"/>
          <w:lang w:eastAsia="sk-SK"/>
        </w:rPr>
        <w:t>Janka</w:t>
      </w:r>
      <w:r w:rsidRPr="002D7A10">
        <w:rPr>
          <w:rFonts w:asciiTheme="minorHAnsi" w:eastAsia="Times New Roman" w:hAnsiTheme="minorHAnsi"/>
          <w:lang w:eastAsia="sk-SK"/>
        </w:rPr>
        <w:t xml:space="preserve"> ZAJACOVÁ</w:t>
      </w:r>
      <w:r w:rsidR="00016545" w:rsidRPr="002D7A10">
        <w:rPr>
          <w:rFonts w:asciiTheme="minorHAnsi" w:eastAsia="Times New Roman" w:hAnsiTheme="minorHAnsi"/>
          <w:lang w:eastAsia="sk-SK"/>
        </w:rPr>
        <w:t xml:space="preserve">, </w:t>
      </w:r>
      <w:r w:rsidR="00F24F02" w:rsidRPr="002D7A10">
        <w:rPr>
          <w:rFonts w:asciiTheme="minorHAnsi" w:eastAsia="Times New Roman" w:hAnsiTheme="minorHAnsi"/>
          <w:lang w:eastAsia="sk-SK"/>
        </w:rPr>
        <w:t>PhD. (SvF)</w:t>
      </w:r>
    </w:p>
    <w:p w:rsidR="00B51749" w:rsidRPr="00086CA4" w:rsidRDefault="00F24F02" w:rsidP="00086CA4">
      <w:pPr>
        <w:spacing w:before="100" w:beforeAutospacing="1" w:after="100" w:afterAutospacing="1"/>
        <w:jc w:val="left"/>
        <w:rPr>
          <w:rFonts w:asciiTheme="minorHAnsi" w:eastAsia="Times New Roman" w:hAnsiTheme="minorHAnsi"/>
          <w:lang w:eastAsia="sk-SK"/>
        </w:rPr>
      </w:pPr>
      <w:r w:rsidRPr="002D7A10">
        <w:rPr>
          <w:rFonts w:asciiTheme="minorHAnsi" w:eastAsia="Times New Roman" w:hAnsiTheme="minorHAnsi"/>
          <w:b/>
          <w:bCs/>
          <w:lang w:eastAsia="sk-SK"/>
        </w:rPr>
        <w:t>Členovia – študentská časť</w:t>
      </w:r>
      <w:r w:rsidRPr="002D7A10">
        <w:rPr>
          <w:rFonts w:asciiTheme="minorHAnsi" w:eastAsia="Times New Roman" w:hAnsiTheme="minorHAnsi"/>
          <w:lang w:eastAsia="sk-SK"/>
        </w:rPr>
        <w:br/>
      </w:r>
      <w:r w:rsidR="00AD5680" w:rsidRPr="002D7A10">
        <w:rPr>
          <w:rFonts w:asciiTheme="minorHAnsi" w:eastAsia="Times New Roman" w:hAnsiTheme="minorHAnsi"/>
          <w:lang w:eastAsia="sk-SK"/>
        </w:rPr>
        <w:t xml:space="preserve">Ing. </w:t>
      </w:r>
      <w:r w:rsidRPr="002D7A10">
        <w:rPr>
          <w:rFonts w:asciiTheme="minorHAnsi" w:eastAsia="Times New Roman" w:hAnsiTheme="minorHAnsi"/>
          <w:lang w:eastAsia="sk-SK"/>
        </w:rPr>
        <w:t>Peter</w:t>
      </w:r>
      <w:r w:rsidR="00AD5680" w:rsidRPr="002D7A10">
        <w:rPr>
          <w:rFonts w:asciiTheme="minorHAnsi" w:eastAsia="Times New Roman" w:hAnsiTheme="minorHAnsi"/>
          <w:lang w:eastAsia="sk-SK"/>
        </w:rPr>
        <w:t xml:space="preserve"> BEŇO</w:t>
      </w:r>
      <w:r w:rsidRPr="002D7A10">
        <w:rPr>
          <w:rFonts w:asciiTheme="minorHAnsi" w:eastAsia="Times New Roman" w:hAnsiTheme="minorHAnsi"/>
          <w:lang w:eastAsia="sk-SK"/>
        </w:rPr>
        <w:t xml:space="preserve"> (FEI) – predseda študentskej časti</w:t>
      </w:r>
      <w:r w:rsidRPr="002D7A10">
        <w:rPr>
          <w:rFonts w:asciiTheme="minorHAnsi" w:eastAsia="Times New Roman" w:hAnsiTheme="minorHAnsi"/>
          <w:lang w:eastAsia="sk-SK"/>
        </w:rPr>
        <w:br/>
      </w:r>
      <w:r w:rsidR="00AD5680" w:rsidRPr="002D7A10">
        <w:rPr>
          <w:rFonts w:asciiTheme="minorHAnsi" w:eastAsia="Times New Roman" w:hAnsiTheme="minorHAnsi"/>
          <w:lang w:eastAsia="sk-SK"/>
        </w:rPr>
        <w:t>Zuzana BRYNDZOVÁ (FCHPT)</w:t>
      </w:r>
      <w:r w:rsidRPr="002D7A10">
        <w:rPr>
          <w:rFonts w:asciiTheme="minorHAnsi" w:eastAsia="Times New Roman" w:hAnsiTheme="minorHAnsi"/>
          <w:lang w:eastAsia="sk-SK"/>
        </w:rPr>
        <w:br/>
        <w:t xml:space="preserve">Karol </w:t>
      </w:r>
      <w:r w:rsidR="00AD5680" w:rsidRPr="002D7A10">
        <w:rPr>
          <w:rFonts w:asciiTheme="minorHAnsi" w:eastAsia="Times New Roman" w:hAnsiTheme="minorHAnsi"/>
          <w:lang w:eastAsia="sk-SK"/>
        </w:rPr>
        <w:t xml:space="preserve">CAGÁŇ </w:t>
      </w:r>
      <w:r w:rsidRPr="002D7A10">
        <w:rPr>
          <w:rFonts w:asciiTheme="minorHAnsi" w:eastAsia="Times New Roman" w:hAnsiTheme="minorHAnsi"/>
          <w:lang w:eastAsia="sk-SK"/>
        </w:rPr>
        <w:t>(FIIT)</w:t>
      </w:r>
      <w:r w:rsidRPr="002D7A10">
        <w:rPr>
          <w:rFonts w:asciiTheme="minorHAnsi" w:eastAsia="Times New Roman" w:hAnsiTheme="minorHAnsi"/>
          <w:lang w:eastAsia="sk-SK"/>
        </w:rPr>
        <w:br/>
        <w:t xml:space="preserve">Miloš </w:t>
      </w:r>
      <w:r w:rsidR="00AD5680" w:rsidRPr="002D7A10">
        <w:rPr>
          <w:rFonts w:asciiTheme="minorHAnsi" w:eastAsia="Times New Roman" w:hAnsiTheme="minorHAnsi"/>
          <w:lang w:eastAsia="sk-SK"/>
        </w:rPr>
        <w:t xml:space="preserve">DIEŽKA </w:t>
      </w:r>
      <w:r w:rsidRPr="002D7A10">
        <w:rPr>
          <w:rFonts w:asciiTheme="minorHAnsi" w:eastAsia="Times New Roman" w:hAnsiTheme="minorHAnsi"/>
          <w:lang w:eastAsia="sk-SK"/>
        </w:rPr>
        <w:t>(FA)</w:t>
      </w:r>
      <w:r w:rsidRPr="002D7A10">
        <w:rPr>
          <w:rFonts w:asciiTheme="minorHAnsi" w:eastAsia="Times New Roman" w:hAnsiTheme="minorHAnsi"/>
          <w:lang w:eastAsia="sk-SK"/>
        </w:rPr>
        <w:br/>
      </w:r>
      <w:r w:rsidR="00AD5680" w:rsidRPr="002D7A10">
        <w:rPr>
          <w:rFonts w:asciiTheme="minorHAnsi" w:eastAsia="Times New Roman" w:hAnsiTheme="minorHAnsi"/>
          <w:lang w:eastAsia="sk-SK"/>
        </w:rPr>
        <w:t xml:space="preserve">Ing. </w:t>
      </w:r>
      <w:r w:rsidRPr="002D7A10">
        <w:rPr>
          <w:rFonts w:asciiTheme="minorHAnsi" w:eastAsia="Times New Roman" w:hAnsiTheme="minorHAnsi"/>
          <w:lang w:eastAsia="sk-SK"/>
        </w:rPr>
        <w:t>Peter</w:t>
      </w:r>
      <w:r w:rsidR="00AD5680" w:rsidRPr="002D7A10">
        <w:rPr>
          <w:rFonts w:asciiTheme="minorHAnsi" w:eastAsia="Times New Roman" w:hAnsiTheme="minorHAnsi"/>
          <w:lang w:eastAsia="sk-SK"/>
        </w:rPr>
        <w:t xml:space="preserve"> DÓZA</w:t>
      </w:r>
      <w:r w:rsidRPr="002D7A10">
        <w:rPr>
          <w:rFonts w:asciiTheme="minorHAnsi" w:eastAsia="Times New Roman" w:hAnsiTheme="minorHAnsi"/>
          <w:lang w:eastAsia="sk-SK"/>
        </w:rPr>
        <w:t xml:space="preserve"> (MTF)</w:t>
      </w:r>
      <w:r w:rsidRPr="002D7A10">
        <w:rPr>
          <w:rFonts w:asciiTheme="minorHAnsi" w:eastAsia="Times New Roman" w:hAnsiTheme="minorHAnsi"/>
          <w:lang w:eastAsia="sk-SK"/>
        </w:rPr>
        <w:br/>
        <w:t xml:space="preserve">Filip </w:t>
      </w:r>
      <w:r w:rsidR="00AD5680" w:rsidRPr="002D7A10">
        <w:rPr>
          <w:rFonts w:asciiTheme="minorHAnsi" w:eastAsia="Times New Roman" w:hAnsiTheme="minorHAnsi"/>
          <w:lang w:eastAsia="sk-SK"/>
        </w:rPr>
        <w:t xml:space="preserve">HAJDU </w:t>
      </w:r>
      <w:r w:rsidRPr="002D7A10">
        <w:rPr>
          <w:rFonts w:asciiTheme="minorHAnsi" w:eastAsia="Times New Roman" w:hAnsiTheme="minorHAnsi"/>
          <w:lang w:eastAsia="sk-SK"/>
        </w:rPr>
        <w:t>(FCHPT)</w:t>
      </w:r>
      <w:r w:rsidRPr="002D7A10">
        <w:rPr>
          <w:rFonts w:asciiTheme="minorHAnsi" w:eastAsia="Times New Roman" w:hAnsiTheme="minorHAnsi"/>
          <w:lang w:eastAsia="sk-SK"/>
        </w:rPr>
        <w:br/>
      </w:r>
      <w:r w:rsidR="00AD5680" w:rsidRPr="002D7A10">
        <w:rPr>
          <w:rFonts w:asciiTheme="minorHAnsi" w:eastAsia="Times New Roman" w:hAnsiTheme="minorHAnsi"/>
          <w:lang w:eastAsia="sk-SK"/>
        </w:rPr>
        <w:t xml:space="preserve">Ing. </w:t>
      </w:r>
      <w:r w:rsidRPr="002D7A10">
        <w:rPr>
          <w:rFonts w:asciiTheme="minorHAnsi" w:eastAsia="Times New Roman" w:hAnsiTheme="minorHAnsi"/>
          <w:lang w:eastAsia="sk-SK"/>
        </w:rPr>
        <w:t>Michal</w:t>
      </w:r>
      <w:r w:rsidR="00AD5680" w:rsidRPr="002D7A10">
        <w:rPr>
          <w:rFonts w:asciiTheme="minorHAnsi" w:eastAsia="Times New Roman" w:hAnsiTheme="minorHAnsi"/>
          <w:lang w:eastAsia="sk-SK"/>
        </w:rPr>
        <w:t xml:space="preserve"> HANIC</w:t>
      </w:r>
      <w:r w:rsidRPr="002D7A10">
        <w:rPr>
          <w:rFonts w:asciiTheme="minorHAnsi" w:eastAsia="Times New Roman" w:hAnsiTheme="minorHAnsi"/>
          <w:lang w:eastAsia="sk-SK"/>
        </w:rPr>
        <w:t xml:space="preserve"> (FEI)</w:t>
      </w:r>
      <w:r w:rsidRPr="002D7A10">
        <w:rPr>
          <w:rFonts w:asciiTheme="minorHAnsi" w:eastAsia="Times New Roman" w:hAnsiTheme="minorHAnsi"/>
          <w:lang w:eastAsia="sk-SK"/>
        </w:rPr>
        <w:br/>
        <w:t xml:space="preserve">Jozef </w:t>
      </w:r>
      <w:r w:rsidR="00AD5680" w:rsidRPr="002D7A10">
        <w:rPr>
          <w:rFonts w:asciiTheme="minorHAnsi" w:eastAsia="Times New Roman" w:hAnsiTheme="minorHAnsi"/>
          <w:lang w:eastAsia="sk-SK"/>
        </w:rPr>
        <w:t xml:space="preserve">HURBAN </w:t>
      </w:r>
      <w:r w:rsidRPr="002D7A10">
        <w:rPr>
          <w:rFonts w:asciiTheme="minorHAnsi" w:eastAsia="Times New Roman" w:hAnsiTheme="minorHAnsi"/>
          <w:lang w:eastAsia="sk-SK"/>
        </w:rPr>
        <w:t>(ÚM)</w:t>
      </w:r>
      <w:r w:rsidRPr="002D7A10">
        <w:rPr>
          <w:rFonts w:asciiTheme="minorHAnsi" w:eastAsia="Times New Roman" w:hAnsiTheme="minorHAnsi"/>
          <w:lang w:eastAsia="sk-SK"/>
        </w:rPr>
        <w:br/>
        <w:t xml:space="preserve">Michal </w:t>
      </w:r>
      <w:r w:rsidR="00AD5680" w:rsidRPr="002D7A10">
        <w:rPr>
          <w:rFonts w:asciiTheme="minorHAnsi" w:eastAsia="Times New Roman" w:hAnsiTheme="minorHAnsi"/>
          <w:lang w:eastAsia="sk-SK"/>
        </w:rPr>
        <w:t xml:space="preserve">KARPEL </w:t>
      </w:r>
      <w:r w:rsidRPr="002D7A10">
        <w:rPr>
          <w:rFonts w:asciiTheme="minorHAnsi" w:eastAsia="Times New Roman" w:hAnsiTheme="minorHAnsi"/>
          <w:lang w:eastAsia="sk-SK"/>
        </w:rPr>
        <w:t>(SvF)</w:t>
      </w:r>
      <w:r w:rsidRPr="002D7A10">
        <w:rPr>
          <w:rFonts w:asciiTheme="minorHAnsi" w:eastAsia="Times New Roman" w:hAnsiTheme="minorHAnsi"/>
          <w:lang w:eastAsia="sk-SK"/>
        </w:rPr>
        <w:br/>
        <w:t xml:space="preserve">Renáta </w:t>
      </w:r>
      <w:r w:rsidR="00AD5680" w:rsidRPr="002D7A10">
        <w:rPr>
          <w:rFonts w:asciiTheme="minorHAnsi" w:eastAsia="Times New Roman" w:hAnsiTheme="minorHAnsi"/>
          <w:lang w:eastAsia="sk-SK"/>
        </w:rPr>
        <w:t xml:space="preserve">KUTLÁKOVÁ </w:t>
      </w:r>
      <w:r w:rsidRPr="002D7A10">
        <w:rPr>
          <w:rFonts w:asciiTheme="minorHAnsi" w:eastAsia="Times New Roman" w:hAnsiTheme="minorHAnsi"/>
          <w:lang w:eastAsia="sk-SK"/>
        </w:rPr>
        <w:t>(MTF)</w:t>
      </w:r>
      <w:r w:rsidRPr="002D7A10">
        <w:rPr>
          <w:rFonts w:asciiTheme="minorHAnsi" w:eastAsia="Times New Roman" w:hAnsiTheme="minorHAnsi"/>
          <w:lang w:eastAsia="sk-SK"/>
        </w:rPr>
        <w:br/>
        <w:t xml:space="preserve">Lenka </w:t>
      </w:r>
      <w:r w:rsidR="00AD5680" w:rsidRPr="002D7A10">
        <w:rPr>
          <w:rFonts w:asciiTheme="minorHAnsi" w:eastAsia="Times New Roman" w:hAnsiTheme="minorHAnsi"/>
          <w:lang w:eastAsia="sk-SK"/>
        </w:rPr>
        <w:t xml:space="preserve">KUTLÍKOVÁ </w:t>
      </w:r>
      <w:r w:rsidRPr="002D7A10">
        <w:rPr>
          <w:rFonts w:asciiTheme="minorHAnsi" w:eastAsia="Times New Roman" w:hAnsiTheme="minorHAnsi"/>
          <w:lang w:eastAsia="sk-SK"/>
        </w:rPr>
        <w:t>(FIIT)</w:t>
      </w:r>
      <w:r w:rsidRPr="002D7A10">
        <w:rPr>
          <w:rFonts w:asciiTheme="minorHAnsi" w:eastAsia="Times New Roman" w:hAnsiTheme="minorHAnsi"/>
          <w:lang w:eastAsia="sk-SK"/>
        </w:rPr>
        <w:br/>
        <w:t xml:space="preserve">René </w:t>
      </w:r>
      <w:r w:rsidR="00AD5680" w:rsidRPr="002D7A10">
        <w:rPr>
          <w:rFonts w:asciiTheme="minorHAnsi" w:eastAsia="Times New Roman" w:hAnsiTheme="minorHAnsi"/>
          <w:lang w:eastAsia="sk-SK"/>
        </w:rPr>
        <w:t xml:space="preserve">MAJERNÍK </w:t>
      </w:r>
      <w:r w:rsidRPr="002D7A10">
        <w:rPr>
          <w:rFonts w:asciiTheme="minorHAnsi" w:eastAsia="Times New Roman" w:hAnsiTheme="minorHAnsi"/>
          <w:lang w:eastAsia="sk-SK"/>
        </w:rPr>
        <w:t>(FA)</w:t>
      </w:r>
      <w:r w:rsidRPr="002D7A10">
        <w:rPr>
          <w:rFonts w:asciiTheme="minorHAnsi" w:eastAsia="Times New Roman" w:hAnsiTheme="minorHAnsi"/>
          <w:lang w:eastAsia="sk-SK"/>
        </w:rPr>
        <w:br/>
        <w:t xml:space="preserve">Martin </w:t>
      </w:r>
      <w:r w:rsidR="00AD5680" w:rsidRPr="002D7A10">
        <w:rPr>
          <w:rFonts w:asciiTheme="minorHAnsi" w:eastAsia="Times New Roman" w:hAnsiTheme="minorHAnsi"/>
          <w:lang w:eastAsia="sk-SK"/>
        </w:rPr>
        <w:t xml:space="preserve">ONDRAŠČIN </w:t>
      </w:r>
      <w:r w:rsidRPr="002D7A10">
        <w:rPr>
          <w:rFonts w:asciiTheme="minorHAnsi" w:eastAsia="Times New Roman" w:hAnsiTheme="minorHAnsi"/>
          <w:lang w:eastAsia="sk-SK"/>
        </w:rPr>
        <w:t>(SjF)</w:t>
      </w:r>
      <w:r w:rsidRPr="002D7A10">
        <w:rPr>
          <w:rFonts w:asciiTheme="minorHAnsi" w:eastAsia="Times New Roman" w:hAnsiTheme="minorHAnsi"/>
          <w:lang w:eastAsia="sk-SK"/>
        </w:rPr>
        <w:br/>
        <w:t xml:space="preserve">Kristína </w:t>
      </w:r>
      <w:r w:rsidR="00AD5680" w:rsidRPr="002D7A10">
        <w:rPr>
          <w:rFonts w:asciiTheme="minorHAnsi" w:eastAsia="Times New Roman" w:hAnsiTheme="minorHAnsi"/>
          <w:lang w:eastAsia="sk-SK"/>
        </w:rPr>
        <w:t xml:space="preserve">VAŇOVÁ </w:t>
      </w:r>
      <w:r w:rsidRPr="002D7A10">
        <w:rPr>
          <w:rFonts w:asciiTheme="minorHAnsi" w:eastAsia="Times New Roman" w:hAnsiTheme="minorHAnsi"/>
          <w:lang w:eastAsia="sk-SK"/>
        </w:rPr>
        <w:t>(SvF)</w:t>
      </w:r>
      <w:r w:rsidRPr="002D7A10">
        <w:rPr>
          <w:rFonts w:asciiTheme="minorHAnsi" w:eastAsia="Times New Roman" w:hAnsiTheme="minorHAnsi"/>
          <w:lang w:eastAsia="sk-SK"/>
        </w:rPr>
        <w:br/>
        <w:t xml:space="preserve">Peter </w:t>
      </w:r>
      <w:r w:rsidR="00AD5680" w:rsidRPr="002D7A10">
        <w:rPr>
          <w:rFonts w:asciiTheme="minorHAnsi" w:eastAsia="Times New Roman" w:hAnsiTheme="minorHAnsi"/>
          <w:lang w:eastAsia="sk-SK"/>
        </w:rPr>
        <w:t xml:space="preserve">ŽIAČEK </w:t>
      </w:r>
      <w:r w:rsidRPr="002D7A10">
        <w:rPr>
          <w:rFonts w:asciiTheme="minorHAnsi" w:eastAsia="Times New Roman" w:hAnsiTheme="minorHAnsi"/>
          <w:lang w:eastAsia="sk-SK"/>
        </w:rPr>
        <w:t>(SjF)</w:t>
      </w:r>
    </w:p>
    <w:p w:rsidR="00B51749" w:rsidRPr="002D7A10" w:rsidRDefault="00B51749" w:rsidP="00B51749">
      <w:pPr>
        <w:rPr>
          <w:rFonts w:asciiTheme="minorHAnsi" w:hAnsiTheme="minorHAnsi"/>
          <w:color w:val="FF0000"/>
          <w:lang w:eastAsia="sk-SK"/>
        </w:rPr>
      </w:pPr>
    </w:p>
    <w:p w:rsidR="00B51749" w:rsidRPr="002D7A10" w:rsidRDefault="00B51749" w:rsidP="00B51749">
      <w:pPr>
        <w:rPr>
          <w:rFonts w:asciiTheme="minorHAnsi" w:hAnsiTheme="minorHAnsi"/>
          <w:b/>
          <w:lang w:eastAsia="sk-SK"/>
        </w:rPr>
      </w:pPr>
      <w:r w:rsidRPr="002D7A10">
        <w:rPr>
          <w:rFonts w:asciiTheme="minorHAnsi" w:hAnsiTheme="minorHAnsi"/>
          <w:b/>
          <w:lang w:eastAsia="sk-SK"/>
        </w:rPr>
        <w:t>Vedecká rada STU od 28. 3. 2011</w:t>
      </w:r>
      <w:r w:rsidR="00CD267F" w:rsidRPr="002D7A10">
        <w:rPr>
          <w:rFonts w:asciiTheme="minorHAnsi" w:hAnsiTheme="minorHAnsi"/>
          <w:b/>
          <w:lang w:eastAsia="sk-SK"/>
        </w:rPr>
        <w:t xml:space="preserve"> do 28. 3. 2015</w:t>
      </w:r>
    </w:p>
    <w:p w:rsidR="00B51749" w:rsidRPr="002D7A10" w:rsidRDefault="00B51749" w:rsidP="00B51749">
      <w:pPr>
        <w:rPr>
          <w:rFonts w:asciiTheme="minorHAnsi" w:hAnsiTheme="minorHAnsi"/>
          <w:b/>
          <w:lang w:eastAsia="sk-SK"/>
        </w:rPr>
      </w:pPr>
      <w:r w:rsidRPr="002D7A10">
        <w:rPr>
          <w:rFonts w:asciiTheme="minorHAnsi" w:hAnsiTheme="minorHAnsi"/>
          <w:b/>
          <w:lang w:eastAsia="sk-SK"/>
        </w:rPr>
        <w:t>PREDSEDA</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Robert REDHAMMER, PhD., elektronika</w:t>
      </w:r>
    </w:p>
    <w:p w:rsidR="00B51749" w:rsidRPr="002D7A10" w:rsidRDefault="00B51749" w:rsidP="00B51749">
      <w:pPr>
        <w:rPr>
          <w:rFonts w:asciiTheme="minorHAnsi" w:hAnsiTheme="minorHAnsi"/>
          <w:b/>
          <w:lang w:eastAsia="sk-SK"/>
        </w:rPr>
      </w:pPr>
      <w:r w:rsidRPr="002D7A10">
        <w:rPr>
          <w:rFonts w:asciiTheme="minorHAnsi" w:hAnsiTheme="minorHAnsi"/>
          <w:b/>
          <w:lang w:eastAsia="sk-SK"/>
        </w:rPr>
        <w:t>PODPREDSEDA</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Stanislav BISKUPIČ, DrSc., fyzikálna chémia a chemická fyzika</w:t>
      </w:r>
    </w:p>
    <w:p w:rsidR="00B51749" w:rsidRPr="002D7A10" w:rsidRDefault="00B51749" w:rsidP="00B51749">
      <w:pPr>
        <w:rPr>
          <w:rFonts w:asciiTheme="minorHAnsi" w:hAnsiTheme="minorHAnsi"/>
          <w:b/>
          <w:lang w:eastAsia="sk-SK"/>
        </w:rPr>
      </w:pPr>
      <w:r w:rsidRPr="002D7A10">
        <w:rPr>
          <w:rFonts w:asciiTheme="minorHAnsi" w:hAnsiTheme="minorHAnsi"/>
          <w:b/>
          <w:lang w:eastAsia="sk-SK"/>
        </w:rPr>
        <w:t>ČLENOVIA</w:t>
      </w:r>
    </w:p>
    <w:p w:rsidR="00B51749" w:rsidRPr="002D7A10" w:rsidRDefault="00B51749" w:rsidP="00B51749">
      <w:pPr>
        <w:rPr>
          <w:rFonts w:asciiTheme="minorHAnsi" w:hAnsiTheme="minorHAnsi"/>
          <w:lang w:eastAsia="sk-SK"/>
        </w:rPr>
      </w:pPr>
      <w:r w:rsidRPr="002D7A10">
        <w:rPr>
          <w:rFonts w:asciiTheme="minorHAnsi" w:hAnsiTheme="minorHAnsi"/>
          <w:lang w:eastAsia="sk-SK"/>
        </w:rPr>
        <w:t>doc. Ing. Pavel ČIČÁK, PhD., počítačové prostriedky a systémy (od decembra 2011)</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Ľudovít FILLO, PhD., inžinierske konštrukcie a dopravné stavby</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Anton GATIAL, DrSc., fyzikálna chémia</w:t>
      </w:r>
    </w:p>
    <w:p w:rsidR="00B51749" w:rsidRPr="002D7A10" w:rsidRDefault="00B51749" w:rsidP="00B51749">
      <w:pPr>
        <w:rPr>
          <w:rFonts w:asciiTheme="minorHAnsi" w:hAnsiTheme="minorHAnsi"/>
          <w:lang w:eastAsia="sk-SK"/>
        </w:rPr>
      </w:pPr>
      <w:r w:rsidRPr="002D7A10">
        <w:rPr>
          <w:rFonts w:asciiTheme="minorHAnsi" w:hAnsiTheme="minorHAnsi"/>
          <w:lang w:eastAsia="sk-SK"/>
        </w:rPr>
        <w:t>doc. Ing. František HORŇÁK, PhD., priemyselné inžinierstvo a manažment</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Gabriel HULKÓ, DrSc., automatizácia</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Koloman IVANIČKA, PhD., ekonomika a riadenie stavebníctva (</w:t>
      </w:r>
      <w:r w:rsidRPr="002D7A10">
        <w:rPr>
          <w:rFonts w:asciiTheme="minorHAnsi" w:hAnsiTheme="minorHAnsi"/>
        </w:rPr>
        <w:t>do októbra 2013)</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RNDr. Gabriel JUHÁS, PhD., aplikovaná informatika</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Alojz KOPÁČIK, PhD., geodézia a kartografia</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RNDr. Ľudovít MOLNÁR, DrSc., informatika (do decembra 2011)</w:t>
      </w:r>
    </w:p>
    <w:p w:rsidR="00B51749" w:rsidRPr="002D7A10" w:rsidRDefault="00B51749" w:rsidP="00B51749">
      <w:pPr>
        <w:rPr>
          <w:rFonts w:asciiTheme="minorHAnsi" w:hAnsiTheme="minorHAnsi"/>
          <w:lang w:eastAsia="sk-SK"/>
        </w:rPr>
      </w:pPr>
      <w:proofErr w:type="spellStart"/>
      <w:r w:rsidRPr="002D7A10">
        <w:rPr>
          <w:rFonts w:asciiTheme="minorHAnsi" w:hAnsiTheme="minorHAnsi"/>
          <w:bCs/>
        </w:rPr>
        <w:t>Dr.h.c</w:t>
      </w:r>
      <w:proofErr w:type="spellEnd"/>
      <w:r w:rsidRPr="002D7A10">
        <w:rPr>
          <w:rFonts w:asciiTheme="minorHAnsi" w:hAnsiTheme="minorHAnsi"/>
          <w:bCs/>
        </w:rPr>
        <w:t xml:space="preserve">. </w:t>
      </w:r>
      <w:r w:rsidRPr="002D7A10">
        <w:rPr>
          <w:rFonts w:asciiTheme="minorHAnsi" w:hAnsiTheme="minorHAnsi"/>
          <w:lang w:eastAsia="sk-SK"/>
        </w:rPr>
        <w:t>prof. Dr. Ing. Oliver MORAVČÍK, aplikovaná informatika a automatizácia v priemysle</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Pavol NÁVRAT, PhD., aplikovaná informatika</w:t>
      </w:r>
    </w:p>
    <w:p w:rsidR="00B51749" w:rsidRPr="002D7A10" w:rsidRDefault="00B51749" w:rsidP="00B51749">
      <w:pPr>
        <w:rPr>
          <w:rFonts w:asciiTheme="minorHAnsi" w:hAnsiTheme="minorHAnsi"/>
          <w:lang w:eastAsia="sk-SK"/>
        </w:rPr>
      </w:pPr>
      <w:r w:rsidRPr="002D7A10">
        <w:rPr>
          <w:rFonts w:asciiTheme="minorHAnsi" w:hAnsiTheme="minorHAnsi"/>
        </w:rPr>
        <w:t xml:space="preserve">prof. akad. </w:t>
      </w:r>
      <w:proofErr w:type="spellStart"/>
      <w:r w:rsidRPr="002D7A10">
        <w:rPr>
          <w:rFonts w:asciiTheme="minorHAnsi" w:hAnsiTheme="minorHAnsi"/>
        </w:rPr>
        <w:t>soch</w:t>
      </w:r>
      <w:proofErr w:type="spellEnd"/>
      <w:r w:rsidRPr="002D7A10">
        <w:rPr>
          <w:rFonts w:asciiTheme="minorHAnsi" w:hAnsiTheme="minorHAnsi"/>
        </w:rPr>
        <w:t>. Peter PALIATKA, dizajn (od októbra 2013)</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Marián PECIAR, PhD., procesná technika</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Dr. Ing. Jozef PETERKA, technológie strojárskej výroby</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Milan SOKOL, PhD., aplikovaná mechanika</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Vladimír SLUGEŇ, DrSc., jadrová energetika</w:t>
      </w:r>
    </w:p>
    <w:p w:rsidR="00B51749" w:rsidRPr="002D7A10" w:rsidRDefault="00B51749" w:rsidP="00B51749">
      <w:pPr>
        <w:rPr>
          <w:rFonts w:asciiTheme="minorHAnsi" w:hAnsiTheme="minorHAnsi"/>
          <w:lang w:eastAsia="sk-SK"/>
        </w:rPr>
      </w:pPr>
      <w:r w:rsidRPr="002D7A10">
        <w:rPr>
          <w:rFonts w:asciiTheme="minorHAnsi" w:hAnsiTheme="minorHAnsi"/>
          <w:lang w:eastAsia="sk-SK"/>
        </w:rPr>
        <w:lastRenderedPageBreak/>
        <w:t>prof. Ing. Ján ŠAJBIDOR, DrSc., biotechnológie</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Ľubomír ŠOOŠ, PhD., výrobná technika</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arch. Robert ŠPAČEK, CSc., architektúra a urbanizmus (do októbra 2013)</w:t>
      </w:r>
    </w:p>
    <w:p w:rsidR="00B51749" w:rsidRPr="002D7A10" w:rsidRDefault="00B51749" w:rsidP="00B51749">
      <w:pPr>
        <w:rPr>
          <w:rFonts w:asciiTheme="minorHAnsi" w:hAnsiTheme="minorHAnsi"/>
          <w:lang w:eastAsia="sk-SK"/>
        </w:rPr>
      </w:pPr>
      <w:r w:rsidRPr="002D7A10">
        <w:rPr>
          <w:rFonts w:asciiTheme="minorHAnsi" w:hAnsiTheme="minorHAnsi"/>
          <w:lang w:eastAsia="sk-SK"/>
        </w:rPr>
        <w:t>doc. Ing. arch. Ľubica VITKOVÁ, PhD., architektúra a urbanizmus</w:t>
      </w:r>
    </w:p>
    <w:p w:rsidR="00B51749" w:rsidRPr="002D7A10" w:rsidRDefault="00B51749" w:rsidP="00B51749">
      <w:pPr>
        <w:rPr>
          <w:rFonts w:asciiTheme="minorHAnsi" w:hAnsiTheme="minorHAnsi"/>
          <w:lang w:eastAsia="sk-SK"/>
        </w:rPr>
      </w:pPr>
      <w:r w:rsidRPr="002D7A10">
        <w:rPr>
          <w:rFonts w:asciiTheme="minorHAnsi" w:hAnsiTheme="minorHAnsi"/>
        </w:rPr>
        <w:t>doc. Ing. Marián ZAJKO, PhD., MBA, manažment a riadenie (od októbra 2013)</w:t>
      </w:r>
    </w:p>
    <w:p w:rsidR="00B51749" w:rsidRPr="002D7A10" w:rsidRDefault="00B51749" w:rsidP="00B51749">
      <w:pPr>
        <w:rPr>
          <w:rFonts w:asciiTheme="minorHAnsi" w:hAnsiTheme="minorHAnsi"/>
          <w:b/>
          <w:lang w:eastAsia="sk-SK"/>
        </w:rPr>
      </w:pPr>
      <w:r w:rsidRPr="002D7A10">
        <w:rPr>
          <w:rFonts w:asciiTheme="minorHAnsi" w:hAnsiTheme="minorHAnsi"/>
          <w:b/>
          <w:lang w:eastAsia="sk-SK"/>
        </w:rPr>
        <w:t>EXTERNÍ ČLENOVIA</w:t>
      </w:r>
    </w:p>
    <w:p w:rsidR="00B51749" w:rsidRPr="002D7A10" w:rsidRDefault="00B51749" w:rsidP="00B51749">
      <w:pPr>
        <w:rPr>
          <w:rFonts w:asciiTheme="minorHAnsi" w:hAnsiTheme="minorHAnsi"/>
          <w:lang w:eastAsia="sk-SK"/>
        </w:rPr>
      </w:pPr>
      <w:proofErr w:type="spellStart"/>
      <w:r w:rsidRPr="002D7A10">
        <w:rPr>
          <w:rFonts w:asciiTheme="minorHAnsi" w:hAnsiTheme="minorHAnsi"/>
          <w:lang w:eastAsia="sk-SK"/>
        </w:rPr>
        <w:t>Dr.h.c</w:t>
      </w:r>
      <w:proofErr w:type="spellEnd"/>
      <w:r w:rsidRPr="002D7A10">
        <w:rPr>
          <w:rFonts w:asciiTheme="minorHAnsi" w:hAnsiTheme="minorHAnsi"/>
          <w:lang w:eastAsia="sk-SK"/>
        </w:rPr>
        <w:t xml:space="preserve">. prof. Ing. Anton ČIŽMÁR, CSc., telekomunikácie </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Milan DADO, PhD., telekomunikácie</w:t>
      </w:r>
    </w:p>
    <w:p w:rsidR="00B51749" w:rsidRPr="002D7A10" w:rsidRDefault="00B51749" w:rsidP="00B51749">
      <w:pPr>
        <w:rPr>
          <w:rFonts w:asciiTheme="minorHAnsi" w:hAnsiTheme="minorHAnsi"/>
          <w:lang w:eastAsia="sk-SK"/>
        </w:rPr>
      </w:pPr>
      <w:r w:rsidRPr="002D7A10">
        <w:rPr>
          <w:rFonts w:asciiTheme="minorHAnsi" w:hAnsiTheme="minorHAnsi"/>
          <w:lang w:eastAsia="sk-SK"/>
        </w:rPr>
        <w:t xml:space="preserve">hosť. prof. Ing. Ľudovít KUPČA, CSc., materiály  </w:t>
      </w:r>
    </w:p>
    <w:p w:rsidR="00B51749" w:rsidRPr="002D7A10" w:rsidRDefault="00B51749" w:rsidP="00B51749">
      <w:pPr>
        <w:rPr>
          <w:rFonts w:asciiTheme="minorHAnsi" w:hAnsiTheme="minorHAnsi"/>
        </w:rPr>
      </w:pPr>
      <w:r w:rsidRPr="002D7A10">
        <w:rPr>
          <w:rFonts w:asciiTheme="minorHAnsi" w:hAnsiTheme="minorHAnsi"/>
          <w:lang w:eastAsia="sk-SK"/>
        </w:rPr>
        <w:t xml:space="preserve">Ing. Peter MATIAŠOVSKÝ, CSc., </w:t>
      </w:r>
      <w:r w:rsidRPr="002D7A10">
        <w:rPr>
          <w:rFonts w:asciiTheme="minorHAnsi" w:hAnsiTheme="minorHAnsi"/>
        </w:rPr>
        <w:t xml:space="preserve">teória a konštrukcie pozemných stavieb </w:t>
      </w:r>
    </w:p>
    <w:p w:rsidR="00B51749" w:rsidRPr="002D7A10" w:rsidRDefault="00B51749" w:rsidP="00B51749">
      <w:pPr>
        <w:rPr>
          <w:rFonts w:asciiTheme="minorHAnsi" w:hAnsiTheme="minorHAnsi"/>
          <w:lang w:eastAsia="sk-SK"/>
        </w:rPr>
      </w:pPr>
      <w:r w:rsidRPr="002D7A10">
        <w:rPr>
          <w:rFonts w:asciiTheme="minorHAnsi" w:hAnsiTheme="minorHAnsi"/>
          <w:lang w:eastAsia="sk-SK"/>
        </w:rPr>
        <w:t xml:space="preserve">prof. RNDr. Karol MIČIETA, PhD., biológia </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Dr. Ing. arch. Henrieta MORAVČÍKOVÁ, architektúra a urbanizmus</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RNDr. Jaromír PASTOREK, DrSc., mikrobiológia a virológia</w:t>
      </w:r>
    </w:p>
    <w:p w:rsidR="00B51749" w:rsidRPr="002D7A10" w:rsidRDefault="00B51749" w:rsidP="00B51749">
      <w:pPr>
        <w:rPr>
          <w:rFonts w:asciiTheme="minorHAnsi" w:hAnsiTheme="minorHAnsi"/>
          <w:lang w:eastAsia="sk-SK"/>
        </w:rPr>
      </w:pPr>
      <w:r w:rsidRPr="002D7A10">
        <w:rPr>
          <w:rFonts w:asciiTheme="minorHAnsi" w:hAnsiTheme="minorHAnsi"/>
          <w:lang w:eastAsia="sk-SK"/>
        </w:rPr>
        <w:t xml:space="preserve">Ing. Anton SCHEBER, CSc., informačné systémy </w:t>
      </w:r>
    </w:p>
    <w:p w:rsidR="00B51749" w:rsidRPr="002D7A10" w:rsidRDefault="00B51749" w:rsidP="00B51749">
      <w:pPr>
        <w:rPr>
          <w:rFonts w:asciiTheme="minorHAnsi" w:hAnsiTheme="minorHAnsi"/>
          <w:lang w:eastAsia="sk-SK"/>
        </w:rPr>
      </w:pPr>
      <w:r w:rsidRPr="002D7A10">
        <w:rPr>
          <w:rFonts w:asciiTheme="minorHAnsi" w:hAnsiTheme="minorHAnsi"/>
          <w:lang w:eastAsia="sk-SK"/>
        </w:rPr>
        <w:t xml:space="preserve">Ing. Vladimír SLEZÁK, stroje pre chemický a potravinársky priemysel  </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RNDr. Pavol ŠAJGALÍK, DrSc., anorganická technológia a materiály</w:t>
      </w:r>
    </w:p>
    <w:p w:rsidR="00B51749" w:rsidRPr="002D7A10" w:rsidRDefault="00B51749" w:rsidP="00B51749">
      <w:pPr>
        <w:rPr>
          <w:rFonts w:asciiTheme="minorHAnsi" w:hAnsiTheme="minorHAnsi"/>
          <w:b/>
          <w:lang w:eastAsia="sk-SK"/>
        </w:rPr>
      </w:pPr>
      <w:r w:rsidRPr="002D7A10">
        <w:rPr>
          <w:rFonts w:asciiTheme="minorHAnsi" w:hAnsiTheme="minorHAnsi"/>
          <w:b/>
          <w:lang w:eastAsia="sk-SK"/>
        </w:rPr>
        <w:t>ČESTNÍ ČLENOVIA</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Václav HAVLÍČEK, CSc., teoretická elektrotechnika</w:t>
      </w:r>
    </w:p>
    <w:p w:rsidR="00B51749" w:rsidRPr="002D7A10" w:rsidRDefault="00B51749" w:rsidP="00B51749">
      <w:pPr>
        <w:rPr>
          <w:rFonts w:asciiTheme="minorHAnsi" w:hAnsiTheme="minorHAnsi"/>
          <w:lang w:eastAsia="sk-SK"/>
        </w:rPr>
      </w:pPr>
      <w:r w:rsidRPr="002D7A10">
        <w:rPr>
          <w:rFonts w:asciiTheme="minorHAnsi" w:hAnsiTheme="minorHAnsi"/>
          <w:lang w:eastAsia="sk-SK"/>
        </w:rPr>
        <w:t>prof. Ing. Karel RAIS, CSc., MBA, manažment a riadenie</w:t>
      </w:r>
    </w:p>
    <w:p w:rsidR="00B51749" w:rsidRPr="002D7A10" w:rsidRDefault="00B51749" w:rsidP="00B51749">
      <w:pPr>
        <w:rPr>
          <w:rFonts w:asciiTheme="minorHAnsi" w:hAnsiTheme="minorHAnsi"/>
          <w:b/>
          <w:lang w:eastAsia="sk-SK"/>
        </w:rPr>
      </w:pPr>
      <w:r w:rsidRPr="002D7A10">
        <w:rPr>
          <w:rFonts w:asciiTheme="minorHAnsi" w:hAnsiTheme="minorHAnsi"/>
          <w:b/>
          <w:lang w:eastAsia="sk-SK"/>
        </w:rPr>
        <w:t>TAJOMNÍČKA</w:t>
      </w:r>
    </w:p>
    <w:p w:rsidR="00B51749" w:rsidRPr="002D7A10" w:rsidRDefault="00B51749" w:rsidP="00B51749">
      <w:pPr>
        <w:rPr>
          <w:rFonts w:asciiTheme="minorHAnsi" w:hAnsiTheme="minorHAnsi"/>
          <w:lang w:eastAsia="sk-SK"/>
        </w:rPr>
      </w:pPr>
      <w:r w:rsidRPr="002D7A10">
        <w:rPr>
          <w:rFonts w:asciiTheme="minorHAnsi" w:hAnsiTheme="minorHAnsi"/>
          <w:lang w:eastAsia="sk-SK"/>
        </w:rPr>
        <w:t>Ing. Dagmar PETRÍKOVÁ</w:t>
      </w:r>
    </w:p>
    <w:p w:rsidR="00B51749" w:rsidRPr="002D7A10" w:rsidRDefault="00B51749" w:rsidP="00B51749">
      <w:pPr>
        <w:rPr>
          <w:rFonts w:asciiTheme="minorHAnsi" w:hAnsiTheme="minorHAnsi"/>
          <w:b/>
          <w:color w:val="FF0000"/>
        </w:rPr>
      </w:pPr>
    </w:p>
    <w:p w:rsidR="006415A5" w:rsidRPr="002D7A10" w:rsidRDefault="006415A5" w:rsidP="006415A5">
      <w:pPr>
        <w:rPr>
          <w:rFonts w:asciiTheme="minorHAnsi" w:eastAsia="Times New Roman" w:hAnsiTheme="minorHAnsi"/>
          <w:b/>
          <w:bCs/>
          <w:lang w:eastAsia="sk-SK"/>
        </w:rPr>
      </w:pPr>
    </w:p>
    <w:p w:rsidR="006415A5" w:rsidRPr="002D7A10" w:rsidRDefault="006415A5" w:rsidP="006415A5">
      <w:pPr>
        <w:rPr>
          <w:rFonts w:asciiTheme="minorHAnsi" w:eastAsia="Times New Roman" w:hAnsiTheme="minorHAnsi"/>
        </w:rPr>
      </w:pPr>
      <w:r w:rsidRPr="002D7A10">
        <w:rPr>
          <w:rFonts w:asciiTheme="minorHAnsi" w:eastAsia="Times New Roman" w:hAnsiTheme="minorHAnsi"/>
          <w:b/>
          <w:bCs/>
          <w:lang w:eastAsia="sk-SK"/>
        </w:rPr>
        <w:t>Vedecká rada STU od 30. 3. 2015</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b/>
          <w:bCs/>
          <w:lang w:eastAsia="sk-SK"/>
        </w:rPr>
        <w:t>PREDSEDA</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prof. Ing. Robert REDHAMMER, PhD., elektronika</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b/>
          <w:bCs/>
          <w:lang w:eastAsia="sk-SK"/>
        </w:rPr>
        <w:t>PODPREDSEDA</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prof. Ing. Stanislav BISKUPIČ, DrSc., fyzikálna chémia a chemická fyzika</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b/>
          <w:bCs/>
          <w:lang w:eastAsia="sk-SK"/>
        </w:rPr>
        <w:t>ČLENOVIA</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prof. Ing. Miloš ČAMBÁL, CSc., priemyselné inžinierstvo</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prof. Ing. Pavel ČIČÁK, PhD., počítačové prostriedky a systémy (od decembra 2011)</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prof. Ing. Daniel DONOVAL, DrSc., elektronika</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prof. Ing. Anton GATIAL, DrSc., fyzikálna chémia</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prof. Ing. Ján HÍVEŠ, PhD., anorganická technológia a materiály</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doc. Ing. Branislav HUČKO, PhD., aplikovaná mechanika</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 xml:space="preserve">prof. Ing. František  JANÍČEK, PhD., </w:t>
      </w:r>
      <w:proofErr w:type="spellStart"/>
      <w:r w:rsidRPr="002D7A10">
        <w:rPr>
          <w:rFonts w:asciiTheme="minorHAnsi" w:eastAsia="Times New Roman" w:hAnsiTheme="minorHAnsi"/>
          <w:lang w:eastAsia="sk-SK"/>
        </w:rPr>
        <w:t>elektroenergetika</w:t>
      </w:r>
      <w:proofErr w:type="spellEnd"/>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prof. Ing. Radko MESIAR, DrSc., matematika</w:t>
      </w:r>
    </w:p>
    <w:p w:rsidR="006415A5" w:rsidRPr="002D7A10" w:rsidRDefault="006415A5" w:rsidP="006415A5">
      <w:pPr>
        <w:rPr>
          <w:rFonts w:asciiTheme="minorHAnsi" w:eastAsia="Times New Roman" w:hAnsiTheme="minorHAnsi"/>
        </w:rPr>
      </w:pPr>
      <w:proofErr w:type="spellStart"/>
      <w:r w:rsidRPr="002D7A10">
        <w:rPr>
          <w:rFonts w:asciiTheme="minorHAnsi" w:eastAsia="Times New Roman" w:hAnsiTheme="minorHAnsi"/>
        </w:rPr>
        <w:t>Dr.h.c</w:t>
      </w:r>
      <w:proofErr w:type="spellEnd"/>
      <w:r w:rsidRPr="002D7A10">
        <w:rPr>
          <w:rFonts w:asciiTheme="minorHAnsi" w:eastAsia="Times New Roman" w:hAnsiTheme="minorHAnsi"/>
        </w:rPr>
        <w:t xml:space="preserve">. </w:t>
      </w:r>
      <w:r w:rsidRPr="002D7A10">
        <w:rPr>
          <w:rFonts w:asciiTheme="minorHAnsi" w:eastAsia="Times New Roman" w:hAnsiTheme="minorHAnsi"/>
          <w:lang w:eastAsia="sk-SK"/>
        </w:rPr>
        <w:t>prof. Dr. Ing. Oliver MORAVČÍK, aplikovaná informatika a automatizácia v priemysle</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prof. Ing. Pavol NÁVRAT, PhD., aplikovaná informatika</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rPr>
        <w:t>prof. Dr. Ing. Miloš ORAVEC, kybernetika</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rPr>
        <w:t xml:space="preserve">prof. akad. </w:t>
      </w:r>
      <w:proofErr w:type="spellStart"/>
      <w:r w:rsidRPr="002D7A10">
        <w:rPr>
          <w:rFonts w:asciiTheme="minorHAnsi" w:eastAsia="Times New Roman" w:hAnsiTheme="minorHAnsi"/>
        </w:rPr>
        <w:t>soch</w:t>
      </w:r>
      <w:proofErr w:type="spellEnd"/>
      <w:r w:rsidRPr="002D7A10">
        <w:rPr>
          <w:rFonts w:asciiTheme="minorHAnsi" w:eastAsia="Times New Roman" w:hAnsiTheme="minorHAnsi"/>
        </w:rPr>
        <w:t>. Peter PALIATKA, dizajn (od októbra 2013)</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prof. Ing. Marián PECIAR, PhD., procesná technika</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prof. Dr. Ing. Jozef PETERKA, technológie strojárskej výroby</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 xml:space="preserve">prof. Ing. Viktor </w:t>
      </w:r>
      <w:r w:rsidR="00082A2D">
        <w:rPr>
          <w:rFonts w:asciiTheme="minorHAnsi" w:eastAsia="Times New Roman" w:hAnsiTheme="minorHAnsi"/>
          <w:lang w:eastAsia="sk-SK"/>
        </w:rPr>
        <w:t>S</w:t>
      </w:r>
      <w:r w:rsidRPr="002D7A10">
        <w:rPr>
          <w:rFonts w:asciiTheme="minorHAnsi" w:eastAsia="Times New Roman" w:hAnsiTheme="minorHAnsi"/>
          <w:lang w:eastAsia="sk-SK"/>
        </w:rPr>
        <w:t>MIEŠKO, PhD., meracia technika</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doc. Ing. Štefan STANKO, PhD., vodné hospodárstvo</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prof. Ing. Ján SZOLGAY, PhD., hydrológia a vodné hospodárstvo</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prof. Ing. Ján ŠAJBIDOR, DrSc., biotechnológie</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prof. Ing. Ľubomír ŠOOŠ, PhD., výrobná technika</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 xml:space="preserve">prof. Ing. arch. Robert ŠPAČEK, CSc., architektúra a urbanizmus </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lastRenderedPageBreak/>
        <w:t>prof. Ing. Stanislav UNČÍK, PhD., stavebníctvo</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doc. Ing. arch. Ľubica VITKOVÁ, PhD., architektúra a urbanizmus</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rPr>
        <w:t>doc. Ing. Marián ZAJKO, PhD., MBA, manažment a riadenie (od októbra 2013)</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b/>
          <w:bCs/>
          <w:lang w:eastAsia="sk-SK"/>
        </w:rPr>
        <w:t>EXTERNÍ ČLENOVIA</w:t>
      </w:r>
    </w:p>
    <w:p w:rsidR="006415A5" w:rsidRPr="002D7A10" w:rsidRDefault="006415A5" w:rsidP="006415A5">
      <w:pPr>
        <w:rPr>
          <w:rFonts w:asciiTheme="minorHAnsi" w:eastAsia="Times New Roman" w:hAnsiTheme="minorHAnsi"/>
          <w:lang w:eastAsia="sk-SK"/>
        </w:rPr>
      </w:pPr>
      <w:proofErr w:type="spellStart"/>
      <w:r w:rsidRPr="002D7A10">
        <w:rPr>
          <w:rFonts w:asciiTheme="minorHAnsi" w:eastAsia="Times New Roman" w:hAnsiTheme="minorHAnsi"/>
          <w:lang w:eastAsia="sk-SK"/>
        </w:rPr>
        <w:t>Dr.h.c</w:t>
      </w:r>
      <w:proofErr w:type="spellEnd"/>
      <w:r w:rsidRPr="002D7A10">
        <w:rPr>
          <w:rFonts w:asciiTheme="minorHAnsi" w:eastAsia="Times New Roman" w:hAnsiTheme="minorHAnsi"/>
          <w:lang w:eastAsia="sk-SK"/>
        </w:rPr>
        <w:t>. prof. Ing. Tatiana ČOREJOVÁ, PhD., odvetvové a prierezové ekonomiky</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prof. Ing. Milan DADO, PhD., telekomunikácie</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hosť. prof. Ing. Peter FODREK, PhD., odbore strojárske technológie a materiály</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Ing. arch. Vojtech HRDINA, PhD., architektúra</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prof. Ing. Stanislav KMEŤ, CSc., teória a konštrukcie inžinierskych stavieb</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 xml:space="preserve">Ing. Peter MATIAŠOVSKÝ, CSc., </w:t>
      </w:r>
      <w:r w:rsidRPr="002D7A10">
        <w:rPr>
          <w:rFonts w:asciiTheme="minorHAnsi" w:eastAsia="Times New Roman" w:hAnsiTheme="minorHAnsi"/>
        </w:rPr>
        <w:t xml:space="preserve">teória a konštrukcie pozemných stavieb </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 xml:space="preserve">prof. RNDr. Karol MIČIETA, PhD., biológia </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doc. Ing. Pavol RAJNIAK, DrSc., chemické inžinierstvo a riadenie procesov</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 xml:space="preserve">Ing. Anton SCHEBER, CSc., informačné systémy </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 xml:space="preserve">Ing. Vladimír SLEZÁK, stroje pre chemický a potravinársky priemysel  </w:t>
      </w:r>
    </w:p>
    <w:p w:rsidR="006415A5" w:rsidRPr="002D7A10" w:rsidRDefault="006415A5" w:rsidP="006415A5">
      <w:pPr>
        <w:rPr>
          <w:rFonts w:asciiTheme="minorHAnsi" w:eastAsia="Times New Roman" w:hAnsiTheme="minorHAnsi"/>
          <w:lang w:eastAsia="sk-SK"/>
        </w:rPr>
      </w:pPr>
      <w:r w:rsidRPr="002D7A10">
        <w:rPr>
          <w:rFonts w:asciiTheme="minorHAnsi" w:eastAsia="Times New Roman" w:hAnsiTheme="minorHAnsi"/>
          <w:lang w:eastAsia="sk-SK"/>
        </w:rPr>
        <w:t>prof. RNDr. Pavol ŠAJGALÍK, DrSc., anorganická technológia a materiály</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rPr>
        <w:t xml:space="preserve">prof. RNDr. Ing. </w:t>
      </w:r>
      <w:proofErr w:type="spellStart"/>
      <w:r w:rsidRPr="002D7A10">
        <w:rPr>
          <w:rFonts w:asciiTheme="minorHAnsi" w:eastAsia="Times New Roman" w:hAnsiTheme="minorHAnsi"/>
        </w:rPr>
        <w:t>Petr</w:t>
      </w:r>
      <w:proofErr w:type="spellEnd"/>
      <w:r w:rsidRPr="002D7A10">
        <w:rPr>
          <w:rFonts w:asciiTheme="minorHAnsi" w:eastAsia="Times New Roman" w:hAnsiTheme="minorHAnsi"/>
        </w:rPr>
        <w:t xml:space="preserve"> </w:t>
      </w:r>
      <w:proofErr w:type="spellStart"/>
      <w:r w:rsidRPr="002D7A10">
        <w:rPr>
          <w:rFonts w:asciiTheme="minorHAnsi" w:eastAsia="Times New Roman" w:hAnsiTheme="minorHAnsi"/>
        </w:rPr>
        <w:t>Štepánek</w:t>
      </w:r>
      <w:proofErr w:type="spellEnd"/>
      <w:r w:rsidRPr="002D7A10">
        <w:rPr>
          <w:rFonts w:asciiTheme="minorHAnsi" w:eastAsia="Times New Roman" w:hAnsiTheme="minorHAnsi"/>
        </w:rPr>
        <w:t>, CSc., stavebníctvo</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b/>
          <w:bCs/>
          <w:lang w:eastAsia="sk-SK"/>
        </w:rPr>
        <w:t>TAJOMNÍČKA</w:t>
      </w:r>
    </w:p>
    <w:p w:rsidR="006415A5" w:rsidRPr="002D7A10" w:rsidRDefault="006415A5" w:rsidP="006415A5">
      <w:pPr>
        <w:rPr>
          <w:rFonts w:asciiTheme="minorHAnsi" w:eastAsia="Times New Roman" w:hAnsiTheme="minorHAnsi"/>
        </w:rPr>
      </w:pPr>
      <w:r w:rsidRPr="002D7A10">
        <w:rPr>
          <w:rFonts w:asciiTheme="minorHAnsi" w:eastAsia="Times New Roman" w:hAnsiTheme="minorHAnsi"/>
          <w:lang w:eastAsia="sk-SK"/>
        </w:rPr>
        <w:t>Ing. Dagmar PETRÍKOVÁ</w:t>
      </w:r>
    </w:p>
    <w:p w:rsidR="003B4583" w:rsidRDefault="003B4583" w:rsidP="00B51749">
      <w:pPr>
        <w:rPr>
          <w:rFonts w:asciiTheme="minorHAnsi" w:hAnsiTheme="minorHAnsi"/>
        </w:rPr>
      </w:pPr>
    </w:p>
    <w:p w:rsidR="00BE11C4" w:rsidRPr="002D7A10" w:rsidRDefault="00BE11C4" w:rsidP="00B51749">
      <w:pPr>
        <w:rPr>
          <w:rFonts w:asciiTheme="minorHAnsi" w:hAnsiTheme="minorHAnsi"/>
          <w:b/>
          <w:color w:val="FF0000"/>
        </w:rPr>
      </w:pPr>
    </w:p>
    <w:p w:rsidR="00B51749" w:rsidRPr="002D7A10" w:rsidRDefault="00B51749" w:rsidP="00805E89">
      <w:pPr>
        <w:rPr>
          <w:rFonts w:asciiTheme="minorHAnsi" w:hAnsiTheme="minorHAnsi"/>
          <w:b/>
          <w:bCs/>
        </w:rPr>
      </w:pPr>
      <w:r w:rsidRPr="002D7A10">
        <w:rPr>
          <w:rFonts w:asciiTheme="minorHAnsi" w:hAnsiTheme="minorHAnsi"/>
          <w:b/>
          <w:bCs/>
        </w:rPr>
        <w:t>Disciplinárna komisia vysokej školy pre študentov:</w:t>
      </w:r>
    </w:p>
    <w:p w:rsidR="00B51749" w:rsidRPr="002D7A10" w:rsidRDefault="00B51749" w:rsidP="00805E89">
      <w:pPr>
        <w:pStyle w:val="Normlnywebov"/>
        <w:spacing w:before="0" w:beforeAutospacing="0" w:after="0" w:afterAutospacing="0"/>
        <w:jc w:val="left"/>
        <w:rPr>
          <w:rFonts w:asciiTheme="minorHAnsi" w:hAnsiTheme="minorHAnsi"/>
          <w:b/>
          <w:bCs/>
          <w:lang w:eastAsia="sk-SK"/>
        </w:rPr>
      </w:pPr>
      <w:r w:rsidRPr="002D7A10">
        <w:rPr>
          <w:rFonts w:asciiTheme="minorHAnsi" w:hAnsiTheme="minorHAnsi"/>
          <w:b/>
          <w:bCs/>
          <w:lang w:eastAsia="sk-SK"/>
        </w:rPr>
        <w:t xml:space="preserve">PREDSEDA: </w:t>
      </w:r>
    </w:p>
    <w:p w:rsidR="00805E89" w:rsidRPr="002D7A10" w:rsidRDefault="00805E89" w:rsidP="00805E89">
      <w:pPr>
        <w:rPr>
          <w:rFonts w:asciiTheme="minorHAnsi" w:hAnsiTheme="minorHAnsi"/>
          <w:bCs/>
        </w:rPr>
      </w:pPr>
      <w:r w:rsidRPr="002D7A10">
        <w:rPr>
          <w:rFonts w:asciiTheme="minorHAnsi" w:hAnsiTheme="minorHAnsi"/>
          <w:bCs/>
        </w:rPr>
        <w:t>doc. Ing. Štefan STANKO, PhD.</w:t>
      </w:r>
    </w:p>
    <w:p w:rsidR="00805E89" w:rsidRPr="002D7A10" w:rsidRDefault="00B51749" w:rsidP="00805E89">
      <w:pPr>
        <w:rPr>
          <w:rFonts w:asciiTheme="minorHAnsi" w:hAnsiTheme="minorHAnsi"/>
          <w:b/>
          <w:bCs/>
          <w:lang w:eastAsia="sk-SK"/>
        </w:rPr>
      </w:pPr>
      <w:r w:rsidRPr="002D7A10">
        <w:rPr>
          <w:rFonts w:asciiTheme="minorHAnsi" w:hAnsiTheme="minorHAnsi"/>
          <w:b/>
          <w:bCs/>
          <w:lang w:eastAsia="sk-SK"/>
        </w:rPr>
        <w:t>ČLENOVIA:</w:t>
      </w:r>
    </w:p>
    <w:p w:rsidR="00805E89" w:rsidRPr="002D7A10" w:rsidRDefault="00805E89" w:rsidP="00805E89">
      <w:pPr>
        <w:rPr>
          <w:rFonts w:asciiTheme="minorHAnsi" w:hAnsiTheme="minorHAnsi"/>
          <w:b/>
          <w:bCs/>
          <w:lang w:eastAsia="sk-SK"/>
        </w:rPr>
      </w:pPr>
      <w:r w:rsidRPr="002D7A10">
        <w:rPr>
          <w:rFonts w:asciiTheme="minorHAnsi" w:eastAsia="Times New Roman" w:hAnsiTheme="minorHAnsi"/>
          <w:lang w:eastAsia="sk-SK"/>
        </w:rPr>
        <w:t>doc. Ing. Daniela ŠPIRKOVÁ, PhD.</w:t>
      </w:r>
    </w:p>
    <w:p w:rsidR="00805E89" w:rsidRPr="002D7A10" w:rsidRDefault="00805E89" w:rsidP="00805E89">
      <w:pPr>
        <w:rPr>
          <w:rFonts w:asciiTheme="minorHAnsi" w:hAnsiTheme="minorHAnsi"/>
          <w:b/>
          <w:bCs/>
          <w:lang w:eastAsia="sk-SK"/>
        </w:rPr>
      </w:pPr>
      <w:r w:rsidRPr="002D7A10">
        <w:rPr>
          <w:rFonts w:asciiTheme="minorHAnsi" w:eastAsia="Times New Roman" w:hAnsiTheme="minorHAnsi"/>
          <w:lang w:eastAsia="sk-SK"/>
        </w:rPr>
        <w:t>prof. Ing. arch. Maroš FINKA, PhD.</w:t>
      </w:r>
    </w:p>
    <w:p w:rsidR="00805E89" w:rsidRPr="002D7A10" w:rsidRDefault="00805E89" w:rsidP="00805E89">
      <w:pPr>
        <w:rPr>
          <w:rFonts w:asciiTheme="minorHAnsi" w:hAnsiTheme="minorHAnsi"/>
          <w:b/>
          <w:bCs/>
          <w:lang w:eastAsia="sk-SK"/>
        </w:rPr>
      </w:pPr>
      <w:r w:rsidRPr="002D7A10">
        <w:rPr>
          <w:rFonts w:asciiTheme="minorHAnsi" w:eastAsia="Times New Roman" w:hAnsiTheme="minorHAnsi"/>
          <w:lang w:eastAsia="sk-SK"/>
        </w:rPr>
        <w:t>doc. PhDr. Dagmar PETRÍKOVÁ, PhD.</w:t>
      </w:r>
    </w:p>
    <w:p w:rsidR="00805E89" w:rsidRPr="002D7A10" w:rsidRDefault="00805E89" w:rsidP="00805E89">
      <w:pPr>
        <w:rPr>
          <w:rFonts w:asciiTheme="minorHAnsi" w:hAnsiTheme="minorHAnsi"/>
          <w:b/>
          <w:bCs/>
          <w:lang w:eastAsia="sk-SK"/>
        </w:rPr>
      </w:pPr>
      <w:r w:rsidRPr="002D7A10">
        <w:rPr>
          <w:rFonts w:asciiTheme="minorHAnsi" w:eastAsia="Times New Roman" w:hAnsiTheme="minorHAnsi"/>
          <w:lang w:eastAsia="sk-SK"/>
        </w:rPr>
        <w:t>Adam JUHÁS</w:t>
      </w:r>
    </w:p>
    <w:p w:rsidR="00805E89" w:rsidRPr="002D7A10" w:rsidRDefault="00805E89" w:rsidP="00805E89">
      <w:pPr>
        <w:rPr>
          <w:rFonts w:asciiTheme="minorHAnsi" w:hAnsiTheme="minorHAnsi"/>
          <w:b/>
          <w:bCs/>
          <w:lang w:eastAsia="sk-SK"/>
        </w:rPr>
      </w:pPr>
      <w:r w:rsidRPr="002D7A10">
        <w:rPr>
          <w:rFonts w:asciiTheme="minorHAnsi" w:eastAsia="Times New Roman" w:hAnsiTheme="minorHAnsi"/>
          <w:lang w:eastAsia="sk-SK"/>
        </w:rPr>
        <w:t>Bc. Michaela KONEČNÁ</w:t>
      </w:r>
    </w:p>
    <w:p w:rsidR="00805E89" w:rsidRPr="002D7A10" w:rsidRDefault="00805E89" w:rsidP="00805E89">
      <w:pPr>
        <w:rPr>
          <w:rFonts w:asciiTheme="minorHAnsi" w:hAnsiTheme="minorHAnsi"/>
          <w:b/>
          <w:bCs/>
          <w:lang w:eastAsia="sk-SK"/>
        </w:rPr>
      </w:pPr>
      <w:r w:rsidRPr="002D7A10">
        <w:rPr>
          <w:rFonts w:asciiTheme="minorHAnsi" w:eastAsia="Times New Roman" w:hAnsiTheme="minorHAnsi"/>
          <w:lang w:eastAsia="sk-SK"/>
        </w:rPr>
        <w:t>Ing. Filip GULAN</w:t>
      </w:r>
    </w:p>
    <w:p w:rsidR="00B51749" w:rsidRPr="002D7A10" w:rsidRDefault="00805E89" w:rsidP="00805E89">
      <w:pPr>
        <w:rPr>
          <w:rFonts w:asciiTheme="minorHAnsi" w:hAnsiTheme="minorHAnsi"/>
          <w:b/>
          <w:bCs/>
          <w:lang w:eastAsia="sk-SK"/>
        </w:rPr>
      </w:pPr>
      <w:r w:rsidRPr="002D7A10">
        <w:rPr>
          <w:rFonts w:asciiTheme="minorHAnsi" w:eastAsia="Times New Roman" w:hAnsiTheme="minorHAnsi"/>
          <w:lang w:eastAsia="sk-SK"/>
        </w:rPr>
        <w:t xml:space="preserve">Ing. </w:t>
      </w:r>
      <w:proofErr w:type="spellStart"/>
      <w:r w:rsidRPr="002D7A10">
        <w:rPr>
          <w:rFonts w:asciiTheme="minorHAnsi" w:eastAsia="Times New Roman" w:hAnsiTheme="minorHAnsi"/>
          <w:lang w:eastAsia="sk-SK"/>
        </w:rPr>
        <w:t>Csilla</w:t>
      </w:r>
      <w:proofErr w:type="spellEnd"/>
      <w:r w:rsidRPr="002D7A10">
        <w:rPr>
          <w:rFonts w:asciiTheme="minorHAnsi" w:eastAsia="Times New Roman" w:hAnsiTheme="minorHAnsi"/>
          <w:lang w:eastAsia="sk-SK"/>
        </w:rPr>
        <w:t> </w:t>
      </w:r>
      <w:proofErr w:type="spellStart"/>
      <w:r w:rsidRPr="002D7A10">
        <w:rPr>
          <w:rFonts w:asciiTheme="minorHAnsi" w:eastAsia="Times New Roman" w:hAnsiTheme="minorHAnsi"/>
          <w:lang w:eastAsia="sk-SK"/>
        </w:rPr>
        <w:t>FüLöPOVÁ</w:t>
      </w:r>
      <w:proofErr w:type="spellEnd"/>
    </w:p>
    <w:p w:rsidR="00B51749" w:rsidRPr="002D7A10" w:rsidRDefault="00B51749" w:rsidP="00805E89">
      <w:pPr>
        <w:rPr>
          <w:rFonts w:asciiTheme="minorHAnsi" w:hAnsiTheme="minorHAnsi"/>
          <w:b/>
          <w:lang w:eastAsia="sk-SK"/>
        </w:rPr>
      </w:pPr>
      <w:r w:rsidRPr="002D7A10">
        <w:rPr>
          <w:rFonts w:asciiTheme="minorHAnsi" w:hAnsiTheme="minorHAnsi"/>
          <w:b/>
          <w:lang w:eastAsia="sk-SK"/>
        </w:rPr>
        <w:t>TAJOMNÍČKA:</w:t>
      </w:r>
    </w:p>
    <w:p w:rsidR="00B51749" w:rsidRPr="002D7A10" w:rsidRDefault="00B51749" w:rsidP="00805E89">
      <w:pPr>
        <w:rPr>
          <w:rFonts w:asciiTheme="minorHAnsi" w:hAnsiTheme="minorHAnsi"/>
          <w:lang w:eastAsia="sk-SK"/>
        </w:rPr>
      </w:pPr>
      <w:r w:rsidRPr="002D7A10">
        <w:rPr>
          <w:rFonts w:asciiTheme="minorHAnsi" w:hAnsiTheme="minorHAnsi"/>
          <w:lang w:eastAsia="sk-SK"/>
        </w:rPr>
        <w:t>Mgr. Marianna MICHELKOVÁ</w:t>
      </w:r>
    </w:p>
    <w:p w:rsidR="00B51749" w:rsidRPr="002D7A10" w:rsidRDefault="00B51749" w:rsidP="00805E89">
      <w:pPr>
        <w:rPr>
          <w:rFonts w:asciiTheme="minorHAnsi" w:hAnsiTheme="minorHAnsi"/>
        </w:rPr>
      </w:pPr>
    </w:p>
    <w:p w:rsidR="00B51749" w:rsidRPr="002D7A10" w:rsidRDefault="00B51749" w:rsidP="00B51749">
      <w:pPr>
        <w:rPr>
          <w:rFonts w:asciiTheme="minorHAnsi" w:hAnsiTheme="minorHAnsi"/>
          <w:color w:val="FF0000"/>
        </w:rPr>
      </w:pPr>
    </w:p>
    <w:p w:rsidR="00B51749" w:rsidRPr="002D7A10" w:rsidRDefault="00B51749" w:rsidP="00B51749">
      <w:pPr>
        <w:rPr>
          <w:rFonts w:asciiTheme="minorHAnsi" w:hAnsiTheme="minorHAnsi"/>
          <w:b/>
        </w:rPr>
      </w:pPr>
      <w:r w:rsidRPr="002D7A10">
        <w:rPr>
          <w:rFonts w:asciiTheme="minorHAnsi" w:hAnsiTheme="minorHAnsi"/>
          <w:b/>
        </w:rPr>
        <w:t>Súčasti univerzity</w:t>
      </w:r>
    </w:p>
    <w:p w:rsidR="00B51749" w:rsidRPr="002D7A10" w:rsidRDefault="00B51749" w:rsidP="00B51749">
      <w:pPr>
        <w:rPr>
          <w:rFonts w:asciiTheme="minorHAnsi" w:hAnsiTheme="minorHAnsi"/>
        </w:rPr>
      </w:pPr>
      <w:r w:rsidRPr="002D7A10">
        <w:rPr>
          <w:rFonts w:asciiTheme="minorHAnsi" w:hAnsiTheme="minorHAnsi"/>
        </w:rPr>
        <w:t>Fakulty:</w:t>
      </w:r>
    </w:p>
    <w:p w:rsidR="00B51749" w:rsidRPr="002D7A10" w:rsidRDefault="00B51749" w:rsidP="00B51749">
      <w:pPr>
        <w:rPr>
          <w:rFonts w:asciiTheme="minorHAnsi" w:hAnsiTheme="minorHAnsi"/>
          <w:b/>
          <w:iCs/>
        </w:rPr>
      </w:pPr>
      <w:r w:rsidRPr="002D7A10">
        <w:rPr>
          <w:rFonts w:asciiTheme="minorHAnsi" w:hAnsiTheme="minorHAnsi"/>
          <w:b/>
          <w:iCs/>
        </w:rPr>
        <w:t>Stavebná fakulta (SvF)</w:t>
      </w:r>
    </w:p>
    <w:p w:rsidR="00B51749" w:rsidRPr="002D7A10" w:rsidRDefault="00B51749" w:rsidP="00B51749">
      <w:pPr>
        <w:rPr>
          <w:rFonts w:asciiTheme="minorHAnsi" w:hAnsiTheme="minorHAnsi"/>
        </w:rPr>
      </w:pPr>
      <w:r w:rsidRPr="002D7A10">
        <w:rPr>
          <w:rFonts w:asciiTheme="minorHAnsi" w:hAnsiTheme="minorHAnsi"/>
        </w:rPr>
        <w:t xml:space="preserve">Dekan: </w:t>
      </w:r>
      <w:r w:rsidR="00263F53" w:rsidRPr="002D7A10">
        <w:rPr>
          <w:rFonts w:asciiTheme="minorHAnsi" w:hAnsiTheme="minorHAnsi"/>
          <w:bCs/>
        </w:rPr>
        <w:t>prof. Ing. Stanislav UNČÍK, PhD</w:t>
      </w:r>
      <w:r w:rsidR="00263F53" w:rsidRPr="002D7A10">
        <w:rPr>
          <w:rFonts w:asciiTheme="minorHAnsi" w:hAnsiTheme="minorHAnsi"/>
          <w:b/>
          <w:bCs/>
        </w:rPr>
        <w:t>.</w:t>
      </w:r>
      <w:r w:rsidRPr="002D7A10">
        <w:rPr>
          <w:rFonts w:asciiTheme="minorHAnsi" w:hAnsiTheme="minorHAnsi"/>
        </w:rPr>
        <w:t xml:space="preserve"> </w:t>
      </w:r>
      <w:r w:rsidR="00263F53" w:rsidRPr="002D7A10">
        <w:rPr>
          <w:rFonts w:asciiTheme="minorHAnsi" w:hAnsiTheme="minorHAnsi"/>
          <w:iCs/>
        </w:rPr>
        <w:t>(od 1. 2. 2015</w:t>
      </w:r>
      <w:r w:rsidRPr="002D7A10">
        <w:rPr>
          <w:rFonts w:asciiTheme="minorHAnsi" w:hAnsiTheme="minorHAnsi"/>
          <w:iCs/>
        </w:rPr>
        <w:t>)</w:t>
      </w:r>
    </w:p>
    <w:p w:rsidR="00B51749" w:rsidRPr="002D7A10" w:rsidRDefault="00B51749" w:rsidP="00B51749">
      <w:pPr>
        <w:rPr>
          <w:rFonts w:asciiTheme="minorHAnsi" w:hAnsiTheme="minorHAnsi"/>
          <w:b/>
        </w:rPr>
      </w:pPr>
      <w:r w:rsidRPr="002D7A10">
        <w:rPr>
          <w:rFonts w:asciiTheme="minorHAnsi" w:hAnsiTheme="minorHAnsi"/>
          <w:b/>
        </w:rPr>
        <w:t>Strojnícka fakulta (SjF)</w:t>
      </w:r>
    </w:p>
    <w:p w:rsidR="00B51749" w:rsidRPr="002D7A10" w:rsidRDefault="00B51749" w:rsidP="00B51749">
      <w:pPr>
        <w:rPr>
          <w:rFonts w:asciiTheme="minorHAnsi" w:hAnsiTheme="minorHAnsi"/>
        </w:rPr>
      </w:pPr>
      <w:r w:rsidRPr="002D7A10">
        <w:rPr>
          <w:rFonts w:asciiTheme="minorHAnsi" w:hAnsiTheme="minorHAnsi"/>
        </w:rPr>
        <w:t xml:space="preserve">Dekan: </w:t>
      </w:r>
      <w:r w:rsidR="0022468A" w:rsidRPr="002D7A10">
        <w:rPr>
          <w:rFonts w:asciiTheme="minorHAnsi" w:hAnsiTheme="minorHAnsi"/>
          <w:bCs/>
        </w:rPr>
        <w:t>doc. Ing. Branislav HUČKO, PhD.</w:t>
      </w:r>
      <w:r w:rsidR="0022468A" w:rsidRPr="002D7A10">
        <w:rPr>
          <w:rFonts w:asciiTheme="minorHAnsi" w:hAnsiTheme="minorHAnsi"/>
        </w:rPr>
        <w:t xml:space="preserve"> </w:t>
      </w:r>
      <w:r w:rsidRPr="002D7A10">
        <w:rPr>
          <w:rFonts w:asciiTheme="minorHAnsi" w:hAnsiTheme="minorHAnsi"/>
        </w:rPr>
        <w:t xml:space="preserve">(od </w:t>
      </w:r>
      <w:r w:rsidRPr="002D7A10">
        <w:rPr>
          <w:rFonts w:asciiTheme="minorHAnsi" w:hAnsiTheme="minorHAnsi"/>
          <w:bCs/>
        </w:rPr>
        <w:t>1. 2. 20</w:t>
      </w:r>
      <w:r w:rsidR="0022468A" w:rsidRPr="002D7A10">
        <w:rPr>
          <w:rFonts w:asciiTheme="minorHAnsi" w:hAnsiTheme="minorHAnsi"/>
          <w:bCs/>
        </w:rPr>
        <w:t>15</w:t>
      </w:r>
      <w:r w:rsidRPr="002D7A10">
        <w:rPr>
          <w:rFonts w:asciiTheme="minorHAnsi" w:hAnsiTheme="minorHAnsi"/>
          <w:bCs/>
        </w:rPr>
        <w:t>)</w:t>
      </w:r>
    </w:p>
    <w:p w:rsidR="00B51749" w:rsidRPr="002D7A10" w:rsidRDefault="00B51749" w:rsidP="00B51749">
      <w:pPr>
        <w:rPr>
          <w:rFonts w:asciiTheme="minorHAnsi" w:hAnsiTheme="minorHAnsi"/>
          <w:b/>
          <w:iCs/>
        </w:rPr>
      </w:pPr>
      <w:r w:rsidRPr="002D7A10">
        <w:rPr>
          <w:rFonts w:asciiTheme="minorHAnsi" w:hAnsiTheme="minorHAnsi"/>
          <w:b/>
          <w:iCs/>
        </w:rPr>
        <w:t>Fakulta elektrotechniky a informatiky (FEI)</w:t>
      </w:r>
    </w:p>
    <w:p w:rsidR="00B51749" w:rsidRPr="002D7A10" w:rsidRDefault="00B51749" w:rsidP="00B51749">
      <w:pPr>
        <w:rPr>
          <w:rFonts w:asciiTheme="minorHAnsi" w:hAnsiTheme="minorHAnsi"/>
        </w:rPr>
      </w:pPr>
      <w:r w:rsidRPr="002D7A10">
        <w:rPr>
          <w:rFonts w:asciiTheme="minorHAnsi" w:hAnsiTheme="minorHAnsi"/>
        </w:rPr>
        <w:t xml:space="preserve">Dekan: </w:t>
      </w:r>
      <w:r w:rsidR="00762C06" w:rsidRPr="002D7A10">
        <w:rPr>
          <w:rFonts w:asciiTheme="minorHAnsi" w:hAnsiTheme="minorHAnsi"/>
          <w:bCs/>
        </w:rPr>
        <w:t>prof. Dr. Ing. Miloš ORAVEC</w:t>
      </w:r>
      <w:r w:rsidR="00762C06" w:rsidRPr="002D7A10">
        <w:rPr>
          <w:rFonts w:asciiTheme="minorHAnsi" w:hAnsiTheme="minorHAnsi"/>
          <w:iCs/>
        </w:rPr>
        <w:t xml:space="preserve"> </w:t>
      </w:r>
      <w:r w:rsidRPr="002D7A10">
        <w:rPr>
          <w:rFonts w:asciiTheme="minorHAnsi" w:hAnsiTheme="minorHAnsi"/>
          <w:iCs/>
        </w:rPr>
        <w:t>(od 1. 2. 201</w:t>
      </w:r>
      <w:r w:rsidR="00762C06" w:rsidRPr="002D7A10">
        <w:rPr>
          <w:rFonts w:asciiTheme="minorHAnsi" w:hAnsiTheme="minorHAnsi"/>
          <w:iCs/>
        </w:rPr>
        <w:t>5</w:t>
      </w:r>
      <w:r w:rsidRPr="002D7A10">
        <w:rPr>
          <w:rFonts w:asciiTheme="minorHAnsi" w:hAnsiTheme="minorHAnsi"/>
          <w:iCs/>
        </w:rPr>
        <w:t>)</w:t>
      </w:r>
    </w:p>
    <w:p w:rsidR="00B51749" w:rsidRPr="002D7A10" w:rsidRDefault="00B51749" w:rsidP="00B51749">
      <w:pPr>
        <w:rPr>
          <w:rFonts w:asciiTheme="minorHAnsi" w:hAnsiTheme="minorHAnsi"/>
          <w:b/>
        </w:rPr>
      </w:pPr>
      <w:r w:rsidRPr="002D7A10">
        <w:rPr>
          <w:rFonts w:asciiTheme="minorHAnsi" w:hAnsiTheme="minorHAnsi"/>
          <w:b/>
        </w:rPr>
        <w:t>Fakulta chemickej a potravinárskej technológie (FCHPT)</w:t>
      </w:r>
    </w:p>
    <w:p w:rsidR="00B51749" w:rsidRPr="002D7A10" w:rsidRDefault="00B51749" w:rsidP="00B51749">
      <w:pPr>
        <w:rPr>
          <w:rFonts w:asciiTheme="minorHAnsi" w:hAnsiTheme="minorHAnsi"/>
        </w:rPr>
      </w:pPr>
      <w:r w:rsidRPr="002D7A10">
        <w:rPr>
          <w:rFonts w:asciiTheme="minorHAnsi" w:hAnsiTheme="minorHAnsi"/>
        </w:rPr>
        <w:t>Dekan: prof. Ing. Ján ŠAJBIDOR, DrSc. (od 1. 2. 2011)</w:t>
      </w:r>
    </w:p>
    <w:p w:rsidR="00B51749" w:rsidRPr="002D7A10" w:rsidRDefault="00B51749" w:rsidP="00B51749">
      <w:pPr>
        <w:rPr>
          <w:rFonts w:asciiTheme="minorHAnsi" w:hAnsiTheme="minorHAnsi"/>
          <w:b/>
        </w:rPr>
      </w:pPr>
      <w:r w:rsidRPr="002D7A10">
        <w:rPr>
          <w:rFonts w:asciiTheme="minorHAnsi" w:hAnsiTheme="minorHAnsi"/>
          <w:b/>
        </w:rPr>
        <w:t>Fakulta architektúry (FA)</w:t>
      </w:r>
    </w:p>
    <w:p w:rsidR="00B51749" w:rsidRPr="002D7A10" w:rsidRDefault="00B51749" w:rsidP="00B51749">
      <w:pPr>
        <w:rPr>
          <w:rFonts w:asciiTheme="minorHAnsi" w:hAnsiTheme="minorHAnsi"/>
        </w:rPr>
      </w:pPr>
      <w:r w:rsidRPr="002D7A10">
        <w:rPr>
          <w:rFonts w:asciiTheme="minorHAnsi" w:hAnsiTheme="minorHAnsi"/>
        </w:rPr>
        <w:t>Dekanka: doc. Ing. arch. Ľubica VITKOVÁ, PhD. (od 16. 9. 2010)</w:t>
      </w:r>
    </w:p>
    <w:p w:rsidR="00B51749" w:rsidRPr="002D7A10" w:rsidRDefault="00B51749" w:rsidP="00B51749">
      <w:pPr>
        <w:rPr>
          <w:rFonts w:asciiTheme="minorHAnsi" w:hAnsiTheme="minorHAnsi"/>
          <w:b/>
          <w:iCs/>
        </w:rPr>
      </w:pPr>
      <w:proofErr w:type="spellStart"/>
      <w:r w:rsidRPr="002D7A10">
        <w:rPr>
          <w:rFonts w:asciiTheme="minorHAnsi" w:hAnsiTheme="minorHAnsi"/>
          <w:b/>
          <w:iCs/>
        </w:rPr>
        <w:t>Materiálovotechnologická</w:t>
      </w:r>
      <w:proofErr w:type="spellEnd"/>
      <w:r w:rsidRPr="002D7A10">
        <w:rPr>
          <w:rFonts w:asciiTheme="minorHAnsi" w:hAnsiTheme="minorHAnsi"/>
          <w:b/>
          <w:iCs/>
        </w:rPr>
        <w:t xml:space="preserve"> fakulta (MTF)</w:t>
      </w:r>
    </w:p>
    <w:p w:rsidR="00B51749" w:rsidRPr="002D7A10" w:rsidRDefault="00B51749" w:rsidP="00B51749">
      <w:pPr>
        <w:rPr>
          <w:rFonts w:asciiTheme="minorHAnsi" w:hAnsiTheme="minorHAnsi"/>
        </w:rPr>
      </w:pPr>
      <w:r w:rsidRPr="002D7A10">
        <w:rPr>
          <w:rFonts w:asciiTheme="minorHAnsi" w:hAnsiTheme="minorHAnsi"/>
        </w:rPr>
        <w:t>Dekan: prof. Dr. Ing. Jozef PETERKA (od 1. 10. 2014)</w:t>
      </w:r>
    </w:p>
    <w:p w:rsidR="00B51749" w:rsidRPr="002D7A10" w:rsidRDefault="00B51749" w:rsidP="00B51749">
      <w:pPr>
        <w:rPr>
          <w:rFonts w:asciiTheme="minorHAnsi" w:hAnsiTheme="minorHAnsi"/>
          <w:b/>
          <w:iCs/>
        </w:rPr>
      </w:pPr>
      <w:r w:rsidRPr="002D7A10">
        <w:rPr>
          <w:rFonts w:asciiTheme="minorHAnsi" w:hAnsiTheme="minorHAnsi"/>
          <w:b/>
          <w:iCs/>
        </w:rPr>
        <w:lastRenderedPageBreak/>
        <w:t>Fakulta informatiky a informačných technológií (FIIT)</w:t>
      </w:r>
    </w:p>
    <w:p w:rsidR="00B51749" w:rsidRPr="002D7A10" w:rsidRDefault="00B51749" w:rsidP="00B51749">
      <w:pPr>
        <w:rPr>
          <w:rFonts w:asciiTheme="minorHAnsi" w:hAnsiTheme="minorHAnsi"/>
        </w:rPr>
      </w:pPr>
      <w:r w:rsidRPr="002D7A10">
        <w:rPr>
          <w:rFonts w:asciiTheme="minorHAnsi" w:hAnsiTheme="minorHAnsi"/>
        </w:rPr>
        <w:t>Dekan:</w:t>
      </w:r>
      <w:r w:rsidRPr="002D7A10">
        <w:rPr>
          <w:rFonts w:asciiTheme="minorHAnsi" w:hAnsiTheme="minorHAnsi"/>
          <w:iCs/>
        </w:rPr>
        <w:t xml:space="preserve"> doc. Ing. Pavel ČIČÁK, PhD. (od </w:t>
      </w:r>
      <w:r w:rsidRPr="002D7A10">
        <w:rPr>
          <w:rFonts w:asciiTheme="minorHAnsi" w:hAnsiTheme="minorHAnsi"/>
          <w:bCs/>
        </w:rPr>
        <w:t>2. 12. 2011</w:t>
      </w:r>
      <w:r w:rsidR="00762C06" w:rsidRPr="002D7A10">
        <w:rPr>
          <w:rFonts w:asciiTheme="minorHAnsi" w:hAnsiTheme="minorHAnsi"/>
          <w:bCs/>
        </w:rPr>
        <w:t xml:space="preserve"> do </w:t>
      </w:r>
      <w:r w:rsidR="00383430">
        <w:rPr>
          <w:rFonts w:asciiTheme="minorHAnsi" w:hAnsiTheme="minorHAnsi"/>
          <w:bCs/>
        </w:rPr>
        <w:t>1</w:t>
      </w:r>
      <w:r w:rsidR="00272E08" w:rsidRPr="00B91431">
        <w:rPr>
          <w:rFonts w:asciiTheme="minorHAnsi" w:hAnsiTheme="minorHAnsi"/>
          <w:bCs/>
        </w:rPr>
        <w:t>.12.2015</w:t>
      </w:r>
      <w:r w:rsidRPr="002D7A10">
        <w:rPr>
          <w:rFonts w:asciiTheme="minorHAnsi" w:hAnsiTheme="minorHAnsi"/>
        </w:rPr>
        <w:t>)</w:t>
      </w:r>
    </w:p>
    <w:p w:rsidR="00762C06" w:rsidRPr="002D7A10" w:rsidRDefault="00762C06" w:rsidP="00B51749">
      <w:pPr>
        <w:rPr>
          <w:rFonts w:asciiTheme="minorHAnsi" w:hAnsiTheme="minorHAnsi"/>
        </w:rPr>
      </w:pPr>
      <w:r w:rsidRPr="002D7A10">
        <w:rPr>
          <w:rFonts w:asciiTheme="minorHAnsi" w:hAnsiTheme="minorHAnsi"/>
        </w:rPr>
        <w:t>Dekanka:</w:t>
      </w:r>
      <w:r w:rsidR="00722D14" w:rsidRPr="002D7A10">
        <w:rPr>
          <w:rFonts w:asciiTheme="minorHAnsi" w:hAnsiTheme="minorHAnsi"/>
        </w:rPr>
        <w:t xml:space="preserve"> </w:t>
      </w:r>
      <w:r w:rsidR="003B0D5B" w:rsidRPr="002D7A10">
        <w:rPr>
          <w:rFonts w:asciiTheme="minorHAnsi" w:hAnsiTheme="minorHAnsi"/>
          <w:bCs/>
        </w:rPr>
        <w:t>prof. Ing. Mária BIELIKOVÁ, PhD.</w:t>
      </w:r>
      <w:r w:rsidR="003B0D5B" w:rsidRPr="002D7A10">
        <w:rPr>
          <w:rFonts w:asciiTheme="minorHAnsi" w:hAnsiTheme="minorHAnsi"/>
        </w:rPr>
        <w:t xml:space="preserve"> </w:t>
      </w:r>
      <w:r w:rsidR="00722D14" w:rsidRPr="002D7A10">
        <w:rPr>
          <w:rFonts w:asciiTheme="minorHAnsi" w:hAnsiTheme="minorHAnsi"/>
        </w:rPr>
        <w:t>(od 2. 12. 2015)</w:t>
      </w:r>
    </w:p>
    <w:p w:rsidR="00B51749" w:rsidRPr="002D7A10" w:rsidRDefault="00B51749" w:rsidP="00B51749">
      <w:pPr>
        <w:rPr>
          <w:rFonts w:asciiTheme="minorHAnsi" w:hAnsiTheme="minorHAnsi"/>
          <w:b/>
          <w:iCs/>
          <w:color w:val="FF0000"/>
        </w:rPr>
      </w:pPr>
    </w:p>
    <w:p w:rsidR="00B51749" w:rsidRPr="002D7A10" w:rsidRDefault="00B51749" w:rsidP="00B51749">
      <w:pPr>
        <w:autoSpaceDE w:val="0"/>
        <w:autoSpaceDN w:val="0"/>
        <w:adjustRightInd w:val="0"/>
        <w:rPr>
          <w:rFonts w:asciiTheme="minorHAnsi" w:hAnsiTheme="minorHAnsi"/>
          <w:b/>
          <w:color w:val="FF0000"/>
        </w:rPr>
      </w:pPr>
    </w:p>
    <w:p w:rsidR="00B51749" w:rsidRPr="002D7A10" w:rsidRDefault="00B51749" w:rsidP="00B51749">
      <w:pPr>
        <w:autoSpaceDE w:val="0"/>
        <w:autoSpaceDN w:val="0"/>
        <w:adjustRightInd w:val="0"/>
        <w:rPr>
          <w:rFonts w:asciiTheme="minorHAnsi" w:hAnsiTheme="minorHAnsi"/>
          <w:b/>
        </w:rPr>
      </w:pPr>
      <w:r w:rsidRPr="002D7A10">
        <w:rPr>
          <w:rFonts w:asciiTheme="minorHAnsi" w:hAnsiTheme="minorHAnsi"/>
          <w:b/>
        </w:rPr>
        <w:t>Ostatné súčasti univerzity:</w:t>
      </w:r>
    </w:p>
    <w:p w:rsidR="00B51749" w:rsidRPr="002D7A10" w:rsidRDefault="00226126" w:rsidP="00B51749">
      <w:pPr>
        <w:autoSpaceDE w:val="0"/>
        <w:autoSpaceDN w:val="0"/>
        <w:adjustRightInd w:val="0"/>
        <w:rPr>
          <w:rFonts w:asciiTheme="minorHAnsi" w:hAnsiTheme="minorHAnsi"/>
        </w:rPr>
      </w:pPr>
      <w:r w:rsidRPr="002D7A10">
        <w:rPr>
          <w:rFonts w:asciiTheme="minorHAnsi" w:hAnsiTheme="minorHAnsi"/>
        </w:rPr>
        <w:t>Rektorát</w:t>
      </w:r>
      <w:r w:rsidR="00B51749" w:rsidRPr="002D7A10">
        <w:rPr>
          <w:rFonts w:asciiTheme="minorHAnsi" w:hAnsiTheme="minorHAnsi"/>
        </w:rPr>
        <w:t xml:space="preserve"> (R STU)</w:t>
      </w:r>
    </w:p>
    <w:p w:rsidR="00B51749" w:rsidRPr="002D7A10" w:rsidRDefault="00226126" w:rsidP="00B51749">
      <w:pPr>
        <w:autoSpaceDE w:val="0"/>
        <w:autoSpaceDN w:val="0"/>
        <w:adjustRightInd w:val="0"/>
        <w:rPr>
          <w:rFonts w:asciiTheme="minorHAnsi" w:hAnsiTheme="minorHAnsi"/>
        </w:rPr>
      </w:pPr>
      <w:r w:rsidRPr="002D7A10">
        <w:rPr>
          <w:rFonts w:asciiTheme="minorHAnsi" w:hAnsiTheme="minorHAnsi"/>
        </w:rPr>
        <w:t>Centrum výpočtovej techniky</w:t>
      </w:r>
      <w:r w:rsidR="00B51749" w:rsidRPr="002D7A10">
        <w:rPr>
          <w:rFonts w:asciiTheme="minorHAnsi" w:hAnsiTheme="minorHAnsi"/>
        </w:rPr>
        <w:t xml:space="preserve"> (CVT STU)</w:t>
      </w:r>
    </w:p>
    <w:p w:rsidR="00B51749" w:rsidRPr="002D7A10" w:rsidRDefault="00226126" w:rsidP="00B51749">
      <w:pPr>
        <w:autoSpaceDE w:val="0"/>
        <w:autoSpaceDN w:val="0"/>
        <w:adjustRightInd w:val="0"/>
        <w:rPr>
          <w:rFonts w:asciiTheme="minorHAnsi" w:hAnsiTheme="minorHAnsi"/>
        </w:rPr>
      </w:pPr>
      <w:r w:rsidRPr="002D7A10">
        <w:rPr>
          <w:rFonts w:asciiTheme="minorHAnsi" w:hAnsiTheme="minorHAnsi"/>
        </w:rPr>
        <w:t>Archív</w:t>
      </w:r>
    </w:p>
    <w:p w:rsidR="00B51749" w:rsidRPr="002D7A10" w:rsidRDefault="00226126" w:rsidP="00B51749">
      <w:pPr>
        <w:autoSpaceDE w:val="0"/>
        <w:autoSpaceDN w:val="0"/>
        <w:adjustRightInd w:val="0"/>
        <w:rPr>
          <w:rFonts w:asciiTheme="minorHAnsi" w:hAnsiTheme="minorHAnsi"/>
        </w:rPr>
      </w:pPr>
      <w:r w:rsidRPr="002D7A10">
        <w:rPr>
          <w:rFonts w:asciiTheme="minorHAnsi" w:hAnsiTheme="minorHAnsi"/>
        </w:rPr>
        <w:t>Nakladateľstvo</w:t>
      </w:r>
    </w:p>
    <w:p w:rsidR="0012063E" w:rsidRPr="002D7A10" w:rsidRDefault="0012063E" w:rsidP="00B51749">
      <w:pPr>
        <w:autoSpaceDE w:val="0"/>
        <w:autoSpaceDN w:val="0"/>
        <w:adjustRightInd w:val="0"/>
        <w:rPr>
          <w:rFonts w:asciiTheme="minorHAnsi" w:hAnsiTheme="minorHAnsi"/>
        </w:rPr>
      </w:pPr>
      <w:r w:rsidRPr="002D7A10">
        <w:rPr>
          <w:rFonts w:asciiTheme="minorHAnsi" w:hAnsiTheme="minorHAnsi"/>
        </w:rPr>
        <w:t>Projektové stredisko</w:t>
      </w:r>
    </w:p>
    <w:p w:rsidR="00B51749" w:rsidRPr="002D7A10" w:rsidRDefault="00B51749" w:rsidP="00B51749">
      <w:pPr>
        <w:autoSpaceDE w:val="0"/>
        <w:autoSpaceDN w:val="0"/>
        <w:adjustRightInd w:val="0"/>
        <w:rPr>
          <w:rFonts w:asciiTheme="minorHAnsi" w:hAnsiTheme="minorHAnsi"/>
        </w:rPr>
      </w:pPr>
      <w:r w:rsidRPr="002D7A10">
        <w:rPr>
          <w:rFonts w:asciiTheme="minorHAnsi" w:hAnsiTheme="minorHAnsi"/>
        </w:rPr>
        <w:t>Inštit</w:t>
      </w:r>
      <w:r w:rsidR="00226126" w:rsidRPr="002D7A10">
        <w:rPr>
          <w:rFonts w:asciiTheme="minorHAnsi" w:hAnsiTheme="minorHAnsi"/>
        </w:rPr>
        <w:t>út celoživotného vzdelávania</w:t>
      </w:r>
      <w:r w:rsidRPr="002D7A10">
        <w:rPr>
          <w:rFonts w:asciiTheme="minorHAnsi" w:hAnsiTheme="minorHAnsi"/>
        </w:rPr>
        <w:t xml:space="preserve"> (ICV STU)</w:t>
      </w:r>
    </w:p>
    <w:p w:rsidR="002F12BA" w:rsidRPr="002D7A10" w:rsidRDefault="002F12BA" w:rsidP="00B51749">
      <w:pPr>
        <w:autoSpaceDE w:val="0"/>
        <w:autoSpaceDN w:val="0"/>
        <w:adjustRightInd w:val="0"/>
        <w:rPr>
          <w:rFonts w:asciiTheme="minorHAnsi" w:hAnsiTheme="minorHAnsi"/>
        </w:rPr>
      </w:pPr>
      <w:proofErr w:type="spellStart"/>
      <w:r w:rsidRPr="002D7A10">
        <w:rPr>
          <w:rFonts w:asciiTheme="minorHAnsi" w:hAnsiTheme="minorHAnsi"/>
        </w:rPr>
        <w:t>Know-how</w:t>
      </w:r>
      <w:proofErr w:type="spellEnd"/>
      <w:r w:rsidRPr="002D7A10">
        <w:rPr>
          <w:rFonts w:asciiTheme="minorHAnsi" w:hAnsiTheme="minorHAnsi"/>
        </w:rPr>
        <w:t xml:space="preserve"> centrum </w:t>
      </w:r>
    </w:p>
    <w:p w:rsidR="00226126" w:rsidRPr="002D7A10" w:rsidRDefault="00226126" w:rsidP="00D31559">
      <w:pPr>
        <w:pStyle w:val="Odsekzoznamu"/>
        <w:numPr>
          <w:ilvl w:val="0"/>
          <w:numId w:val="23"/>
        </w:numPr>
        <w:autoSpaceDE w:val="0"/>
        <w:autoSpaceDN w:val="0"/>
        <w:adjustRightInd w:val="0"/>
        <w:rPr>
          <w:rFonts w:asciiTheme="minorHAnsi" w:hAnsiTheme="minorHAnsi"/>
          <w:sz w:val="24"/>
          <w:szCs w:val="24"/>
        </w:rPr>
      </w:pPr>
      <w:r w:rsidRPr="002D7A10">
        <w:rPr>
          <w:rFonts w:asciiTheme="minorHAnsi" w:hAnsiTheme="minorHAnsi"/>
          <w:sz w:val="24"/>
          <w:szCs w:val="24"/>
        </w:rPr>
        <w:t>Kancelária spolupráce s praxou</w:t>
      </w:r>
    </w:p>
    <w:p w:rsidR="0032657C" w:rsidRDefault="00226126" w:rsidP="0032657C">
      <w:pPr>
        <w:pStyle w:val="Odsekzoznamu"/>
        <w:numPr>
          <w:ilvl w:val="0"/>
          <w:numId w:val="23"/>
        </w:numPr>
        <w:autoSpaceDE w:val="0"/>
        <w:autoSpaceDN w:val="0"/>
        <w:adjustRightInd w:val="0"/>
        <w:spacing w:after="0"/>
        <w:rPr>
          <w:rFonts w:asciiTheme="minorHAnsi" w:hAnsiTheme="minorHAnsi"/>
          <w:sz w:val="24"/>
          <w:szCs w:val="24"/>
        </w:rPr>
      </w:pPr>
      <w:r w:rsidRPr="002D7A10">
        <w:rPr>
          <w:rFonts w:asciiTheme="minorHAnsi" w:hAnsiTheme="minorHAnsi"/>
          <w:sz w:val="24"/>
          <w:szCs w:val="24"/>
        </w:rPr>
        <w:t>Univerzitný technologický inkubátor</w:t>
      </w:r>
    </w:p>
    <w:p w:rsidR="00B51749" w:rsidRPr="0032657C" w:rsidRDefault="00226126" w:rsidP="0032657C">
      <w:pPr>
        <w:autoSpaceDE w:val="0"/>
        <w:autoSpaceDN w:val="0"/>
        <w:adjustRightInd w:val="0"/>
        <w:rPr>
          <w:rFonts w:asciiTheme="minorHAnsi" w:hAnsiTheme="minorHAnsi"/>
        </w:rPr>
      </w:pPr>
      <w:r w:rsidRPr="0032657C">
        <w:rPr>
          <w:rFonts w:asciiTheme="minorHAnsi" w:hAnsiTheme="minorHAnsi"/>
        </w:rPr>
        <w:t>Ústav manažmentu</w:t>
      </w:r>
      <w:r w:rsidR="00B51749" w:rsidRPr="0032657C">
        <w:rPr>
          <w:rFonts w:asciiTheme="minorHAnsi" w:hAnsiTheme="minorHAnsi"/>
        </w:rPr>
        <w:t xml:space="preserve"> (ÚM STU)</w:t>
      </w:r>
    </w:p>
    <w:p w:rsidR="00140904" w:rsidRPr="002D7A10" w:rsidRDefault="00140904" w:rsidP="0032657C">
      <w:pPr>
        <w:autoSpaceDE w:val="0"/>
        <w:autoSpaceDN w:val="0"/>
        <w:adjustRightInd w:val="0"/>
        <w:rPr>
          <w:rFonts w:asciiTheme="minorHAnsi" w:eastAsia="Times New Roman" w:hAnsiTheme="minorHAnsi"/>
          <w:color w:val="262626"/>
        </w:rPr>
      </w:pPr>
      <w:r w:rsidRPr="002D7A10">
        <w:rPr>
          <w:rFonts w:asciiTheme="minorHAnsi" w:eastAsia="Times New Roman" w:hAnsiTheme="minorHAnsi"/>
          <w:color w:val="262626"/>
        </w:rPr>
        <w:t>Univerzitn</w:t>
      </w:r>
      <w:r w:rsidR="00226126" w:rsidRPr="002D7A10">
        <w:rPr>
          <w:rFonts w:asciiTheme="minorHAnsi" w:eastAsia="Times New Roman" w:hAnsiTheme="minorHAnsi"/>
          <w:color w:val="262626"/>
        </w:rPr>
        <w:t>é</w:t>
      </w:r>
      <w:r w:rsidRPr="002D7A10">
        <w:rPr>
          <w:rFonts w:asciiTheme="minorHAnsi" w:eastAsia="Times New Roman" w:hAnsiTheme="minorHAnsi"/>
          <w:color w:val="262626"/>
        </w:rPr>
        <w:t xml:space="preserve"> vedeck</w:t>
      </w:r>
      <w:r w:rsidR="00226126" w:rsidRPr="002D7A10">
        <w:rPr>
          <w:rFonts w:asciiTheme="minorHAnsi" w:eastAsia="Times New Roman" w:hAnsiTheme="minorHAnsi"/>
          <w:color w:val="262626"/>
        </w:rPr>
        <w:t>é</w:t>
      </w:r>
      <w:r w:rsidRPr="002D7A10">
        <w:rPr>
          <w:rFonts w:asciiTheme="minorHAnsi" w:eastAsia="Times New Roman" w:hAnsiTheme="minorHAnsi"/>
          <w:color w:val="262626"/>
        </w:rPr>
        <w:t xml:space="preserve"> park</w:t>
      </w:r>
      <w:r w:rsidR="00226126" w:rsidRPr="002D7A10">
        <w:rPr>
          <w:rFonts w:asciiTheme="minorHAnsi" w:eastAsia="Times New Roman" w:hAnsiTheme="minorHAnsi"/>
          <w:color w:val="262626"/>
        </w:rPr>
        <w:t>y</w:t>
      </w:r>
    </w:p>
    <w:p w:rsidR="00226126" w:rsidRPr="002D7A10" w:rsidRDefault="00226126" w:rsidP="00D31559">
      <w:pPr>
        <w:pStyle w:val="Odsekzoznamu"/>
        <w:numPr>
          <w:ilvl w:val="0"/>
          <w:numId w:val="23"/>
        </w:numPr>
        <w:autoSpaceDE w:val="0"/>
        <w:autoSpaceDN w:val="0"/>
        <w:adjustRightInd w:val="0"/>
        <w:rPr>
          <w:rFonts w:asciiTheme="minorHAnsi" w:hAnsiTheme="minorHAnsi"/>
          <w:sz w:val="24"/>
          <w:szCs w:val="24"/>
        </w:rPr>
      </w:pPr>
      <w:r w:rsidRPr="002D7A10">
        <w:rPr>
          <w:rFonts w:asciiTheme="minorHAnsi" w:hAnsiTheme="minorHAnsi"/>
          <w:sz w:val="24"/>
          <w:szCs w:val="24"/>
        </w:rPr>
        <w:t xml:space="preserve">Centrá </w:t>
      </w:r>
      <w:proofErr w:type="spellStart"/>
      <w:r w:rsidRPr="002D7A10">
        <w:rPr>
          <w:rFonts w:asciiTheme="minorHAnsi" w:hAnsiTheme="minorHAnsi"/>
          <w:sz w:val="24"/>
          <w:szCs w:val="24"/>
        </w:rPr>
        <w:t>excelentnosti</w:t>
      </w:r>
      <w:proofErr w:type="spellEnd"/>
    </w:p>
    <w:p w:rsidR="00B51749" w:rsidRPr="002D7A10" w:rsidRDefault="00B51749" w:rsidP="00B51749">
      <w:pPr>
        <w:autoSpaceDE w:val="0"/>
        <w:autoSpaceDN w:val="0"/>
        <w:adjustRightInd w:val="0"/>
        <w:rPr>
          <w:rFonts w:asciiTheme="minorHAnsi" w:hAnsiTheme="minorHAnsi"/>
          <w:b/>
        </w:rPr>
      </w:pPr>
      <w:r w:rsidRPr="002D7A10">
        <w:rPr>
          <w:rFonts w:asciiTheme="minorHAnsi" w:hAnsiTheme="minorHAnsi"/>
          <w:b/>
        </w:rPr>
        <w:t>Účelové zariadenia STU:</w:t>
      </w:r>
    </w:p>
    <w:p w:rsidR="00B51749" w:rsidRPr="002D7A10" w:rsidRDefault="00B51749" w:rsidP="00B51749">
      <w:pPr>
        <w:autoSpaceDE w:val="0"/>
        <w:autoSpaceDN w:val="0"/>
        <w:adjustRightInd w:val="0"/>
        <w:rPr>
          <w:rFonts w:asciiTheme="minorHAnsi" w:hAnsiTheme="minorHAnsi"/>
          <w:i/>
        </w:rPr>
      </w:pPr>
      <w:r w:rsidRPr="002D7A10">
        <w:rPr>
          <w:rFonts w:asciiTheme="minorHAnsi" w:hAnsiTheme="minorHAnsi"/>
        </w:rPr>
        <w:t>Účelové zariadenie Študentské domovy a jedálne STU</w:t>
      </w:r>
    </w:p>
    <w:p w:rsidR="00B51749" w:rsidRPr="002D7A10" w:rsidRDefault="00B51749" w:rsidP="00B51749">
      <w:pPr>
        <w:autoSpaceDE w:val="0"/>
        <w:autoSpaceDN w:val="0"/>
        <w:adjustRightInd w:val="0"/>
        <w:rPr>
          <w:rFonts w:asciiTheme="minorHAnsi" w:hAnsiTheme="minorHAnsi"/>
        </w:rPr>
      </w:pPr>
      <w:r w:rsidRPr="002D7A10">
        <w:rPr>
          <w:rFonts w:asciiTheme="minorHAnsi" w:hAnsiTheme="minorHAnsi"/>
        </w:rPr>
        <w:t xml:space="preserve">Účelové zariadenie STU v Gabčíkove </w:t>
      </w:r>
    </w:p>
    <w:p w:rsidR="00B51749" w:rsidRPr="002D7A10" w:rsidRDefault="00B51749" w:rsidP="00B51749">
      <w:pPr>
        <w:autoSpaceDE w:val="0"/>
        <w:autoSpaceDN w:val="0"/>
        <w:adjustRightInd w:val="0"/>
        <w:rPr>
          <w:rFonts w:asciiTheme="minorHAnsi" w:hAnsiTheme="minorHAnsi"/>
        </w:rPr>
      </w:pPr>
      <w:r w:rsidRPr="002D7A10">
        <w:rPr>
          <w:rFonts w:asciiTheme="minorHAnsi" w:hAnsiTheme="minorHAnsi"/>
        </w:rPr>
        <w:t>Vysokoškolský umelecký súbor Technik STU</w:t>
      </w:r>
    </w:p>
    <w:p w:rsidR="00B51749" w:rsidRPr="002D7A10" w:rsidRDefault="00B51749" w:rsidP="00B51749">
      <w:pPr>
        <w:autoSpaceDE w:val="0"/>
        <w:autoSpaceDN w:val="0"/>
        <w:adjustRightInd w:val="0"/>
        <w:rPr>
          <w:rFonts w:asciiTheme="minorHAnsi" w:hAnsiTheme="minorHAnsi"/>
        </w:rPr>
      </w:pPr>
      <w:r w:rsidRPr="002D7A10">
        <w:rPr>
          <w:rFonts w:asciiTheme="minorHAnsi" w:hAnsiTheme="minorHAnsi"/>
        </w:rPr>
        <w:t>Centrum akademického športu STU</w:t>
      </w:r>
    </w:p>
    <w:p w:rsidR="00B51749" w:rsidRPr="002D7A10" w:rsidRDefault="00B51749" w:rsidP="00B51749">
      <w:pPr>
        <w:autoSpaceDE w:val="0"/>
        <w:autoSpaceDN w:val="0"/>
        <w:adjustRightInd w:val="0"/>
        <w:rPr>
          <w:rFonts w:asciiTheme="minorHAnsi" w:hAnsiTheme="minorHAnsi"/>
          <w:b/>
          <w:i/>
          <w:iCs/>
          <w:color w:val="FF0000"/>
        </w:rPr>
      </w:pPr>
    </w:p>
    <w:p w:rsidR="00B51749" w:rsidRPr="002D7A10" w:rsidRDefault="00B51749" w:rsidP="00B51749">
      <w:pPr>
        <w:autoSpaceDE w:val="0"/>
        <w:autoSpaceDN w:val="0"/>
        <w:adjustRightInd w:val="0"/>
        <w:rPr>
          <w:rFonts w:asciiTheme="minorHAnsi" w:hAnsiTheme="minorHAnsi"/>
          <w:b/>
          <w:i/>
          <w:iCs/>
          <w:color w:val="FF0000"/>
        </w:rPr>
      </w:pPr>
    </w:p>
    <w:p w:rsidR="00B51749" w:rsidRPr="002D7A10" w:rsidRDefault="00B51749" w:rsidP="00B51749">
      <w:pPr>
        <w:autoSpaceDE w:val="0"/>
        <w:autoSpaceDN w:val="0"/>
        <w:adjustRightInd w:val="0"/>
        <w:rPr>
          <w:rFonts w:asciiTheme="minorHAnsi" w:hAnsiTheme="minorHAnsi"/>
          <w:b/>
          <w:i/>
          <w:iCs/>
        </w:rPr>
      </w:pPr>
      <w:r w:rsidRPr="002D7A10">
        <w:rPr>
          <w:rFonts w:asciiTheme="minorHAnsi" w:hAnsiTheme="minorHAnsi"/>
          <w:b/>
        </w:rPr>
        <w:t>Správna rada STU</w:t>
      </w:r>
    </w:p>
    <w:p w:rsidR="00921640" w:rsidRPr="002D7A10" w:rsidRDefault="00B51749" w:rsidP="00B51749">
      <w:pPr>
        <w:pStyle w:val="Bezriadkovania"/>
        <w:rPr>
          <w:rFonts w:asciiTheme="minorHAnsi" w:hAnsiTheme="minorHAnsi"/>
          <w:sz w:val="24"/>
          <w:szCs w:val="24"/>
          <w:u w:val="single"/>
        </w:rPr>
      </w:pPr>
      <w:r w:rsidRPr="002D7A10">
        <w:rPr>
          <w:rFonts w:asciiTheme="minorHAnsi" w:hAnsiTheme="minorHAnsi"/>
          <w:sz w:val="24"/>
          <w:szCs w:val="24"/>
          <w:u w:val="single"/>
        </w:rPr>
        <w:t xml:space="preserve">Členovia Správnej rady navrhnutí ministrom školstva: </w:t>
      </w:r>
    </w:p>
    <w:p w:rsidR="00B51749" w:rsidRPr="002D7A10" w:rsidRDefault="00B51749" w:rsidP="00B51749">
      <w:pPr>
        <w:rPr>
          <w:rFonts w:asciiTheme="minorHAnsi" w:hAnsiTheme="minorHAnsi"/>
        </w:rPr>
      </w:pPr>
      <w:r w:rsidRPr="002D7A10">
        <w:rPr>
          <w:rFonts w:asciiTheme="minorHAnsi" w:hAnsiTheme="minorHAnsi"/>
        </w:rPr>
        <w:t xml:space="preserve">Ing. Miroslav HAVLÍK, riaditeľ </w:t>
      </w:r>
      <w:proofErr w:type="spellStart"/>
      <w:r w:rsidRPr="002D7A10">
        <w:rPr>
          <w:rFonts w:asciiTheme="minorHAnsi" w:hAnsiTheme="minorHAnsi"/>
        </w:rPr>
        <w:t>Evonik</w:t>
      </w:r>
      <w:proofErr w:type="spellEnd"/>
      <w:r w:rsidRPr="002D7A10">
        <w:rPr>
          <w:rFonts w:asciiTheme="minorHAnsi" w:hAnsiTheme="minorHAnsi"/>
        </w:rPr>
        <w:t xml:space="preserve"> </w:t>
      </w:r>
      <w:proofErr w:type="spellStart"/>
      <w:r w:rsidRPr="002D7A10">
        <w:rPr>
          <w:rFonts w:asciiTheme="minorHAnsi" w:hAnsiTheme="minorHAnsi"/>
        </w:rPr>
        <w:t>Fermas</w:t>
      </w:r>
      <w:proofErr w:type="spellEnd"/>
      <w:r w:rsidRPr="002D7A10">
        <w:rPr>
          <w:rFonts w:asciiTheme="minorHAnsi" w:hAnsiTheme="minorHAnsi"/>
        </w:rPr>
        <w:t xml:space="preserve"> s.r.o., Slovenská Ľupča </w:t>
      </w:r>
    </w:p>
    <w:p w:rsidR="00B51749" w:rsidRPr="002D7A10" w:rsidRDefault="00B51749" w:rsidP="00B51749">
      <w:pPr>
        <w:rPr>
          <w:rFonts w:asciiTheme="minorHAnsi" w:hAnsiTheme="minorHAnsi"/>
        </w:rPr>
      </w:pPr>
      <w:r w:rsidRPr="002D7A10">
        <w:rPr>
          <w:rFonts w:asciiTheme="minorHAnsi" w:hAnsiTheme="minorHAnsi"/>
        </w:rPr>
        <w:t>(17. 4. 2013 – 17. 4. 2019)</w:t>
      </w:r>
    </w:p>
    <w:p w:rsidR="00B51749" w:rsidRPr="002D7A10" w:rsidRDefault="00B51749" w:rsidP="00B51749">
      <w:pPr>
        <w:rPr>
          <w:rFonts w:asciiTheme="minorHAnsi" w:hAnsiTheme="minorHAnsi"/>
        </w:rPr>
      </w:pPr>
      <w:r w:rsidRPr="002D7A10">
        <w:rPr>
          <w:rFonts w:asciiTheme="minorHAnsi" w:hAnsiTheme="minorHAnsi"/>
        </w:rPr>
        <w:t xml:space="preserve">JUDr. Anton ONDREJ, MBA, </w:t>
      </w:r>
      <w:r w:rsidR="00921640" w:rsidRPr="002D7A10">
        <w:rPr>
          <w:rFonts w:asciiTheme="minorHAnsi" w:hAnsiTheme="minorHAnsi"/>
          <w:noProof/>
        </w:rPr>
        <w:t>p</w:t>
      </w:r>
      <w:r w:rsidR="00921640" w:rsidRPr="002D7A10">
        <w:rPr>
          <w:rFonts w:asciiTheme="minorHAnsi" w:eastAsia="Times New Roman" w:hAnsiTheme="minorHAnsi"/>
        </w:rPr>
        <w:t>odpredseda výboru SOPK pre vzdelávanie</w:t>
      </w:r>
    </w:p>
    <w:p w:rsidR="00B51749" w:rsidRPr="002D7A10" w:rsidRDefault="00B51749" w:rsidP="00B51749">
      <w:pPr>
        <w:rPr>
          <w:rFonts w:asciiTheme="minorHAnsi" w:hAnsiTheme="minorHAnsi"/>
        </w:rPr>
      </w:pPr>
      <w:r w:rsidRPr="002D7A10">
        <w:rPr>
          <w:rFonts w:asciiTheme="minorHAnsi" w:hAnsiTheme="minorHAnsi"/>
        </w:rPr>
        <w:t>(17. 4. 2013 – 17. 4. 2019)</w:t>
      </w:r>
    </w:p>
    <w:p w:rsidR="00112C83" w:rsidRPr="002D7A10" w:rsidRDefault="00B51749" w:rsidP="00B51749">
      <w:pPr>
        <w:pStyle w:val="Bezriadkovania"/>
        <w:rPr>
          <w:rFonts w:asciiTheme="minorHAnsi" w:hAnsiTheme="minorHAnsi"/>
          <w:sz w:val="24"/>
          <w:szCs w:val="24"/>
        </w:rPr>
      </w:pPr>
      <w:r w:rsidRPr="002D7A10">
        <w:rPr>
          <w:rFonts w:asciiTheme="minorHAnsi" w:hAnsiTheme="minorHAnsi"/>
          <w:sz w:val="24"/>
          <w:szCs w:val="24"/>
        </w:rPr>
        <w:t xml:space="preserve">doc. Ing. Ľubomír HARACH, CSc., predseda predstavenstva PLM, a. s., Bratislava, </w:t>
      </w:r>
      <w:r w:rsidR="00921640" w:rsidRPr="002D7A10">
        <w:rPr>
          <w:rFonts w:asciiTheme="minorHAnsi" w:hAnsiTheme="minorHAnsi"/>
          <w:sz w:val="24"/>
          <w:szCs w:val="24"/>
        </w:rPr>
        <w:t xml:space="preserve"> </w:t>
      </w:r>
    </w:p>
    <w:p w:rsidR="00B51749" w:rsidRPr="002D7A10" w:rsidRDefault="00B51749" w:rsidP="00B51749">
      <w:pPr>
        <w:pStyle w:val="Bezriadkovania"/>
        <w:rPr>
          <w:rFonts w:asciiTheme="minorHAnsi" w:hAnsiTheme="minorHAnsi"/>
          <w:sz w:val="24"/>
          <w:szCs w:val="24"/>
        </w:rPr>
      </w:pPr>
      <w:r w:rsidRPr="002D7A10">
        <w:rPr>
          <w:rFonts w:asciiTheme="minorHAnsi" w:hAnsiTheme="minorHAnsi"/>
          <w:sz w:val="24"/>
          <w:szCs w:val="24"/>
        </w:rPr>
        <w:t>(5. 5. 2011 – 5. 5. 2017)</w:t>
      </w:r>
    </w:p>
    <w:p w:rsidR="00B51749" w:rsidRPr="002D7A10" w:rsidRDefault="00B51749" w:rsidP="00B51749">
      <w:pPr>
        <w:pStyle w:val="Bezriadkovania"/>
        <w:rPr>
          <w:rFonts w:asciiTheme="minorHAnsi" w:hAnsiTheme="minorHAnsi"/>
          <w:sz w:val="24"/>
          <w:szCs w:val="24"/>
        </w:rPr>
      </w:pPr>
      <w:r w:rsidRPr="002D7A10">
        <w:rPr>
          <w:rFonts w:asciiTheme="minorHAnsi" w:hAnsiTheme="minorHAnsi"/>
          <w:sz w:val="24"/>
          <w:szCs w:val="24"/>
        </w:rPr>
        <w:t xml:space="preserve">Ing. Ján KIRÁLY, generálny riaditeľ </w:t>
      </w:r>
      <w:proofErr w:type="spellStart"/>
      <w:r w:rsidRPr="002D7A10">
        <w:rPr>
          <w:rFonts w:asciiTheme="minorHAnsi" w:hAnsiTheme="minorHAnsi"/>
          <w:sz w:val="24"/>
          <w:szCs w:val="24"/>
        </w:rPr>
        <w:t>Frucona</w:t>
      </w:r>
      <w:proofErr w:type="spellEnd"/>
      <w:r w:rsidRPr="002D7A10">
        <w:rPr>
          <w:rFonts w:asciiTheme="minorHAnsi" w:hAnsiTheme="minorHAnsi"/>
          <w:sz w:val="24"/>
          <w:szCs w:val="24"/>
        </w:rPr>
        <w:t xml:space="preserve">, a. s., hospodárska oblasť </w:t>
      </w:r>
    </w:p>
    <w:p w:rsidR="00B51749" w:rsidRPr="002D7A10" w:rsidRDefault="00B51749" w:rsidP="00B51749">
      <w:pPr>
        <w:pStyle w:val="Bezriadkovania"/>
        <w:rPr>
          <w:rFonts w:asciiTheme="minorHAnsi" w:hAnsiTheme="minorHAnsi"/>
          <w:sz w:val="24"/>
          <w:szCs w:val="24"/>
        </w:rPr>
      </w:pPr>
      <w:r w:rsidRPr="002D7A10">
        <w:rPr>
          <w:rFonts w:asciiTheme="minorHAnsi" w:hAnsiTheme="minorHAnsi"/>
          <w:sz w:val="24"/>
          <w:szCs w:val="24"/>
        </w:rPr>
        <w:t>(5. 5. 2009 – 5. 5. 2015</w:t>
      </w:r>
      <w:r w:rsidR="00921640" w:rsidRPr="002D7A10">
        <w:rPr>
          <w:rFonts w:asciiTheme="minorHAnsi" w:hAnsiTheme="minorHAnsi"/>
          <w:sz w:val="24"/>
          <w:szCs w:val="24"/>
        </w:rPr>
        <w:t>, opätovne vymenovaný na obdobie 22.5.2015 – 22.5.2021</w:t>
      </w:r>
      <w:r w:rsidRPr="002D7A10">
        <w:rPr>
          <w:rFonts w:asciiTheme="minorHAnsi" w:hAnsiTheme="minorHAnsi"/>
          <w:sz w:val="24"/>
          <w:szCs w:val="24"/>
        </w:rPr>
        <w:t>)</w:t>
      </w:r>
    </w:p>
    <w:p w:rsidR="00921640" w:rsidRPr="002D7A10" w:rsidRDefault="00B51749" w:rsidP="00B51749">
      <w:pPr>
        <w:pStyle w:val="Bezriadkovania"/>
        <w:rPr>
          <w:rFonts w:asciiTheme="minorHAnsi" w:hAnsiTheme="minorHAnsi"/>
          <w:sz w:val="24"/>
          <w:szCs w:val="24"/>
        </w:rPr>
      </w:pPr>
      <w:r w:rsidRPr="002D7A10">
        <w:rPr>
          <w:rFonts w:asciiTheme="minorHAnsi" w:hAnsiTheme="minorHAnsi"/>
          <w:sz w:val="24"/>
          <w:szCs w:val="24"/>
        </w:rPr>
        <w:t xml:space="preserve">Ing. Matej KOREC, generálny riaditeľ VÚJE, a. s., </w:t>
      </w:r>
    </w:p>
    <w:p w:rsidR="00B51749" w:rsidRPr="002D7A10" w:rsidRDefault="00B51749" w:rsidP="00B51749">
      <w:pPr>
        <w:pStyle w:val="Bezriadkovania"/>
        <w:rPr>
          <w:rFonts w:asciiTheme="minorHAnsi" w:hAnsiTheme="minorHAnsi"/>
          <w:sz w:val="24"/>
          <w:szCs w:val="24"/>
        </w:rPr>
      </w:pPr>
      <w:r w:rsidRPr="002D7A10">
        <w:rPr>
          <w:rFonts w:asciiTheme="minorHAnsi" w:hAnsiTheme="minorHAnsi"/>
          <w:sz w:val="24"/>
          <w:szCs w:val="24"/>
        </w:rPr>
        <w:t>(</w:t>
      </w:r>
      <w:r w:rsidR="00921640" w:rsidRPr="002D7A10">
        <w:rPr>
          <w:rFonts w:asciiTheme="minorHAnsi" w:hAnsiTheme="minorHAnsi"/>
          <w:sz w:val="24"/>
          <w:szCs w:val="24"/>
        </w:rPr>
        <w:t>člen do</w:t>
      </w:r>
      <w:r w:rsidRPr="002D7A10">
        <w:rPr>
          <w:rFonts w:asciiTheme="minorHAnsi" w:hAnsiTheme="minorHAnsi"/>
          <w:sz w:val="24"/>
          <w:szCs w:val="24"/>
        </w:rPr>
        <w:t xml:space="preserve"> 5. 5. 2015</w:t>
      </w:r>
      <w:r w:rsidR="00921640" w:rsidRPr="002D7A10">
        <w:rPr>
          <w:rFonts w:asciiTheme="minorHAnsi" w:hAnsiTheme="minorHAnsi"/>
          <w:sz w:val="24"/>
          <w:szCs w:val="24"/>
        </w:rPr>
        <w:t>)</w:t>
      </w:r>
    </w:p>
    <w:p w:rsidR="00B51749" w:rsidRPr="002D7A10" w:rsidRDefault="00B51749" w:rsidP="00B51749">
      <w:pPr>
        <w:pStyle w:val="Bezriadkovania"/>
        <w:rPr>
          <w:rFonts w:asciiTheme="minorHAnsi" w:hAnsiTheme="minorHAnsi"/>
          <w:sz w:val="24"/>
          <w:szCs w:val="24"/>
        </w:rPr>
      </w:pPr>
      <w:r w:rsidRPr="002D7A10">
        <w:rPr>
          <w:rFonts w:asciiTheme="minorHAnsi" w:hAnsiTheme="minorHAnsi"/>
          <w:sz w:val="24"/>
          <w:szCs w:val="24"/>
        </w:rPr>
        <w:t xml:space="preserve">doc. Ing. Peter MIHÓK, CSc., predseda Slovenskej obchodnej a priemyselnej komory </w:t>
      </w:r>
    </w:p>
    <w:p w:rsidR="00B51749" w:rsidRPr="002D7A10" w:rsidRDefault="00B51749" w:rsidP="00B51749">
      <w:pPr>
        <w:pStyle w:val="Bezriadkovania"/>
        <w:rPr>
          <w:rFonts w:asciiTheme="minorHAnsi" w:hAnsiTheme="minorHAnsi"/>
          <w:sz w:val="24"/>
          <w:szCs w:val="24"/>
        </w:rPr>
      </w:pPr>
      <w:r w:rsidRPr="002D7A10">
        <w:rPr>
          <w:rFonts w:asciiTheme="minorHAnsi" w:hAnsiTheme="minorHAnsi"/>
          <w:sz w:val="24"/>
          <w:szCs w:val="24"/>
        </w:rPr>
        <w:t>(</w:t>
      </w:r>
      <w:r w:rsidR="00921640" w:rsidRPr="002D7A10">
        <w:rPr>
          <w:rFonts w:asciiTheme="minorHAnsi" w:hAnsiTheme="minorHAnsi"/>
          <w:sz w:val="24"/>
          <w:szCs w:val="24"/>
        </w:rPr>
        <w:t>člen do</w:t>
      </w:r>
      <w:r w:rsidRPr="002D7A10">
        <w:rPr>
          <w:rFonts w:asciiTheme="minorHAnsi" w:hAnsiTheme="minorHAnsi"/>
          <w:sz w:val="24"/>
          <w:szCs w:val="24"/>
        </w:rPr>
        <w:t xml:space="preserve"> 5. 5. 2015)</w:t>
      </w:r>
    </w:p>
    <w:p w:rsidR="00C873C5" w:rsidRPr="002D7A10" w:rsidRDefault="00C873C5" w:rsidP="00C873C5">
      <w:pPr>
        <w:pStyle w:val="Bezriadkovania"/>
        <w:rPr>
          <w:rFonts w:asciiTheme="minorHAnsi" w:hAnsiTheme="minorHAnsi"/>
          <w:noProof/>
          <w:sz w:val="24"/>
          <w:szCs w:val="24"/>
        </w:rPr>
      </w:pPr>
      <w:r w:rsidRPr="002D7A10">
        <w:rPr>
          <w:rFonts w:asciiTheme="minorHAnsi" w:hAnsiTheme="minorHAnsi"/>
          <w:noProof/>
          <w:sz w:val="24"/>
          <w:szCs w:val="24"/>
        </w:rPr>
        <w:t>Ing. Richard MARKO, g</w:t>
      </w:r>
      <w:proofErr w:type="spellStart"/>
      <w:r w:rsidRPr="002D7A10">
        <w:rPr>
          <w:rFonts w:asciiTheme="minorHAnsi" w:hAnsiTheme="minorHAnsi"/>
          <w:sz w:val="24"/>
          <w:szCs w:val="24"/>
        </w:rPr>
        <w:t>enerálny</w:t>
      </w:r>
      <w:proofErr w:type="spellEnd"/>
      <w:r w:rsidRPr="002D7A10">
        <w:rPr>
          <w:rFonts w:asciiTheme="minorHAnsi" w:hAnsiTheme="minorHAnsi"/>
          <w:sz w:val="24"/>
          <w:szCs w:val="24"/>
        </w:rPr>
        <w:t xml:space="preserve"> riaditeľ </w:t>
      </w:r>
      <w:r w:rsidRPr="002D7A10">
        <w:rPr>
          <w:rFonts w:asciiTheme="minorHAnsi" w:hAnsiTheme="minorHAnsi" w:cs="Segoe UI"/>
          <w:sz w:val="24"/>
          <w:szCs w:val="24"/>
          <w:shd w:val="clear" w:color="auto" w:fill="FFFFFF"/>
        </w:rPr>
        <w:t>ESET, spol. s r.o.</w:t>
      </w:r>
      <w:r w:rsidRPr="002D7A10">
        <w:rPr>
          <w:rFonts w:asciiTheme="minorHAnsi" w:hAnsiTheme="minorHAnsi"/>
          <w:noProof/>
          <w:sz w:val="24"/>
          <w:szCs w:val="24"/>
        </w:rPr>
        <w:t>,</w:t>
      </w:r>
    </w:p>
    <w:p w:rsidR="00B51749" w:rsidRDefault="00C873C5" w:rsidP="00B51749">
      <w:pPr>
        <w:pStyle w:val="Bezriadkovania"/>
        <w:rPr>
          <w:rFonts w:asciiTheme="minorHAnsi" w:hAnsiTheme="minorHAnsi"/>
          <w:noProof/>
          <w:sz w:val="24"/>
          <w:szCs w:val="24"/>
        </w:rPr>
      </w:pPr>
      <w:r w:rsidRPr="002D7A10">
        <w:rPr>
          <w:rFonts w:asciiTheme="minorHAnsi" w:hAnsiTheme="minorHAnsi"/>
          <w:noProof/>
          <w:sz w:val="24"/>
          <w:szCs w:val="24"/>
        </w:rPr>
        <w:t>(22. 5. 2015 – 22. 5. 2021)</w:t>
      </w:r>
    </w:p>
    <w:p w:rsidR="00BE11C4" w:rsidRPr="002D7A10" w:rsidRDefault="00BE11C4" w:rsidP="00B51749">
      <w:pPr>
        <w:pStyle w:val="Bezriadkovania"/>
        <w:rPr>
          <w:rFonts w:asciiTheme="minorHAnsi" w:hAnsiTheme="minorHAnsi"/>
          <w:noProof/>
          <w:sz w:val="24"/>
          <w:szCs w:val="24"/>
        </w:rPr>
      </w:pPr>
    </w:p>
    <w:p w:rsidR="00B51749" w:rsidRPr="002D7A10" w:rsidRDefault="00B51749" w:rsidP="00B51749">
      <w:pPr>
        <w:pStyle w:val="Bezriadkovania"/>
        <w:rPr>
          <w:rFonts w:asciiTheme="minorHAnsi" w:hAnsiTheme="minorHAnsi"/>
          <w:sz w:val="24"/>
          <w:szCs w:val="24"/>
          <w:u w:val="single"/>
        </w:rPr>
      </w:pPr>
      <w:r w:rsidRPr="002D7A10">
        <w:rPr>
          <w:rFonts w:asciiTheme="minorHAnsi" w:hAnsiTheme="minorHAnsi"/>
          <w:sz w:val="24"/>
          <w:szCs w:val="24"/>
          <w:u w:val="single"/>
        </w:rPr>
        <w:t>Členovia Správnej rady navrhnutí rektorom vysokej školy:</w:t>
      </w:r>
    </w:p>
    <w:p w:rsidR="00B51749" w:rsidRPr="002D7A10" w:rsidRDefault="00B51749" w:rsidP="00B51749">
      <w:pPr>
        <w:pStyle w:val="Bezriadkovania"/>
        <w:rPr>
          <w:rFonts w:asciiTheme="minorHAnsi" w:hAnsiTheme="minorHAnsi"/>
          <w:b/>
          <w:sz w:val="24"/>
          <w:szCs w:val="24"/>
        </w:rPr>
      </w:pPr>
      <w:r w:rsidRPr="002D7A10">
        <w:rPr>
          <w:rFonts w:asciiTheme="minorHAnsi" w:hAnsiTheme="minorHAnsi"/>
          <w:b/>
          <w:sz w:val="24"/>
          <w:szCs w:val="24"/>
        </w:rPr>
        <w:t>PREDSEDA</w:t>
      </w:r>
    </w:p>
    <w:p w:rsidR="00112C83" w:rsidRPr="002D7A10" w:rsidRDefault="00B51749" w:rsidP="00B51749">
      <w:pPr>
        <w:pStyle w:val="Bezriadkovania"/>
        <w:rPr>
          <w:rFonts w:asciiTheme="minorHAnsi" w:hAnsiTheme="minorHAnsi"/>
          <w:sz w:val="24"/>
          <w:szCs w:val="24"/>
        </w:rPr>
      </w:pPr>
      <w:r w:rsidRPr="002D7A10">
        <w:rPr>
          <w:rFonts w:asciiTheme="minorHAnsi" w:hAnsiTheme="minorHAnsi"/>
          <w:sz w:val="24"/>
          <w:szCs w:val="24"/>
        </w:rPr>
        <w:t xml:space="preserve">doc. RNDr. Milan FTÁČNIK, CSc., primátor mesta Bratislavy </w:t>
      </w:r>
    </w:p>
    <w:p w:rsidR="00112C83" w:rsidRPr="002D7A10" w:rsidRDefault="00B51749" w:rsidP="00B51749">
      <w:pPr>
        <w:pStyle w:val="Bezriadkovania"/>
        <w:rPr>
          <w:rFonts w:asciiTheme="minorHAnsi" w:hAnsiTheme="minorHAnsi"/>
          <w:sz w:val="24"/>
          <w:szCs w:val="24"/>
        </w:rPr>
      </w:pPr>
      <w:r w:rsidRPr="002D7A10">
        <w:rPr>
          <w:rFonts w:asciiTheme="minorHAnsi" w:hAnsiTheme="minorHAnsi"/>
          <w:sz w:val="24"/>
          <w:szCs w:val="24"/>
        </w:rPr>
        <w:t>(</w:t>
      </w:r>
      <w:r w:rsidR="00112C83" w:rsidRPr="002D7A10">
        <w:rPr>
          <w:rFonts w:asciiTheme="minorHAnsi" w:hAnsiTheme="minorHAnsi"/>
          <w:sz w:val="24"/>
          <w:szCs w:val="24"/>
        </w:rPr>
        <w:t>do 28. 9. 2015</w:t>
      </w:r>
      <w:r w:rsidRPr="002D7A10">
        <w:rPr>
          <w:rFonts w:asciiTheme="minorHAnsi" w:hAnsiTheme="minorHAnsi"/>
          <w:sz w:val="24"/>
          <w:szCs w:val="24"/>
        </w:rPr>
        <w:t>)</w:t>
      </w:r>
    </w:p>
    <w:p w:rsidR="00112C83" w:rsidRPr="002D7A10" w:rsidRDefault="00112C83" w:rsidP="00112C83">
      <w:pPr>
        <w:pStyle w:val="Bezriadkovania"/>
        <w:rPr>
          <w:rFonts w:asciiTheme="minorHAnsi" w:hAnsiTheme="minorHAnsi"/>
          <w:b/>
          <w:sz w:val="24"/>
          <w:szCs w:val="24"/>
        </w:rPr>
      </w:pPr>
      <w:r w:rsidRPr="002D7A10">
        <w:rPr>
          <w:rFonts w:asciiTheme="minorHAnsi" w:hAnsiTheme="minorHAnsi"/>
          <w:b/>
          <w:sz w:val="24"/>
          <w:szCs w:val="24"/>
        </w:rPr>
        <w:t>PREDSEDA</w:t>
      </w:r>
    </w:p>
    <w:p w:rsidR="00112C83" w:rsidRPr="002D7A10" w:rsidRDefault="00112C83" w:rsidP="00112C83">
      <w:pPr>
        <w:rPr>
          <w:rFonts w:asciiTheme="minorHAnsi" w:hAnsiTheme="minorHAnsi"/>
          <w:noProof/>
        </w:rPr>
      </w:pPr>
      <w:r w:rsidRPr="002D7A10">
        <w:rPr>
          <w:rFonts w:asciiTheme="minorHAnsi" w:hAnsiTheme="minorHAnsi"/>
          <w:noProof/>
        </w:rPr>
        <w:t xml:space="preserve">Ing. Vladimír SLEZÁK, generálny riaditeľ, Siemens, s. r. o. </w:t>
      </w:r>
    </w:p>
    <w:p w:rsidR="00112C83" w:rsidRPr="002D7A10" w:rsidRDefault="00112C83" w:rsidP="00B51749">
      <w:pPr>
        <w:pStyle w:val="Bezriadkovania"/>
        <w:rPr>
          <w:rFonts w:asciiTheme="minorHAnsi" w:hAnsiTheme="minorHAnsi"/>
          <w:b/>
          <w:noProof/>
          <w:sz w:val="24"/>
          <w:szCs w:val="24"/>
        </w:rPr>
      </w:pPr>
      <w:r w:rsidRPr="002D7A10">
        <w:rPr>
          <w:rFonts w:asciiTheme="minorHAnsi" w:hAnsiTheme="minorHAnsi"/>
          <w:noProof/>
          <w:sz w:val="24"/>
          <w:szCs w:val="24"/>
        </w:rPr>
        <w:lastRenderedPageBreak/>
        <w:t>(od 29. 9. 2015)</w:t>
      </w:r>
    </w:p>
    <w:p w:rsidR="00B51749" w:rsidRPr="002D7A10" w:rsidRDefault="00B51749" w:rsidP="00B51749">
      <w:pPr>
        <w:pStyle w:val="Bezriadkovania"/>
        <w:rPr>
          <w:rFonts w:asciiTheme="minorHAnsi" w:hAnsiTheme="minorHAnsi"/>
          <w:b/>
          <w:sz w:val="24"/>
          <w:szCs w:val="24"/>
        </w:rPr>
      </w:pPr>
      <w:r w:rsidRPr="002D7A10">
        <w:rPr>
          <w:rFonts w:asciiTheme="minorHAnsi" w:hAnsiTheme="minorHAnsi"/>
          <w:b/>
          <w:sz w:val="24"/>
          <w:szCs w:val="24"/>
        </w:rPr>
        <w:t>PODPREDSEDA</w:t>
      </w:r>
    </w:p>
    <w:p w:rsidR="00B51749" w:rsidRPr="002D7A10" w:rsidRDefault="00B51749" w:rsidP="00B51749">
      <w:pPr>
        <w:rPr>
          <w:rFonts w:asciiTheme="minorHAnsi" w:hAnsiTheme="minorHAnsi"/>
        </w:rPr>
      </w:pPr>
      <w:r w:rsidRPr="002D7A10">
        <w:rPr>
          <w:rFonts w:asciiTheme="minorHAnsi" w:hAnsiTheme="minorHAnsi"/>
        </w:rPr>
        <w:t xml:space="preserve">Ing. Jozef UHRÍK, CSc., Dr. h. c., Združenie automobilového priemyslu SR, hospodárska oblasť </w:t>
      </w:r>
    </w:p>
    <w:p w:rsidR="00B51749" w:rsidRPr="002D7A10" w:rsidRDefault="00B51749" w:rsidP="00B51749">
      <w:pPr>
        <w:rPr>
          <w:rFonts w:asciiTheme="minorHAnsi" w:hAnsiTheme="minorHAnsi"/>
        </w:rPr>
      </w:pPr>
      <w:r w:rsidRPr="002D7A10">
        <w:rPr>
          <w:rFonts w:asciiTheme="minorHAnsi" w:hAnsiTheme="minorHAnsi"/>
        </w:rPr>
        <w:t>(</w:t>
      </w:r>
      <w:r w:rsidR="006426F5" w:rsidRPr="002D7A10">
        <w:rPr>
          <w:rFonts w:asciiTheme="minorHAnsi" w:hAnsiTheme="minorHAnsi"/>
        </w:rPr>
        <w:t>do</w:t>
      </w:r>
      <w:r w:rsidRPr="002D7A10">
        <w:rPr>
          <w:rFonts w:asciiTheme="minorHAnsi" w:hAnsiTheme="minorHAnsi"/>
        </w:rPr>
        <w:t xml:space="preserve"> 5. 5. 2015)</w:t>
      </w:r>
    </w:p>
    <w:p w:rsidR="006426F5" w:rsidRPr="002D7A10" w:rsidRDefault="006426F5" w:rsidP="006426F5">
      <w:pPr>
        <w:pStyle w:val="Bezriadkovania"/>
        <w:rPr>
          <w:rFonts w:asciiTheme="minorHAnsi" w:hAnsiTheme="minorHAnsi"/>
          <w:b/>
          <w:noProof/>
          <w:sz w:val="24"/>
          <w:szCs w:val="24"/>
        </w:rPr>
      </w:pPr>
      <w:r w:rsidRPr="002D7A10">
        <w:rPr>
          <w:rFonts w:asciiTheme="minorHAnsi" w:hAnsiTheme="minorHAnsi"/>
          <w:b/>
          <w:noProof/>
          <w:sz w:val="24"/>
          <w:szCs w:val="24"/>
        </w:rPr>
        <w:t xml:space="preserve">PODPREDSEDA </w:t>
      </w:r>
    </w:p>
    <w:p w:rsidR="006426F5" w:rsidRPr="002D7A10" w:rsidRDefault="006426F5" w:rsidP="006426F5">
      <w:pPr>
        <w:pStyle w:val="Bezriadkovania"/>
        <w:rPr>
          <w:rFonts w:asciiTheme="minorHAnsi" w:hAnsiTheme="minorHAnsi"/>
          <w:noProof/>
          <w:sz w:val="24"/>
          <w:szCs w:val="24"/>
        </w:rPr>
      </w:pPr>
      <w:r w:rsidRPr="002D7A10">
        <w:rPr>
          <w:rFonts w:asciiTheme="minorHAnsi" w:hAnsiTheme="minorHAnsi"/>
          <w:noProof/>
          <w:sz w:val="24"/>
          <w:szCs w:val="24"/>
        </w:rPr>
        <w:t xml:space="preserve">doc. RNDr. Milan FTÁČNIK, CSc., vysokoškolský pedagóg, docent </w:t>
      </w:r>
    </w:p>
    <w:p w:rsidR="006426F5" w:rsidRDefault="006426F5" w:rsidP="00B51749">
      <w:pPr>
        <w:rPr>
          <w:rFonts w:asciiTheme="minorHAnsi" w:hAnsiTheme="minorHAnsi"/>
          <w:color w:val="FF0000"/>
        </w:rPr>
      </w:pPr>
      <w:r w:rsidRPr="002D7A10">
        <w:rPr>
          <w:rFonts w:asciiTheme="minorHAnsi" w:hAnsiTheme="minorHAnsi"/>
          <w:noProof/>
        </w:rPr>
        <w:t>(od 29. 9. 2015)</w:t>
      </w:r>
    </w:p>
    <w:p w:rsidR="00BE11C4" w:rsidRPr="002D7A10" w:rsidRDefault="00BE11C4" w:rsidP="00B51749">
      <w:pPr>
        <w:rPr>
          <w:rFonts w:asciiTheme="minorHAnsi" w:hAnsiTheme="minorHAnsi"/>
          <w:color w:val="FF0000"/>
        </w:rPr>
      </w:pPr>
    </w:p>
    <w:p w:rsidR="00B51749" w:rsidRPr="002D7A10" w:rsidRDefault="00B51749" w:rsidP="00B51749">
      <w:pPr>
        <w:rPr>
          <w:rFonts w:asciiTheme="minorHAnsi" w:hAnsiTheme="minorHAnsi"/>
        </w:rPr>
      </w:pPr>
      <w:r w:rsidRPr="002D7A10">
        <w:rPr>
          <w:rFonts w:asciiTheme="minorHAnsi" w:hAnsiTheme="minorHAnsi"/>
        </w:rPr>
        <w:t xml:space="preserve">Ing. </w:t>
      </w:r>
      <w:proofErr w:type="spellStart"/>
      <w:r w:rsidRPr="002D7A10">
        <w:rPr>
          <w:rFonts w:asciiTheme="minorHAnsi" w:hAnsiTheme="minorHAnsi"/>
        </w:rPr>
        <w:t>Zsolt</w:t>
      </w:r>
      <w:proofErr w:type="spellEnd"/>
      <w:r w:rsidRPr="002D7A10">
        <w:rPr>
          <w:rFonts w:asciiTheme="minorHAnsi" w:hAnsiTheme="minorHAnsi"/>
        </w:rPr>
        <w:t xml:space="preserve"> LUKÁČ, prezident Zväzu stavebných podnikateľov Slovenska </w:t>
      </w:r>
    </w:p>
    <w:p w:rsidR="00B51749" w:rsidRPr="002D7A10" w:rsidRDefault="00B51749" w:rsidP="00B51749">
      <w:pPr>
        <w:rPr>
          <w:rFonts w:asciiTheme="minorHAnsi" w:hAnsiTheme="minorHAnsi"/>
        </w:rPr>
      </w:pPr>
      <w:r w:rsidRPr="002D7A10">
        <w:rPr>
          <w:rFonts w:asciiTheme="minorHAnsi" w:hAnsiTheme="minorHAnsi"/>
        </w:rPr>
        <w:t>(5. 5. 2011 – 5. 5. 2017)</w:t>
      </w:r>
    </w:p>
    <w:p w:rsidR="00B51749" w:rsidRPr="002D7A10" w:rsidRDefault="00B51749" w:rsidP="00B51749">
      <w:pPr>
        <w:rPr>
          <w:rFonts w:asciiTheme="minorHAnsi" w:hAnsiTheme="minorHAnsi"/>
        </w:rPr>
      </w:pPr>
      <w:r w:rsidRPr="002D7A10">
        <w:rPr>
          <w:rFonts w:asciiTheme="minorHAnsi" w:hAnsiTheme="minorHAnsi"/>
        </w:rPr>
        <w:t xml:space="preserve">Ing. Vladimír SLEZÁK, generálny riaditeľ, Siemens, s. r. o. </w:t>
      </w:r>
    </w:p>
    <w:p w:rsidR="00B51749" w:rsidRPr="002D7A10" w:rsidRDefault="00B51749" w:rsidP="00B51749">
      <w:pPr>
        <w:rPr>
          <w:rFonts w:asciiTheme="minorHAnsi" w:hAnsiTheme="minorHAnsi"/>
        </w:rPr>
      </w:pPr>
      <w:r w:rsidRPr="002D7A10">
        <w:rPr>
          <w:rFonts w:asciiTheme="minorHAnsi" w:hAnsiTheme="minorHAnsi"/>
        </w:rPr>
        <w:t>(5. 5. 2011 – 5. 5. 2017)</w:t>
      </w:r>
    </w:p>
    <w:p w:rsidR="00B51749" w:rsidRPr="002D7A10" w:rsidRDefault="00B51749" w:rsidP="00B51749">
      <w:pPr>
        <w:rPr>
          <w:rFonts w:asciiTheme="minorHAnsi" w:hAnsiTheme="minorHAnsi"/>
        </w:rPr>
      </w:pPr>
      <w:r w:rsidRPr="002D7A10">
        <w:rPr>
          <w:rFonts w:asciiTheme="minorHAnsi" w:hAnsiTheme="minorHAnsi"/>
        </w:rPr>
        <w:t>Ing. Igor VIDA, prezident, Slovenská banková asociácia – nový člen</w:t>
      </w:r>
    </w:p>
    <w:p w:rsidR="00B51749" w:rsidRPr="002D7A10" w:rsidRDefault="00B51749" w:rsidP="00B51749">
      <w:pPr>
        <w:rPr>
          <w:rFonts w:asciiTheme="minorHAnsi" w:hAnsiTheme="minorHAnsi"/>
        </w:rPr>
      </w:pPr>
      <w:r w:rsidRPr="002D7A10">
        <w:rPr>
          <w:rFonts w:asciiTheme="minorHAnsi" w:hAnsiTheme="minorHAnsi"/>
        </w:rPr>
        <w:t>(17. 4. 2013 – 17. 4. 2019)</w:t>
      </w:r>
    </w:p>
    <w:p w:rsidR="00B51749" w:rsidRPr="002D7A10" w:rsidRDefault="00B51749" w:rsidP="00B51749">
      <w:pPr>
        <w:pStyle w:val="Bezriadkovania"/>
        <w:rPr>
          <w:rFonts w:asciiTheme="minorHAnsi" w:hAnsiTheme="minorHAnsi"/>
          <w:sz w:val="24"/>
          <w:szCs w:val="24"/>
        </w:rPr>
      </w:pPr>
      <w:r w:rsidRPr="002D7A10">
        <w:rPr>
          <w:rFonts w:asciiTheme="minorHAnsi" w:hAnsiTheme="minorHAnsi"/>
          <w:sz w:val="24"/>
          <w:szCs w:val="24"/>
        </w:rPr>
        <w:t>Ing. arch. Juraj ŠUJAN, člen predstavenstva, Slovenská komora architektov – nový člen</w:t>
      </w:r>
    </w:p>
    <w:p w:rsidR="00B51749" w:rsidRPr="002D7A10" w:rsidRDefault="00B51749" w:rsidP="00B51749">
      <w:pPr>
        <w:pStyle w:val="Bezriadkovania"/>
        <w:rPr>
          <w:rFonts w:asciiTheme="minorHAnsi" w:hAnsiTheme="minorHAnsi"/>
          <w:sz w:val="24"/>
          <w:szCs w:val="24"/>
        </w:rPr>
      </w:pPr>
      <w:r w:rsidRPr="002D7A10">
        <w:rPr>
          <w:rFonts w:asciiTheme="minorHAnsi" w:hAnsiTheme="minorHAnsi"/>
          <w:sz w:val="24"/>
          <w:szCs w:val="24"/>
        </w:rPr>
        <w:t>(17.4.2013 – 17.4.2019)</w:t>
      </w:r>
    </w:p>
    <w:p w:rsidR="000C5739" w:rsidRPr="002D7A10" w:rsidRDefault="000C5739" w:rsidP="00B51749">
      <w:pPr>
        <w:pStyle w:val="Bezriadkovania"/>
        <w:rPr>
          <w:rFonts w:asciiTheme="minorHAnsi" w:hAnsiTheme="minorHAnsi"/>
          <w:sz w:val="24"/>
          <w:szCs w:val="24"/>
        </w:rPr>
      </w:pPr>
    </w:p>
    <w:p w:rsidR="00B51749" w:rsidRPr="002D7A10" w:rsidRDefault="00B51749" w:rsidP="00B51749">
      <w:pPr>
        <w:rPr>
          <w:rFonts w:asciiTheme="minorHAnsi" w:hAnsiTheme="minorHAnsi"/>
        </w:rPr>
      </w:pPr>
      <w:r w:rsidRPr="002D7A10">
        <w:rPr>
          <w:rFonts w:asciiTheme="minorHAnsi" w:hAnsiTheme="minorHAnsi"/>
          <w:u w:val="single"/>
        </w:rPr>
        <w:t>Člen Správnej rady vymenovaný na návrh akademického senátu</w:t>
      </w:r>
      <w:r w:rsidRPr="002D7A10">
        <w:rPr>
          <w:rFonts w:asciiTheme="minorHAnsi" w:hAnsiTheme="minorHAnsi"/>
        </w:rPr>
        <w:t>:</w:t>
      </w:r>
    </w:p>
    <w:p w:rsidR="00B51749" w:rsidRPr="002D7A10" w:rsidRDefault="00B51749" w:rsidP="00B51749">
      <w:pPr>
        <w:rPr>
          <w:rFonts w:asciiTheme="minorHAnsi" w:hAnsiTheme="minorHAnsi"/>
        </w:rPr>
      </w:pPr>
      <w:r w:rsidRPr="002D7A10">
        <w:rPr>
          <w:rFonts w:asciiTheme="minorHAnsi" w:hAnsiTheme="minorHAnsi"/>
        </w:rPr>
        <w:t xml:space="preserve">doc. Ing. Jozef DICKÝ, PhD., Stavebná fakulta STU </w:t>
      </w:r>
    </w:p>
    <w:p w:rsidR="00B51749" w:rsidRPr="002D7A10" w:rsidRDefault="00B51749" w:rsidP="00B51749">
      <w:pPr>
        <w:rPr>
          <w:rFonts w:asciiTheme="minorHAnsi" w:hAnsiTheme="minorHAnsi"/>
        </w:rPr>
      </w:pPr>
      <w:r w:rsidRPr="002D7A10">
        <w:rPr>
          <w:rFonts w:asciiTheme="minorHAnsi" w:hAnsiTheme="minorHAnsi"/>
        </w:rPr>
        <w:t>(15. 11. 2011 – 15. 11. 2015</w:t>
      </w:r>
      <w:r w:rsidR="000C5739" w:rsidRPr="002D7A10">
        <w:rPr>
          <w:rFonts w:asciiTheme="minorHAnsi" w:hAnsiTheme="minorHAnsi"/>
        </w:rPr>
        <w:t xml:space="preserve">, opätovne vymenovaný na obdobie </w:t>
      </w:r>
      <w:r w:rsidR="000C5739" w:rsidRPr="002D7A10">
        <w:rPr>
          <w:rFonts w:asciiTheme="minorHAnsi" w:hAnsiTheme="minorHAnsi"/>
          <w:noProof/>
        </w:rPr>
        <w:t>14. 12. 2015 – 14. 12. 2019</w:t>
      </w:r>
      <w:r w:rsidRPr="002D7A10">
        <w:rPr>
          <w:rFonts w:asciiTheme="minorHAnsi" w:hAnsiTheme="minorHAnsi"/>
        </w:rPr>
        <w:t>)</w:t>
      </w:r>
    </w:p>
    <w:p w:rsidR="00B51749" w:rsidRPr="002D7A10" w:rsidRDefault="00B51749" w:rsidP="00B51749">
      <w:pPr>
        <w:rPr>
          <w:rFonts w:asciiTheme="minorHAnsi" w:hAnsiTheme="minorHAnsi"/>
          <w:u w:val="single"/>
        </w:rPr>
      </w:pPr>
      <w:r w:rsidRPr="002D7A10">
        <w:rPr>
          <w:rFonts w:asciiTheme="minorHAnsi" w:hAnsiTheme="minorHAnsi"/>
          <w:u w:val="single"/>
        </w:rPr>
        <w:t>Člen Správnej rady vymenovaný na návrh študentskej časti akademického senátu:</w:t>
      </w:r>
    </w:p>
    <w:p w:rsidR="00B51749" w:rsidRPr="002D7A10" w:rsidRDefault="00B51749" w:rsidP="00B51749">
      <w:pPr>
        <w:rPr>
          <w:rFonts w:asciiTheme="minorHAnsi" w:hAnsiTheme="minorHAnsi"/>
        </w:rPr>
      </w:pPr>
      <w:r w:rsidRPr="002D7A10">
        <w:rPr>
          <w:rFonts w:asciiTheme="minorHAnsi" w:hAnsiTheme="minorHAnsi"/>
        </w:rPr>
        <w:t xml:space="preserve">Ing. Michal ONDRUŠKA, </w:t>
      </w:r>
      <w:proofErr w:type="spellStart"/>
      <w:r w:rsidRPr="002D7A10">
        <w:rPr>
          <w:rFonts w:asciiTheme="minorHAnsi" w:hAnsiTheme="minorHAnsi"/>
        </w:rPr>
        <w:t>Materiálovotechnologická</w:t>
      </w:r>
      <w:proofErr w:type="spellEnd"/>
      <w:r w:rsidRPr="002D7A10">
        <w:rPr>
          <w:rFonts w:asciiTheme="minorHAnsi" w:hAnsiTheme="minorHAnsi"/>
        </w:rPr>
        <w:t xml:space="preserve"> fakulta STU </w:t>
      </w:r>
    </w:p>
    <w:p w:rsidR="00B51749" w:rsidRPr="002D7A10" w:rsidRDefault="00B51749" w:rsidP="00B51749">
      <w:pPr>
        <w:rPr>
          <w:rFonts w:asciiTheme="minorHAnsi" w:hAnsiTheme="minorHAnsi"/>
        </w:rPr>
      </w:pPr>
      <w:r w:rsidRPr="002D7A10">
        <w:rPr>
          <w:rFonts w:asciiTheme="minorHAnsi" w:hAnsiTheme="minorHAnsi"/>
        </w:rPr>
        <w:t>(</w:t>
      </w:r>
      <w:r w:rsidR="000C5739" w:rsidRPr="002D7A10">
        <w:rPr>
          <w:rFonts w:asciiTheme="minorHAnsi" w:hAnsiTheme="minorHAnsi"/>
        </w:rPr>
        <w:t>do 28.6.</w:t>
      </w:r>
      <w:r w:rsidRPr="002D7A10">
        <w:rPr>
          <w:rFonts w:asciiTheme="minorHAnsi" w:hAnsiTheme="minorHAnsi"/>
        </w:rPr>
        <w:t>2015)</w:t>
      </w:r>
    </w:p>
    <w:p w:rsidR="000C5739" w:rsidRPr="002D7A10" w:rsidRDefault="000C5739" w:rsidP="000C5739">
      <w:pPr>
        <w:rPr>
          <w:rFonts w:asciiTheme="minorHAnsi" w:hAnsiTheme="minorHAnsi"/>
          <w:noProof/>
        </w:rPr>
      </w:pPr>
      <w:r w:rsidRPr="002D7A10">
        <w:rPr>
          <w:rFonts w:asciiTheme="minorHAnsi" w:hAnsiTheme="minorHAnsi"/>
          <w:noProof/>
        </w:rPr>
        <w:t xml:space="preserve">Bc. Kristína VAŇOVÁ, Stavebná fakulta STU </w:t>
      </w:r>
    </w:p>
    <w:p w:rsidR="000C5739" w:rsidRPr="002D7A10" w:rsidRDefault="000C5739" w:rsidP="000C5739">
      <w:pPr>
        <w:rPr>
          <w:rFonts w:asciiTheme="minorHAnsi" w:hAnsiTheme="minorHAnsi"/>
        </w:rPr>
      </w:pPr>
      <w:r w:rsidRPr="002D7A10">
        <w:rPr>
          <w:rFonts w:asciiTheme="minorHAnsi" w:hAnsiTheme="minorHAnsi"/>
          <w:noProof/>
        </w:rPr>
        <w:t>(25. 9. 2015 – 25. 9. 2017)</w:t>
      </w:r>
    </w:p>
    <w:p w:rsidR="000C5739" w:rsidRPr="002D7A10" w:rsidRDefault="000C5739" w:rsidP="00B51749">
      <w:pPr>
        <w:rPr>
          <w:rFonts w:asciiTheme="minorHAnsi" w:hAnsiTheme="minorHAnsi"/>
          <w:color w:val="FF0000"/>
        </w:rPr>
      </w:pPr>
    </w:p>
    <w:p w:rsidR="00B51749" w:rsidRPr="002D7A10" w:rsidRDefault="00B51749" w:rsidP="00B51749">
      <w:pPr>
        <w:rPr>
          <w:rFonts w:asciiTheme="minorHAnsi" w:hAnsiTheme="minorHAnsi"/>
          <w:color w:val="FF0000"/>
        </w:rPr>
      </w:pPr>
      <w:r w:rsidRPr="002D7A10">
        <w:rPr>
          <w:rFonts w:asciiTheme="minorHAnsi" w:hAnsiTheme="minorHAnsi"/>
          <w:color w:val="FF0000"/>
        </w:rPr>
        <w:br w:type="page"/>
      </w:r>
    </w:p>
    <w:p w:rsidR="00B51749" w:rsidRPr="002D7A10" w:rsidRDefault="00B51749" w:rsidP="00B51749">
      <w:pPr>
        <w:rPr>
          <w:rFonts w:asciiTheme="minorHAnsi" w:hAnsiTheme="minorHAnsi"/>
          <w:color w:val="FF0000"/>
        </w:rPr>
      </w:pPr>
    </w:p>
    <w:p w:rsidR="00B51749" w:rsidRPr="002D7A10" w:rsidRDefault="00B51749" w:rsidP="00B51749">
      <w:pPr>
        <w:rPr>
          <w:rFonts w:asciiTheme="minorHAnsi" w:hAnsiTheme="minorHAnsi"/>
          <w:color w:val="FF0000"/>
        </w:rPr>
      </w:pPr>
    </w:p>
    <w:p w:rsidR="00B51749" w:rsidRPr="002D7A10" w:rsidRDefault="00B51749" w:rsidP="00B51749">
      <w:pPr>
        <w:pStyle w:val="Nadpis1"/>
        <w:rPr>
          <w:rFonts w:asciiTheme="minorHAnsi" w:hAnsiTheme="minorHAnsi"/>
          <w:color w:val="auto"/>
          <w:sz w:val="24"/>
          <w:szCs w:val="24"/>
        </w:rPr>
      </w:pPr>
      <w:bookmarkStart w:id="2" w:name="_Toc448261545"/>
      <w:r w:rsidRPr="002D7A10">
        <w:rPr>
          <w:rFonts w:asciiTheme="minorHAnsi" w:hAnsiTheme="minorHAnsi"/>
          <w:color w:val="auto"/>
          <w:sz w:val="24"/>
          <w:szCs w:val="24"/>
        </w:rPr>
        <w:t>Prehľad najdôležitejších udalostí</w:t>
      </w:r>
      <w:bookmarkEnd w:id="2"/>
    </w:p>
    <w:p w:rsidR="00B51749" w:rsidRPr="002D7A10" w:rsidRDefault="00B51749" w:rsidP="00B51749">
      <w:pPr>
        <w:rPr>
          <w:rFonts w:asciiTheme="minorHAnsi" w:hAnsiTheme="minorHAnsi"/>
          <w:color w:val="FF0000"/>
        </w:rPr>
      </w:pPr>
    </w:p>
    <w:p w:rsidR="00B51749" w:rsidRPr="002D7A10" w:rsidRDefault="00B51749" w:rsidP="00B51749">
      <w:pPr>
        <w:shd w:val="clear" w:color="auto" w:fill="FFFFFF"/>
        <w:rPr>
          <w:rFonts w:asciiTheme="minorHAnsi" w:hAnsiTheme="minorHAnsi" w:cs="Calibri"/>
        </w:rPr>
      </w:pPr>
      <w:r w:rsidRPr="002D7A10">
        <w:rPr>
          <w:rFonts w:asciiTheme="minorHAnsi" w:hAnsiTheme="minorHAnsi"/>
        </w:rPr>
        <w:t xml:space="preserve">Hlavnou činnosťou univerzity je vzdelávacia činnosť. </w:t>
      </w:r>
      <w:r w:rsidR="0061177C" w:rsidRPr="002D7A10">
        <w:rPr>
          <w:rFonts w:asciiTheme="minorHAnsi" w:hAnsiTheme="minorHAnsi"/>
        </w:rPr>
        <w:t xml:space="preserve">V akademickom roku </w:t>
      </w:r>
      <w:r w:rsidR="0061177C" w:rsidRPr="002D7A10">
        <w:rPr>
          <w:rFonts w:asciiTheme="minorHAnsi" w:hAnsiTheme="minorHAnsi" w:cs="Calibri"/>
          <w:shd w:val="clear" w:color="auto" w:fill="FFFFFF"/>
        </w:rPr>
        <w:t xml:space="preserve">2014/2015 na STU úspešne </w:t>
      </w:r>
      <w:r w:rsidR="0061177C" w:rsidRPr="002D7A10">
        <w:rPr>
          <w:rFonts w:asciiTheme="minorHAnsi" w:hAnsiTheme="minorHAnsi" w:cs="Calibri"/>
          <w:b/>
          <w:shd w:val="clear" w:color="auto" w:fill="FFFFFF"/>
        </w:rPr>
        <w:t>skončilo štúdium 4 172 absolventov</w:t>
      </w:r>
      <w:r w:rsidR="0061177C" w:rsidRPr="002D7A10">
        <w:rPr>
          <w:rFonts w:asciiTheme="minorHAnsi" w:hAnsiTheme="minorHAnsi" w:cs="Calibri"/>
          <w:shd w:val="clear" w:color="auto" w:fill="FFFFFF"/>
        </w:rPr>
        <w:t>, z toho na prvom stupni úspešne skončilo štúdium 2 068 absolventov, na druhom stupni 1 859 absolventov a na treťom stupni 245 absolventov</w:t>
      </w:r>
      <w:r w:rsidR="0061177C" w:rsidRPr="002D7A10">
        <w:rPr>
          <w:rFonts w:asciiTheme="minorHAnsi" w:hAnsiTheme="minorHAnsi" w:cs="Calibri"/>
        </w:rPr>
        <w:t>.</w:t>
      </w:r>
    </w:p>
    <w:p w:rsidR="0061177C" w:rsidRPr="002D7A10" w:rsidRDefault="0061177C" w:rsidP="00EF351A">
      <w:pPr>
        <w:shd w:val="clear" w:color="auto" w:fill="FFFFFF"/>
        <w:jc w:val="center"/>
        <w:rPr>
          <w:rFonts w:asciiTheme="minorHAnsi" w:hAnsiTheme="minorHAnsi" w:cs="Calibri"/>
          <w:color w:val="FF0000"/>
        </w:rPr>
      </w:pPr>
    </w:p>
    <w:p w:rsidR="00B51749" w:rsidRPr="006670C7" w:rsidRDefault="00B51749" w:rsidP="006670C7">
      <w:pPr>
        <w:spacing w:after="120"/>
        <w:rPr>
          <w:rFonts w:asciiTheme="minorHAnsi" w:hAnsiTheme="minorHAnsi" w:cs="Calibri"/>
        </w:rPr>
      </w:pPr>
      <w:r w:rsidRPr="002D7A10">
        <w:rPr>
          <w:rFonts w:asciiTheme="minorHAnsi" w:hAnsiTheme="minorHAnsi" w:cs="Calibri"/>
        </w:rPr>
        <w:t xml:space="preserve">Celkovo na STU </w:t>
      </w:r>
      <w:r w:rsidR="00EF351A" w:rsidRPr="002D7A10">
        <w:rPr>
          <w:rFonts w:asciiTheme="minorHAnsi" w:hAnsiTheme="minorHAnsi" w:cs="Calibri"/>
          <w:b/>
        </w:rPr>
        <w:t>v akademickom roku 2014/2015 študovalo 15 403 študentov</w:t>
      </w:r>
      <w:r w:rsidR="00EF351A" w:rsidRPr="002D7A10">
        <w:rPr>
          <w:rFonts w:asciiTheme="minorHAnsi" w:hAnsiTheme="minorHAnsi" w:cs="Calibri"/>
        </w:rPr>
        <w:t>, z toho na prvom stupni 9 936, na druhom stupni 4 239 a na treťom stupni 1 228. Celkové počty študentov na STU mierne klesajú čo vyplýva predovšetkým z demografickej krivky, a z minimálnej ponuky externej formy štúdia, ktorá sa realizuje na treťom stupni štúdia. V porovnaní s akademickým rokom 2013/2014 je celkový pokles študentov o 6 %.</w:t>
      </w:r>
    </w:p>
    <w:p w:rsidR="00BA2BDB" w:rsidRPr="002D7A10" w:rsidRDefault="00483CA7" w:rsidP="00483CA7">
      <w:pPr>
        <w:tabs>
          <w:tab w:val="left" w:pos="9498"/>
        </w:tabs>
        <w:rPr>
          <w:rFonts w:asciiTheme="minorHAnsi" w:hAnsiTheme="minorHAnsi" w:cstheme="majorHAnsi"/>
        </w:rPr>
      </w:pPr>
      <w:r w:rsidRPr="002D7A10">
        <w:rPr>
          <w:rFonts w:asciiTheme="minorHAnsi" w:hAnsiTheme="minorHAnsi" w:cstheme="majorHAnsi"/>
          <w:b/>
        </w:rPr>
        <w:t>V prijímacom konaní 2015/2016 sa do prvých ročníkov celkovo zapísalo 6 590 nových študentov</w:t>
      </w:r>
      <w:r w:rsidR="00BA2BDB" w:rsidRPr="002D7A10">
        <w:rPr>
          <w:rFonts w:asciiTheme="minorHAnsi" w:hAnsiTheme="minorHAnsi" w:cstheme="majorHAnsi"/>
        </w:rPr>
        <w:t xml:space="preserve"> - </w:t>
      </w:r>
      <w:r w:rsidRPr="002D7A10">
        <w:rPr>
          <w:rFonts w:asciiTheme="minorHAnsi" w:hAnsiTheme="minorHAnsi" w:cstheme="majorHAnsi"/>
        </w:rPr>
        <w:t xml:space="preserve">na prvom stupni štúdia 4 171 študentov; 2 220 študentov na druhom stupni štúdia a na treťom stupni 199 študentov (149 v dennej forme a 50 v  externej forme). </w:t>
      </w:r>
      <w:r w:rsidRPr="002D7A10">
        <w:rPr>
          <w:rFonts w:asciiTheme="minorHAnsi" w:hAnsiTheme="minorHAnsi" w:cstheme="majorHAnsi"/>
          <w:b/>
        </w:rPr>
        <w:t>Oproti akademickému roku 2014/2015 to znamená</w:t>
      </w:r>
      <w:r w:rsidRPr="002D7A10">
        <w:rPr>
          <w:rFonts w:asciiTheme="minorHAnsi" w:hAnsiTheme="minorHAnsi" w:cstheme="majorHAnsi"/>
        </w:rPr>
        <w:t xml:space="preserve"> </w:t>
      </w:r>
      <w:r w:rsidRPr="002D7A10">
        <w:rPr>
          <w:rFonts w:asciiTheme="minorHAnsi" w:hAnsiTheme="minorHAnsi" w:cstheme="majorHAnsi"/>
          <w:b/>
        </w:rPr>
        <w:t>pokles o 6,8 % na prvom stupni štúdia, nárast o 6,5 % na druhom stupni a pokles o 23,5% na treťom stupni štúdia.</w:t>
      </w:r>
      <w:r w:rsidRPr="002D7A10">
        <w:rPr>
          <w:rFonts w:asciiTheme="minorHAnsi" w:hAnsiTheme="minorHAnsi" w:cstheme="majorHAnsi"/>
        </w:rPr>
        <w:t xml:space="preserve"> </w:t>
      </w:r>
    </w:p>
    <w:p w:rsidR="00483CA7" w:rsidRPr="002D7A10" w:rsidRDefault="00483CA7" w:rsidP="00483CA7">
      <w:pPr>
        <w:tabs>
          <w:tab w:val="left" w:pos="9498"/>
        </w:tabs>
        <w:rPr>
          <w:rFonts w:asciiTheme="minorHAnsi" w:hAnsiTheme="minorHAnsi" w:cstheme="majorHAnsi"/>
        </w:rPr>
      </w:pPr>
      <w:r w:rsidRPr="002D7A10">
        <w:rPr>
          <w:rFonts w:asciiTheme="minorHAnsi" w:hAnsiTheme="minorHAnsi" w:cstheme="majorHAnsi"/>
        </w:rPr>
        <w:t xml:space="preserve">Pokles na prvom stupni štúdia je spôsobený hlavne výrazným poklesom maturantov SR, až o 7,5 % oproti predchádzajúcemu školskému roku. </w:t>
      </w:r>
      <w:r w:rsidR="00BA2BDB" w:rsidRPr="002D7A10">
        <w:rPr>
          <w:rFonts w:asciiTheme="minorHAnsi" w:hAnsiTheme="minorHAnsi" w:cstheme="majorHAnsi"/>
        </w:rPr>
        <w:t>P</w:t>
      </w:r>
      <w:r w:rsidRPr="002D7A10">
        <w:rPr>
          <w:rFonts w:asciiTheme="minorHAnsi" w:hAnsiTheme="minorHAnsi" w:cstheme="majorHAnsi"/>
        </w:rPr>
        <w:t>okles na treťom stupni štúdia v dennej forme vyplýva hlavne zo zmenného modelu financovania od akad</w:t>
      </w:r>
      <w:r w:rsidR="00BA2BDB" w:rsidRPr="002D7A10">
        <w:rPr>
          <w:rFonts w:asciiTheme="minorHAnsi" w:hAnsiTheme="minorHAnsi" w:cstheme="majorHAnsi"/>
        </w:rPr>
        <w:t>emického</w:t>
      </w:r>
      <w:r w:rsidRPr="002D7A10">
        <w:rPr>
          <w:rFonts w:asciiTheme="minorHAnsi" w:hAnsiTheme="minorHAnsi" w:cstheme="majorHAnsi"/>
        </w:rPr>
        <w:t xml:space="preserve"> roku 2012/2013, odkedy si počty študentov určujú samotné fakulty.</w:t>
      </w:r>
    </w:p>
    <w:p w:rsidR="00B51749" w:rsidRPr="00733F8A" w:rsidRDefault="00483CA7" w:rsidP="00733F8A">
      <w:pPr>
        <w:spacing w:after="120"/>
        <w:rPr>
          <w:rFonts w:asciiTheme="minorHAnsi" w:hAnsiTheme="minorHAnsi" w:cs="Calibri"/>
        </w:rPr>
      </w:pPr>
      <w:r w:rsidRPr="002D7A10">
        <w:rPr>
          <w:rFonts w:asciiTheme="minorHAnsi" w:hAnsiTheme="minorHAnsi" w:cs="Calibri"/>
          <w:b/>
        </w:rPr>
        <w:t>Percento zapísaných študentov na STU z celkového počtu maturantov dennej formy v SR je však dlhodobo stabilné</w:t>
      </w:r>
      <w:r w:rsidRPr="002D7A10">
        <w:rPr>
          <w:rFonts w:asciiTheme="minorHAnsi" w:hAnsiTheme="minorHAnsi" w:cs="Calibri"/>
        </w:rPr>
        <w:t xml:space="preserve"> (okolo 6 %) a to aj napriek </w:t>
      </w:r>
      <w:r w:rsidR="00BA2BDB" w:rsidRPr="002D7A10">
        <w:rPr>
          <w:rFonts w:asciiTheme="minorHAnsi" w:hAnsiTheme="minorHAnsi" w:cs="Calibri"/>
        </w:rPr>
        <w:t>pretrvávajúcemu poklesu</w:t>
      </w:r>
      <w:r w:rsidRPr="002D7A10">
        <w:rPr>
          <w:rFonts w:asciiTheme="minorHAnsi" w:hAnsiTheme="minorHAnsi" w:cs="Calibri"/>
        </w:rPr>
        <w:t xml:space="preserve"> počet maturantov (pokles viac ako 24 % za posledných 5 rokov).</w:t>
      </w:r>
    </w:p>
    <w:p w:rsidR="00B51749" w:rsidRPr="004D7330" w:rsidRDefault="00266A42" w:rsidP="004D7330">
      <w:pPr>
        <w:pStyle w:val="Zkladntext"/>
        <w:spacing w:line="240" w:lineRule="auto"/>
        <w:ind w:right="-2"/>
        <w:rPr>
          <w:rFonts w:asciiTheme="minorHAnsi" w:hAnsiTheme="minorHAnsi"/>
          <w:color w:val="auto"/>
        </w:rPr>
      </w:pPr>
      <w:r w:rsidRPr="002D7A10">
        <w:rPr>
          <w:rFonts w:asciiTheme="minorHAnsi" w:hAnsiTheme="minorHAnsi"/>
          <w:b/>
          <w:color w:val="auto"/>
        </w:rPr>
        <w:t>Medziročne stále s</w:t>
      </w:r>
      <w:r w:rsidR="00B51749" w:rsidRPr="002D7A10">
        <w:rPr>
          <w:rFonts w:asciiTheme="minorHAnsi" w:hAnsiTheme="minorHAnsi"/>
          <w:b/>
          <w:color w:val="auto"/>
        </w:rPr>
        <w:t>túpa počet mobilít študentov na STU</w:t>
      </w:r>
      <w:r w:rsidR="00B51749" w:rsidRPr="002D7A10">
        <w:rPr>
          <w:rFonts w:asciiTheme="minorHAnsi" w:hAnsiTheme="minorHAnsi"/>
          <w:color w:val="auto"/>
        </w:rPr>
        <w:t xml:space="preserve">, a to najmä v programe </w:t>
      </w:r>
      <w:proofErr w:type="spellStart"/>
      <w:r w:rsidR="00B51749" w:rsidRPr="002D7A10">
        <w:rPr>
          <w:rFonts w:asciiTheme="minorHAnsi" w:hAnsiTheme="minorHAnsi"/>
          <w:color w:val="auto"/>
        </w:rPr>
        <w:t>Erasmus</w:t>
      </w:r>
      <w:proofErr w:type="spellEnd"/>
      <w:r w:rsidR="00B51749" w:rsidRPr="002D7A10">
        <w:rPr>
          <w:rFonts w:asciiTheme="minorHAnsi" w:hAnsiTheme="minorHAnsi"/>
          <w:color w:val="auto"/>
        </w:rPr>
        <w:t xml:space="preserve">. </w:t>
      </w:r>
      <w:r w:rsidR="00236CCD" w:rsidRPr="002D7A10">
        <w:rPr>
          <w:rFonts w:asciiTheme="minorHAnsi" w:hAnsiTheme="minorHAnsi"/>
          <w:color w:val="auto"/>
        </w:rPr>
        <w:t xml:space="preserve">V hodnotenom roku STU cez tento program </w:t>
      </w:r>
      <w:r w:rsidR="00236CCD" w:rsidRPr="002D7A10">
        <w:rPr>
          <w:rFonts w:asciiTheme="minorHAnsi" w:hAnsiTheme="minorHAnsi"/>
          <w:b/>
          <w:color w:val="auto"/>
        </w:rPr>
        <w:t xml:space="preserve">vyslala </w:t>
      </w:r>
      <w:r w:rsidRPr="002D7A10">
        <w:rPr>
          <w:rFonts w:asciiTheme="minorHAnsi" w:hAnsiTheme="minorHAnsi"/>
          <w:b/>
          <w:color w:val="auto"/>
        </w:rPr>
        <w:t xml:space="preserve">305 </w:t>
      </w:r>
      <w:r w:rsidR="00236CCD" w:rsidRPr="002D7A10">
        <w:rPr>
          <w:rFonts w:asciiTheme="minorHAnsi" w:hAnsiTheme="minorHAnsi"/>
          <w:b/>
          <w:color w:val="auto"/>
        </w:rPr>
        <w:t xml:space="preserve">študentov </w:t>
      </w:r>
      <w:r w:rsidRPr="002D7A10">
        <w:rPr>
          <w:rFonts w:asciiTheme="minorHAnsi" w:hAnsiTheme="minorHAnsi"/>
          <w:b/>
          <w:color w:val="auto"/>
        </w:rPr>
        <w:t xml:space="preserve">a absolventov </w:t>
      </w:r>
      <w:r w:rsidR="00236CCD" w:rsidRPr="002D7A10">
        <w:rPr>
          <w:rFonts w:asciiTheme="minorHAnsi" w:hAnsiTheme="minorHAnsi"/>
          <w:b/>
          <w:color w:val="auto"/>
        </w:rPr>
        <w:t xml:space="preserve">a prijala </w:t>
      </w:r>
      <w:r w:rsidRPr="002D7A10">
        <w:rPr>
          <w:rFonts w:asciiTheme="minorHAnsi" w:hAnsiTheme="minorHAnsi"/>
          <w:b/>
          <w:color w:val="auto"/>
        </w:rPr>
        <w:t>100</w:t>
      </w:r>
      <w:r w:rsidR="00236CCD" w:rsidRPr="002D7A10">
        <w:rPr>
          <w:rFonts w:asciiTheme="minorHAnsi" w:hAnsiTheme="minorHAnsi"/>
          <w:color w:val="auto"/>
        </w:rPr>
        <w:t xml:space="preserve"> zahraničných študentov</w:t>
      </w:r>
      <w:r w:rsidR="00B51749" w:rsidRPr="002D7A10">
        <w:rPr>
          <w:rFonts w:asciiTheme="minorHAnsi" w:hAnsiTheme="minorHAnsi"/>
          <w:color w:val="auto"/>
        </w:rPr>
        <w:t xml:space="preserve">. </w:t>
      </w:r>
      <w:r w:rsidR="00236CCD" w:rsidRPr="002D7A10">
        <w:rPr>
          <w:rFonts w:asciiTheme="minorHAnsi" w:hAnsiTheme="minorHAnsi"/>
          <w:color w:val="auto"/>
        </w:rPr>
        <w:t xml:space="preserve"> </w:t>
      </w:r>
      <w:r w:rsidR="00B51749" w:rsidRPr="002D7A10">
        <w:rPr>
          <w:rFonts w:asciiTheme="minorHAnsi" w:hAnsiTheme="minorHAnsi"/>
          <w:color w:val="auto"/>
        </w:rPr>
        <w:t xml:space="preserve">Záujmom univerzity je, aby mobility ďalej rástli a snaží sa ich študentom uľahčiť aj prostredníctvom medzinárodných aktivít v oblasti vzdelávania. </w:t>
      </w:r>
    </w:p>
    <w:p w:rsidR="00881D92" w:rsidRPr="00933500" w:rsidRDefault="00881D92" w:rsidP="00933500">
      <w:pPr>
        <w:rPr>
          <w:rStyle w:val="Siln"/>
          <w:rFonts w:asciiTheme="minorHAnsi" w:hAnsiTheme="minorHAnsi"/>
          <w:b w:val="0"/>
        </w:rPr>
      </w:pPr>
    </w:p>
    <w:p w:rsidR="004D7330" w:rsidRPr="002D7A10" w:rsidRDefault="00B51749" w:rsidP="004D7330">
      <w:pPr>
        <w:rPr>
          <w:rFonts w:asciiTheme="minorHAnsi" w:hAnsiTheme="minorHAnsi"/>
          <w:b/>
        </w:rPr>
      </w:pPr>
      <w:r w:rsidRPr="00933500">
        <w:rPr>
          <w:rStyle w:val="Siln"/>
          <w:rFonts w:asciiTheme="minorHAnsi" w:hAnsiTheme="minorHAnsi"/>
          <w:b w:val="0"/>
        </w:rPr>
        <w:t>Výsledkami v oblasti vedy a výskumu obhájila Slovenská technická univerzita v Bratislave pevné postavenie medzi poprednými výskumnými inštitúciami na Slovensku.</w:t>
      </w:r>
      <w:r w:rsidRPr="00933500">
        <w:rPr>
          <w:rStyle w:val="Siln"/>
          <w:rFonts w:asciiTheme="minorHAnsi" w:hAnsiTheme="minorHAnsi"/>
          <w:b w:val="0"/>
          <w:color w:val="FF0000"/>
        </w:rPr>
        <w:t xml:space="preserve"> </w:t>
      </w:r>
      <w:r w:rsidR="004D7330" w:rsidRPr="002D7A10">
        <w:rPr>
          <w:rFonts w:asciiTheme="minorHAnsi" w:hAnsiTheme="minorHAnsi"/>
          <w:b/>
        </w:rPr>
        <w:t>V roku 2015 sa na STU riešilo 2</w:t>
      </w:r>
      <w:r w:rsidR="007C7330">
        <w:rPr>
          <w:rFonts w:asciiTheme="minorHAnsi" w:hAnsiTheme="minorHAnsi"/>
          <w:b/>
        </w:rPr>
        <w:t>9</w:t>
      </w:r>
      <w:r w:rsidR="009762B9">
        <w:rPr>
          <w:rFonts w:asciiTheme="minorHAnsi" w:hAnsiTheme="minorHAnsi"/>
          <w:b/>
        </w:rPr>
        <w:t xml:space="preserve">4 </w:t>
      </w:r>
      <w:r w:rsidR="004D7330" w:rsidRPr="002D7A10">
        <w:rPr>
          <w:rFonts w:asciiTheme="minorHAnsi" w:hAnsiTheme="minorHAnsi"/>
          <w:b/>
        </w:rPr>
        <w:t>projektov zmluvného výskumu pre priemyselnú prax a takmer 500 výskumných projektov financovaných z grantov, z čoho bolo 22 projektov rámcových programov Európskej únie (7. RP a Horizont 2020), vrátane iniciatív ENIAC a ECSEL.</w:t>
      </w:r>
    </w:p>
    <w:p w:rsidR="00AD521B" w:rsidRDefault="004D7330" w:rsidP="00AD521B">
      <w:pPr>
        <w:rPr>
          <w:rFonts w:asciiTheme="minorHAnsi" w:hAnsiTheme="minorHAnsi"/>
        </w:rPr>
      </w:pPr>
      <w:r>
        <w:rPr>
          <w:rStyle w:val="Siln"/>
          <w:rFonts w:asciiTheme="minorHAnsi" w:hAnsiTheme="minorHAnsi"/>
          <w:b w:val="0"/>
        </w:rPr>
        <w:t>STU si v</w:t>
      </w:r>
      <w:r w:rsidR="00B51749" w:rsidRPr="00933500">
        <w:rPr>
          <w:rFonts w:asciiTheme="minorHAnsi" w:hAnsiTheme="minorHAnsi"/>
          <w:b/>
        </w:rPr>
        <w:t xml:space="preserve"> roku 201</w:t>
      </w:r>
      <w:r w:rsidR="00AD521B" w:rsidRPr="00933500">
        <w:rPr>
          <w:rFonts w:asciiTheme="minorHAnsi" w:hAnsiTheme="minorHAnsi"/>
          <w:b/>
        </w:rPr>
        <w:t>5 udržala dominantné postavenie</w:t>
      </w:r>
      <w:r w:rsidR="00B51749" w:rsidRPr="00933500">
        <w:rPr>
          <w:rFonts w:asciiTheme="minorHAnsi" w:hAnsiTheme="minorHAnsi"/>
          <w:b/>
        </w:rPr>
        <w:t xml:space="preserve"> </w:t>
      </w:r>
      <w:r w:rsidR="00AD521B" w:rsidRPr="00933500">
        <w:rPr>
          <w:rFonts w:asciiTheme="minorHAnsi" w:eastAsia="Times New Roman" w:hAnsiTheme="minorHAnsi" w:cs="Arial"/>
          <w:b/>
          <w:lang w:eastAsia="sk-SK"/>
        </w:rPr>
        <w:t xml:space="preserve">medzi slovenskými verejnými vysokými školami </w:t>
      </w:r>
      <w:r>
        <w:rPr>
          <w:rFonts w:asciiTheme="minorHAnsi" w:eastAsia="Times New Roman" w:hAnsiTheme="minorHAnsi" w:cs="Arial"/>
          <w:b/>
          <w:lang w:eastAsia="sk-SK"/>
        </w:rPr>
        <w:t xml:space="preserve">aj </w:t>
      </w:r>
      <w:r w:rsidR="00AD521B" w:rsidRPr="00933500">
        <w:rPr>
          <w:rFonts w:asciiTheme="minorHAnsi" w:eastAsia="Times New Roman" w:hAnsiTheme="minorHAnsi" w:cs="Arial"/>
          <w:b/>
          <w:lang w:eastAsia="sk-SK"/>
        </w:rPr>
        <w:t>v počte  publikácií evidovanými v databáze SCOPUS (25%) a v získavaní finančných prostriedkov v rámci podnikateľskej činnosti (65 %).</w:t>
      </w:r>
      <w:r w:rsidR="00AD521B" w:rsidRPr="00933500">
        <w:rPr>
          <w:rFonts w:asciiTheme="minorHAnsi" w:hAnsiTheme="minorHAnsi"/>
          <w:b/>
        </w:rPr>
        <w:t xml:space="preserve"> </w:t>
      </w:r>
      <w:r w:rsidR="00933500" w:rsidRPr="00933500">
        <w:rPr>
          <w:rFonts w:asciiTheme="minorHAnsi" w:hAnsiTheme="minorHAnsi"/>
        </w:rPr>
        <w:t>Pozitívne je, že v oblasti publikačných aktivít</w:t>
      </w:r>
      <w:r w:rsidR="00933500">
        <w:rPr>
          <w:rFonts w:asciiTheme="minorHAnsi" w:hAnsiTheme="minorHAnsi"/>
          <w:b/>
        </w:rPr>
        <w:t xml:space="preserve"> </w:t>
      </w:r>
      <w:r w:rsidR="00933500">
        <w:rPr>
          <w:rFonts w:asciiTheme="minorHAnsi" w:hAnsiTheme="minorHAnsi"/>
        </w:rPr>
        <w:t xml:space="preserve">narástol počet publikácii </w:t>
      </w:r>
      <w:r w:rsidR="00933500" w:rsidRPr="00933500">
        <w:rPr>
          <w:rFonts w:asciiTheme="minorHAnsi" w:hAnsiTheme="minorHAnsi"/>
        </w:rPr>
        <w:t xml:space="preserve">v kategórií </w:t>
      </w:r>
      <w:r w:rsidR="00933500">
        <w:rPr>
          <w:rFonts w:asciiTheme="minorHAnsi" w:hAnsiTheme="minorHAnsi"/>
        </w:rPr>
        <w:t>B,</w:t>
      </w:r>
      <w:r w:rsidR="00933500" w:rsidRPr="00933500">
        <w:rPr>
          <w:rFonts w:asciiTheme="minorHAnsi" w:hAnsiTheme="minorHAnsi"/>
        </w:rPr>
        <w:t xml:space="preserve"> ktoré sú pri delení dotácie</w:t>
      </w:r>
      <w:r w:rsidR="00933500">
        <w:rPr>
          <w:rFonts w:asciiTheme="minorHAnsi" w:hAnsiTheme="minorHAnsi"/>
        </w:rPr>
        <w:t xml:space="preserve"> akceptované s najvyššou váhou.</w:t>
      </w:r>
    </w:p>
    <w:p w:rsidR="00B51749" w:rsidRPr="00AD521B" w:rsidRDefault="00732DDA" w:rsidP="004D7330">
      <w:pPr>
        <w:rPr>
          <w:rFonts w:asciiTheme="minorHAnsi" w:hAnsiTheme="minorHAnsi"/>
        </w:rPr>
      </w:pPr>
      <w:r w:rsidRPr="00933500">
        <w:rPr>
          <w:rFonts w:asciiTheme="minorHAnsi" w:hAnsiTheme="minorHAnsi"/>
        </w:rPr>
        <w:t xml:space="preserve">Začiatkom roku 2014 boli odštartované výzvy v rámci európskych projektov HORIZONT 2020. </w:t>
      </w:r>
      <w:r w:rsidRPr="004D7330">
        <w:rPr>
          <w:rFonts w:asciiTheme="minorHAnsi" w:hAnsiTheme="minorHAnsi"/>
          <w:b/>
        </w:rPr>
        <w:t>Pracovníci STU podali k 31.12.2015 110 žiadostí v rámci výziev HORIZONT 2020, z toho 10 návrhov bolo určených na financovanie a 30 projektov sa dostalo nad bodový prah</w:t>
      </w:r>
      <w:r w:rsidR="00933500">
        <w:rPr>
          <w:rFonts w:asciiTheme="minorHAnsi" w:hAnsiTheme="minorHAnsi"/>
        </w:rPr>
        <w:t>.</w:t>
      </w:r>
      <w:r w:rsidRPr="00AD521B">
        <w:rPr>
          <w:rFonts w:asciiTheme="minorHAnsi" w:hAnsiTheme="minorHAnsi"/>
        </w:rPr>
        <w:t xml:space="preserve"> </w:t>
      </w:r>
    </w:p>
    <w:p w:rsidR="00881D92" w:rsidRDefault="00881D92" w:rsidP="00B51749">
      <w:pPr>
        <w:autoSpaceDE w:val="0"/>
        <w:autoSpaceDN w:val="0"/>
        <w:adjustRightInd w:val="0"/>
        <w:rPr>
          <w:rFonts w:asciiTheme="minorHAnsi" w:hAnsiTheme="minorHAnsi"/>
        </w:rPr>
      </w:pPr>
    </w:p>
    <w:p w:rsidR="00462738" w:rsidRPr="00155D7A" w:rsidRDefault="00733F8A" w:rsidP="00733F8A">
      <w:pPr>
        <w:shd w:val="clear" w:color="auto" w:fill="FFFFFF"/>
        <w:rPr>
          <w:rFonts w:asciiTheme="minorHAnsi" w:hAnsiTheme="minorHAnsi"/>
        </w:rPr>
      </w:pPr>
      <w:r w:rsidRPr="002D7A10">
        <w:rPr>
          <w:rFonts w:asciiTheme="minorHAnsi" w:hAnsiTheme="minorHAnsi"/>
        </w:rPr>
        <w:lastRenderedPageBreak/>
        <w:t>Vzdelávanie na STU stojí na vlastnom vedeckom vý</w:t>
      </w:r>
      <w:r>
        <w:rPr>
          <w:rFonts w:asciiTheme="minorHAnsi" w:hAnsiTheme="minorHAnsi"/>
        </w:rPr>
        <w:t xml:space="preserve">skume a na spolupráci s praxou. </w:t>
      </w:r>
      <w:r w:rsidR="00B51749" w:rsidRPr="002D7A10">
        <w:rPr>
          <w:rFonts w:asciiTheme="minorHAnsi" w:hAnsiTheme="minorHAnsi"/>
        </w:rPr>
        <w:t xml:space="preserve">STU </w:t>
      </w:r>
      <w:r w:rsidR="00B51749" w:rsidRPr="00881D92">
        <w:rPr>
          <w:rFonts w:asciiTheme="minorHAnsi" w:hAnsiTheme="minorHAnsi"/>
        </w:rPr>
        <w:t xml:space="preserve">podporuje a motivuje vedcov a mladých vedcov aj prostredníctvom </w:t>
      </w:r>
      <w:r>
        <w:rPr>
          <w:rFonts w:asciiTheme="minorHAnsi" w:hAnsiTheme="minorHAnsi"/>
        </w:rPr>
        <w:t>univerzitných</w:t>
      </w:r>
      <w:r w:rsidR="00B51749" w:rsidRPr="00881D92">
        <w:rPr>
          <w:rFonts w:asciiTheme="minorHAnsi" w:hAnsiTheme="minorHAnsi"/>
        </w:rPr>
        <w:t xml:space="preserve"> grantov. V roku 201</w:t>
      </w:r>
      <w:r w:rsidR="000D3F9A" w:rsidRPr="00881D92">
        <w:rPr>
          <w:rFonts w:asciiTheme="minorHAnsi" w:hAnsiTheme="minorHAnsi"/>
        </w:rPr>
        <w:t>5</w:t>
      </w:r>
      <w:r w:rsidR="00B51749" w:rsidRPr="00881D92">
        <w:rPr>
          <w:rFonts w:asciiTheme="minorHAnsi" w:hAnsiTheme="minorHAnsi"/>
        </w:rPr>
        <w:t xml:space="preserve"> získalo v rámci </w:t>
      </w:r>
      <w:r w:rsidR="00B51749" w:rsidRPr="00881D92">
        <w:rPr>
          <w:rFonts w:asciiTheme="minorHAnsi" w:hAnsiTheme="minorHAnsi"/>
          <w:b/>
        </w:rPr>
        <w:t>Programu na podporu mladých výskumných pracovníkov</w:t>
      </w:r>
      <w:r w:rsidR="00B51749" w:rsidRPr="00881D92">
        <w:rPr>
          <w:rFonts w:asciiTheme="minorHAnsi" w:hAnsiTheme="minorHAnsi"/>
        </w:rPr>
        <w:t xml:space="preserve"> grant na výskum </w:t>
      </w:r>
      <w:r w:rsidR="00881D92" w:rsidRPr="00881D92">
        <w:rPr>
          <w:rFonts w:asciiTheme="minorHAnsi" w:hAnsiTheme="minorHAnsi"/>
        </w:rPr>
        <w:t>111</w:t>
      </w:r>
      <w:r w:rsidR="00B51749" w:rsidRPr="00881D92">
        <w:rPr>
          <w:rFonts w:asciiTheme="minorHAnsi" w:hAnsiTheme="minorHAnsi"/>
        </w:rPr>
        <w:t xml:space="preserve"> mladých vedcov. Celkovo si rozdelili </w:t>
      </w:r>
      <w:r w:rsidR="00881D92" w:rsidRPr="00881D92">
        <w:rPr>
          <w:rFonts w:asciiTheme="minorHAnsi" w:hAnsiTheme="minorHAnsi"/>
        </w:rPr>
        <w:t>vyše 110-</w:t>
      </w:r>
      <w:r w:rsidR="00B51749" w:rsidRPr="00881D92">
        <w:rPr>
          <w:rFonts w:asciiTheme="minorHAnsi" w:hAnsiTheme="minorHAnsi"/>
        </w:rPr>
        <w:t xml:space="preserve">tisíc eur. </w:t>
      </w:r>
      <w:r w:rsidR="004D7330">
        <w:rPr>
          <w:rFonts w:asciiTheme="minorHAnsi" w:hAnsiTheme="minorHAnsi"/>
        </w:rPr>
        <w:t>U</w:t>
      </w:r>
      <w:r w:rsidR="00B51749" w:rsidRPr="00867A0E">
        <w:rPr>
          <w:rFonts w:asciiTheme="minorHAnsi" w:hAnsiTheme="minorHAnsi"/>
        </w:rPr>
        <w:t xml:space="preserve">niverzita </w:t>
      </w:r>
      <w:r w:rsidR="004D7330">
        <w:rPr>
          <w:rFonts w:asciiTheme="minorHAnsi" w:hAnsiTheme="minorHAnsi"/>
        </w:rPr>
        <w:t xml:space="preserve">rozšírila podporu </w:t>
      </w:r>
      <w:r w:rsidR="00B51749" w:rsidRPr="00867A0E">
        <w:rPr>
          <w:rFonts w:asciiTheme="minorHAnsi" w:hAnsiTheme="minorHAnsi"/>
        </w:rPr>
        <w:t xml:space="preserve">aj o </w:t>
      </w:r>
      <w:r w:rsidR="00B51749" w:rsidRPr="00867A0E">
        <w:rPr>
          <w:rFonts w:asciiTheme="minorHAnsi" w:hAnsiTheme="minorHAnsi"/>
          <w:b/>
        </w:rPr>
        <w:t>Pokračujúce projekty excelentných mladých výskumníkov</w:t>
      </w:r>
      <w:r w:rsidR="00B913CA">
        <w:rPr>
          <w:rFonts w:asciiTheme="minorHAnsi" w:hAnsiTheme="minorHAnsi"/>
          <w:b/>
        </w:rPr>
        <w:t xml:space="preserve">, </w:t>
      </w:r>
      <w:r w:rsidR="00B913CA" w:rsidRPr="00B913CA">
        <w:rPr>
          <w:rFonts w:asciiTheme="minorHAnsi" w:hAnsiTheme="minorHAnsi"/>
        </w:rPr>
        <w:t>v</w:t>
      </w:r>
      <w:r w:rsidR="00A80DFA" w:rsidRPr="00B913CA">
        <w:rPr>
          <w:rFonts w:asciiTheme="minorHAnsi" w:hAnsiTheme="minorHAnsi"/>
          <w:bCs/>
        </w:rPr>
        <w:t xml:space="preserve"> roku </w:t>
      </w:r>
      <w:r w:rsidR="00A80DFA" w:rsidRPr="00867A0E">
        <w:rPr>
          <w:rFonts w:asciiTheme="minorHAnsi" w:hAnsiTheme="minorHAnsi"/>
          <w:bCs/>
        </w:rPr>
        <w:t xml:space="preserve">2015 získalo podporu </w:t>
      </w:r>
      <w:r w:rsidR="00666AC4" w:rsidRPr="00867A0E">
        <w:rPr>
          <w:rFonts w:asciiTheme="minorHAnsi" w:hAnsiTheme="minorHAnsi"/>
          <w:bCs/>
        </w:rPr>
        <w:t>12</w:t>
      </w:r>
      <w:r w:rsidR="00A80DFA" w:rsidRPr="00867A0E">
        <w:rPr>
          <w:rFonts w:asciiTheme="minorHAnsi" w:hAnsiTheme="minorHAnsi"/>
          <w:bCs/>
        </w:rPr>
        <w:t xml:space="preserve"> projektov</w:t>
      </w:r>
      <w:r w:rsidR="00666AC4" w:rsidRPr="00867A0E">
        <w:rPr>
          <w:rFonts w:asciiTheme="minorHAnsi" w:hAnsiTheme="minorHAnsi"/>
          <w:bCs/>
        </w:rPr>
        <w:t>.</w:t>
      </w:r>
      <w:r w:rsidR="00155D7A">
        <w:rPr>
          <w:rFonts w:asciiTheme="minorHAnsi" w:hAnsiTheme="minorHAnsi"/>
          <w:bCs/>
        </w:rPr>
        <w:t xml:space="preserve"> </w:t>
      </w:r>
      <w:r w:rsidR="00B51749" w:rsidRPr="002D7A10">
        <w:rPr>
          <w:rFonts w:asciiTheme="minorHAnsi" w:hAnsiTheme="minorHAnsi"/>
        </w:rPr>
        <w:t xml:space="preserve">Univerzita </w:t>
      </w:r>
      <w:r w:rsidR="00B51749" w:rsidRPr="006670C7">
        <w:rPr>
          <w:rFonts w:asciiTheme="minorHAnsi" w:hAnsiTheme="minorHAnsi"/>
        </w:rPr>
        <w:t>odmeňuje tiež významné publikačné aktivity</w:t>
      </w:r>
      <w:r w:rsidR="008672D5">
        <w:rPr>
          <w:rFonts w:asciiTheme="minorHAnsi" w:hAnsiTheme="minorHAnsi"/>
        </w:rPr>
        <w:t xml:space="preserve"> a m</w:t>
      </w:r>
      <w:r w:rsidR="00B51749" w:rsidRPr="006670C7">
        <w:rPr>
          <w:rFonts w:asciiTheme="minorHAnsi" w:hAnsiTheme="minorHAnsi"/>
        </w:rPr>
        <w:t xml:space="preserve">otivačnú úlohu má </w:t>
      </w:r>
      <w:r w:rsidR="008672D5">
        <w:rPr>
          <w:rFonts w:asciiTheme="minorHAnsi" w:hAnsiTheme="minorHAnsi"/>
        </w:rPr>
        <w:t xml:space="preserve">aj </w:t>
      </w:r>
      <w:r w:rsidR="00B51749" w:rsidRPr="006670C7">
        <w:rPr>
          <w:rFonts w:asciiTheme="minorHAnsi" w:hAnsiTheme="minorHAnsi"/>
        </w:rPr>
        <w:t xml:space="preserve">každoročná súťaž o titul </w:t>
      </w:r>
      <w:r w:rsidR="00B51749" w:rsidRPr="006670C7">
        <w:rPr>
          <w:rFonts w:asciiTheme="minorHAnsi" w:hAnsiTheme="minorHAnsi"/>
          <w:b/>
        </w:rPr>
        <w:t>Vedec roka STU</w:t>
      </w:r>
      <w:r w:rsidR="00B51749" w:rsidRPr="006670C7">
        <w:rPr>
          <w:rFonts w:asciiTheme="minorHAnsi" w:hAnsiTheme="minorHAnsi"/>
        </w:rPr>
        <w:t xml:space="preserve"> </w:t>
      </w:r>
      <w:r w:rsidR="00B51749" w:rsidRPr="006670C7">
        <w:rPr>
          <w:rFonts w:asciiTheme="minorHAnsi" w:hAnsiTheme="minorHAnsi"/>
          <w:b/>
        </w:rPr>
        <w:t>a Mladý vedecký pracovník STU</w:t>
      </w:r>
      <w:r w:rsidR="00B51749" w:rsidRPr="006670C7">
        <w:rPr>
          <w:rFonts w:asciiTheme="minorHAnsi" w:hAnsiTheme="minorHAnsi"/>
        </w:rPr>
        <w:t xml:space="preserve">. Cenu Vedec roka STU </w:t>
      </w:r>
      <w:r w:rsidR="0032685C" w:rsidRPr="006670C7">
        <w:rPr>
          <w:rFonts w:asciiTheme="minorHAnsi" w:hAnsiTheme="minorHAnsi"/>
        </w:rPr>
        <w:t xml:space="preserve">2015 </w:t>
      </w:r>
      <w:r w:rsidR="00462738" w:rsidRPr="006670C7">
        <w:rPr>
          <w:rFonts w:asciiTheme="minorHAnsi" w:hAnsiTheme="minorHAnsi"/>
        </w:rPr>
        <w:t>získal</w:t>
      </w:r>
      <w:r w:rsidR="00462738" w:rsidRPr="006670C7">
        <w:rPr>
          <w:rFonts w:asciiTheme="minorHAnsi" w:eastAsia="Times New Roman" w:hAnsiTheme="minorHAnsi"/>
          <w:b/>
          <w:bCs/>
          <w:lang w:eastAsia="sk-SK"/>
        </w:rPr>
        <w:t xml:space="preserve"> prof. Ing. Marcel </w:t>
      </w:r>
      <w:proofErr w:type="spellStart"/>
      <w:r w:rsidR="00462738" w:rsidRPr="006670C7">
        <w:rPr>
          <w:rFonts w:asciiTheme="minorHAnsi" w:eastAsia="Times New Roman" w:hAnsiTheme="minorHAnsi"/>
          <w:b/>
          <w:bCs/>
          <w:lang w:eastAsia="sk-SK"/>
        </w:rPr>
        <w:t>Miglierini</w:t>
      </w:r>
      <w:proofErr w:type="spellEnd"/>
      <w:r w:rsidR="00462738" w:rsidRPr="006670C7">
        <w:rPr>
          <w:rFonts w:asciiTheme="minorHAnsi" w:eastAsia="Times New Roman" w:hAnsiTheme="minorHAnsi"/>
          <w:b/>
          <w:bCs/>
          <w:lang w:eastAsia="sk-SK"/>
        </w:rPr>
        <w:t xml:space="preserve">, </w:t>
      </w:r>
      <w:proofErr w:type="spellStart"/>
      <w:r w:rsidR="00462738" w:rsidRPr="006670C7">
        <w:rPr>
          <w:rFonts w:asciiTheme="minorHAnsi" w:eastAsia="Times New Roman" w:hAnsiTheme="minorHAnsi"/>
          <w:b/>
          <w:bCs/>
          <w:lang w:eastAsia="sk-SK"/>
        </w:rPr>
        <w:t>DrSC</w:t>
      </w:r>
      <w:proofErr w:type="spellEnd"/>
      <w:r w:rsidR="00462738" w:rsidRPr="006670C7">
        <w:rPr>
          <w:rFonts w:asciiTheme="minorHAnsi" w:eastAsia="Times New Roman" w:hAnsiTheme="minorHAnsi"/>
          <w:b/>
          <w:bCs/>
          <w:lang w:eastAsia="sk-SK"/>
        </w:rPr>
        <w:t xml:space="preserve">.. </w:t>
      </w:r>
      <w:r w:rsidR="00462738" w:rsidRPr="006670C7">
        <w:rPr>
          <w:rFonts w:asciiTheme="minorHAnsi" w:eastAsia="Times New Roman" w:hAnsiTheme="minorHAnsi"/>
          <w:lang w:eastAsia="sk-SK"/>
        </w:rPr>
        <w:t xml:space="preserve">Ocenený bol za súbor vedeckých prác, ktoré sa venujú </w:t>
      </w:r>
      <w:r w:rsidR="006670C7" w:rsidRPr="006670C7">
        <w:rPr>
          <w:rFonts w:asciiTheme="minorHAnsi" w:eastAsia="Times New Roman" w:hAnsiTheme="minorHAnsi"/>
          <w:lang w:eastAsia="sk-SK"/>
        </w:rPr>
        <w:t>aplikáciám</w:t>
      </w:r>
      <w:r w:rsidR="00462738" w:rsidRPr="006670C7">
        <w:rPr>
          <w:rFonts w:asciiTheme="minorHAnsi" w:eastAsia="Times New Roman" w:hAnsiTheme="minorHAnsi"/>
          <w:lang w:eastAsia="sk-SK"/>
        </w:rPr>
        <w:t xml:space="preserve"> jadrového rezonančného rozptylu </w:t>
      </w:r>
      <w:proofErr w:type="spellStart"/>
      <w:r w:rsidR="00462738" w:rsidRPr="006670C7">
        <w:rPr>
          <w:rFonts w:asciiTheme="minorHAnsi" w:eastAsia="Times New Roman" w:hAnsiTheme="minorHAnsi"/>
          <w:lang w:eastAsia="sk-SK"/>
        </w:rPr>
        <w:t>synchot</w:t>
      </w:r>
      <w:r w:rsidR="0027002D" w:rsidRPr="006670C7">
        <w:rPr>
          <w:rFonts w:asciiTheme="minorHAnsi" w:eastAsia="Times New Roman" w:hAnsiTheme="minorHAnsi"/>
          <w:lang w:eastAsia="sk-SK"/>
        </w:rPr>
        <w:t>r</w:t>
      </w:r>
      <w:r w:rsidR="00462738" w:rsidRPr="006670C7">
        <w:rPr>
          <w:rFonts w:asciiTheme="minorHAnsi" w:eastAsia="Times New Roman" w:hAnsiTheme="minorHAnsi"/>
          <w:lang w:eastAsia="sk-SK"/>
        </w:rPr>
        <w:t>ónového</w:t>
      </w:r>
      <w:proofErr w:type="spellEnd"/>
      <w:r w:rsidR="00462738" w:rsidRPr="006670C7">
        <w:rPr>
          <w:rFonts w:asciiTheme="minorHAnsi" w:eastAsia="Times New Roman" w:hAnsiTheme="minorHAnsi"/>
          <w:lang w:eastAsia="sk-SK"/>
        </w:rPr>
        <w:t xml:space="preserve"> žiarenia a za intenzívny výskum vlastností rôznych typov materiálov s využitím </w:t>
      </w:r>
      <w:proofErr w:type="spellStart"/>
      <w:r w:rsidR="00462738" w:rsidRPr="006670C7">
        <w:rPr>
          <w:rFonts w:asciiTheme="minorHAnsi" w:eastAsia="Times New Roman" w:hAnsiTheme="minorHAnsi"/>
          <w:lang w:eastAsia="sk-SK"/>
        </w:rPr>
        <w:t>Mössbauerovej</w:t>
      </w:r>
      <w:proofErr w:type="spellEnd"/>
      <w:r w:rsidR="00462738" w:rsidRPr="006670C7">
        <w:rPr>
          <w:rFonts w:asciiTheme="minorHAnsi" w:eastAsia="Times New Roman" w:hAnsiTheme="minorHAnsi"/>
          <w:lang w:eastAsia="sk-SK"/>
        </w:rPr>
        <w:t xml:space="preserve"> </w:t>
      </w:r>
      <w:proofErr w:type="spellStart"/>
      <w:r w:rsidR="00462738" w:rsidRPr="006670C7">
        <w:rPr>
          <w:rFonts w:asciiTheme="minorHAnsi" w:eastAsia="Times New Roman" w:hAnsiTheme="minorHAnsi"/>
          <w:lang w:eastAsia="sk-SK"/>
        </w:rPr>
        <w:t>spektrometrie</w:t>
      </w:r>
      <w:proofErr w:type="spellEnd"/>
      <w:r w:rsidR="00462738" w:rsidRPr="006670C7">
        <w:rPr>
          <w:rFonts w:asciiTheme="minorHAnsi" w:eastAsia="Times New Roman" w:hAnsiTheme="minorHAnsi"/>
          <w:lang w:eastAsia="sk-SK"/>
        </w:rPr>
        <w:t>.</w:t>
      </w:r>
      <w:r w:rsidR="0032685C" w:rsidRPr="006670C7">
        <w:rPr>
          <w:rFonts w:asciiTheme="minorHAnsi" w:eastAsia="Times New Roman" w:hAnsiTheme="minorHAnsi"/>
          <w:lang w:eastAsia="sk-SK"/>
        </w:rPr>
        <w:t xml:space="preserve"> </w:t>
      </w:r>
      <w:r w:rsidR="0032685C" w:rsidRPr="006670C7">
        <w:rPr>
          <w:rFonts w:asciiTheme="minorHAnsi" w:eastAsia="Times New Roman" w:hAnsiTheme="minorHAnsi"/>
          <w:b/>
          <w:lang w:eastAsia="sk-SK"/>
        </w:rPr>
        <w:t>Mladým vedeckým pracovníkom STU 2015</w:t>
      </w:r>
      <w:r w:rsidR="0032685C" w:rsidRPr="006670C7">
        <w:rPr>
          <w:rFonts w:asciiTheme="minorHAnsi" w:eastAsia="Times New Roman" w:hAnsiTheme="minorHAnsi"/>
          <w:lang w:eastAsia="sk-SK"/>
        </w:rPr>
        <w:t xml:space="preserve"> sa stal </w:t>
      </w:r>
      <w:r w:rsidR="00462738" w:rsidRPr="006670C7">
        <w:rPr>
          <w:rFonts w:asciiTheme="minorHAnsi" w:eastAsia="Times New Roman" w:hAnsiTheme="minorHAnsi"/>
          <w:b/>
          <w:bCs/>
          <w:lang w:eastAsia="sk-SK"/>
        </w:rPr>
        <w:t xml:space="preserve">Ing. Tomáš </w:t>
      </w:r>
      <w:proofErr w:type="spellStart"/>
      <w:r w:rsidR="00462738" w:rsidRPr="006670C7">
        <w:rPr>
          <w:rFonts w:asciiTheme="minorHAnsi" w:eastAsia="Times New Roman" w:hAnsiTheme="minorHAnsi"/>
          <w:b/>
          <w:bCs/>
          <w:lang w:eastAsia="sk-SK"/>
        </w:rPr>
        <w:t>Mackuľak</w:t>
      </w:r>
      <w:proofErr w:type="spellEnd"/>
      <w:r w:rsidR="00462738" w:rsidRPr="006670C7">
        <w:rPr>
          <w:rFonts w:asciiTheme="minorHAnsi" w:eastAsia="Times New Roman" w:hAnsiTheme="minorHAnsi"/>
          <w:b/>
          <w:bCs/>
          <w:lang w:eastAsia="sk-SK"/>
        </w:rPr>
        <w:t>, PhD.</w:t>
      </w:r>
      <w:r>
        <w:rPr>
          <w:rFonts w:asciiTheme="minorHAnsi" w:eastAsia="Times New Roman" w:hAnsiTheme="minorHAnsi"/>
          <w:b/>
          <w:bCs/>
          <w:lang w:eastAsia="sk-SK"/>
        </w:rPr>
        <w:t xml:space="preserve">, </w:t>
      </w:r>
      <w:r w:rsidRPr="00B961D7">
        <w:rPr>
          <w:rFonts w:asciiTheme="minorHAnsi" w:eastAsia="Times New Roman" w:hAnsiTheme="minorHAnsi"/>
          <w:bCs/>
          <w:lang w:eastAsia="sk-SK"/>
        </w:rPr>
        <w:t>ktorý sa</w:t>
      </w:r>
      <w:r>
        <w:rPr>
          <w:rFonts w:asciiTheme="minorHAnsi" w:eastAsia="Times New Roman" w:hAnsiTheme="minorHAnsi"/>
          <w:b/>
          <w:bCs/>
          <w:lang w:eastAsia="sk-SK"/>
        </w:rPr>
        <w:t xml:space="preserve"> </w:t>
      </w:r>
      <w:r w:rsidR="00462738" w:rsidRPr="006670C7">
        <w:rPr>
          <w:rFonts w:asciiTheme="minorHAnsi" w:eastAsia="Times New Roman" w:hAnsiTheme="minorHAnsi"/>
          <w:lang w:eastAsia="sk-SK"/>
        </w:rPr>
        <w:t>zaoberá analýzou a monitoringom prítomnosti drog,  liečiv či pesticídov v odpadových vodách vo vybraných mestách Slovenska. Následne</w:t>
      </w:r>
      <w:r>
        <w:rPr>
          <w:rFonts w:asciiTheme="minorHAnsi" w:eastAsia="Times New Roman" w:hAnsiTheme="minorHAnsi"/>
          <w:lang w:eastAsia="sk-SK"/>
        </w:rPr>
        <w:t xml:space="preserve"> </w:t>
      </w:r>
      <w:r w:rsidR="00462738" w:rsidRPr="006670C7">
        <w:rPr>
          <w:rFonts w:asciiTheme="minorHAnsi" w:eastAsia="Times New Roman" w:hAnsiTheme="minorHAnsi"/>
          <w:lang w:eastAsia="sk-SK"/>
        </w:rPr>
        <w:t>s tímom hľadajú spôsoby de</w:t>
      </w:r>
      <w:r w:rsidR="00155D7A">
        <w:rPr>
          <w:rFonts w:asciiTheme="minorHAnsi" w:eastAsia="Times New Roman" w:hAnsiTheme="minorHAnsi"/>
          <w:lang w:eastAsia="sk-SK"/>
        </w:rPr>
        <w:t xml:space="preserve">gradácie týchto </w:t>
      </w:r>
      <w:proofErr w:type="spellStart"/>
      <w:r w:rsidR="00155D7A">
        <w:rPr>
          <w:rFonts w:asciiTheme="minorHAnsi" w:eastAsia="Times New Roman" w:hAnsiTheme="minorHAnsi"/>
          <w:lang w:eastAsia="sk-SK"/>
        </w:rPr>
        <w:t>mikropolutantov</w:t>
      </w:r>
      <w:proofErr w:type="spellEnd"/>
      <w:r w:rsidR="00462738" w:rsidRPr="006670C7">
        <w:rPr>
          <w:rFonts w:asciiTheme="minorHAnsi" w:eastAsia="Times New Roman" w:hAnsiTheme="minorHAnsi"/>
          <w:lang w:eastAsia="sk-SK"/>
        </w:rPr>
        <w:t>.</w:t>
      </w:r>
    </w:p>
    <w:p w:rsidR="00B961D7" w:rsidRDefault="00B961D7" w:rsidP="00155D7A">
      <w:pPr>
        <w:pStyle w:val="Normlnywebov"/>
        <w:shd w:val="clear" w:color="auto" w:fill="FFFFFF"/>
        <w:spacing w:before="0" w:beforeAutospacing="0" w:after="0" w:afterAutospacing="0"/>
        <w:rPr>
          <w:rStyle w:val="Siln"/>
          <w:rFonts w:asciiTheme="minorHAnsi" w:hAnsiTheme="minorHAnsi"/>
          <w:b w:val="0"/>
        </w:rPr>
      </w:pPr>
    </w:p>
    <w:p w:rsidR="00AB144C" w:rsidRDefault="00B51749" w:rsidP="00155D7A">
      <w:pPr>
        <w:pStyle w:val="Normlnywebov"/>
        <w:shd w:val="clear" w:color="auto" w:fill="FFFFFF"/>
        <w:spacing w:before="0" w:beforeAutospacing="0" w:after="0" w:afterAutospacing="0"/>
        <w:rPr>
          <w:rFonts w:asciiTheme="minorHAnsi" w:hAnsiTheme="minorHAnsi"/>
          <w:lang w:eastAsia="sk-SK"/>
        </w:rPr>
      </w:pPr>
      <w:r w:rsidRPr="006670C7">
        <w:rPr>
          <w:rStyle w:val="Siln"/>
          <w:rFonts w:asciiTheme="minorHAnsi" w:hAnsiTheme="minorHAnsi"/>
          <w:b w:val="0"/>
        </w:rPr>
        <w:t>Vedci a vedecké kolektívy STU získali</w:t>
      </w:r>
      <w:r w:rsidRPr="002D7A10">
        <w:rPr>
          <w:rStyle w:val="Siln"/>
          <w:rFonts w:asciiTheme="minorHAnsi" w:hAnsiTheme="minorHAnsi"/>
          <w:b w:val="0"/>
        </w:rPr>
        <w:t xml:space="preserve"> v roku 201</w:t>
      </w:r>
      <w:r w:rsidR="0032685C" w:rsidRPr="002D7A10">
        <w:rPr>
          <w:rStyle w:val="Siln"/>
          <w:rFonts w:asciiTheme="minorHAnsi" w:hAnsiTheme="minorHAnsi"/>
          <w:b w:val="0"/>
        </w:rPr>
        <w:t>5</w:t>
      </w:r>
      <w:r w:rsidRPr="002D7A10">
        <w:rPr>
          <w:rStyle w:val="Siln"/>
          <w:rFonts w:asciiTheme="minorHAnsi" w:hAnsiTheme="minorHAnsi"/>
          <w:b w:val="0"/>
        </w:rPr>
        <w:t xml:space="preserve"> </w:t>
      </w:r>
      <w:r w:rsidR="00B961D7">
        <w:rPr>
          <w:rStyle w:val="Siln"/>
          <w:rFonts w:asciiTheme="minorHAnsi" w:hAnsiTheme="minorHAnsi"/>
          <w:b w:val="0"/>
        </w:rPr>
        <w:t xml:space="preserve">opäť </w:t>
      </w:r>
      <w:r w:rsidRPr="002D7A10">
        <w:rPr>
          <w:rStyle w:val="Siln"/>
          <w:rFonts w:asciiTheme="minorHAnsi" w:hAnsiTheme="minorHAnsi"/>
          <w:b w:val="0"/>
        </w:rPr>
        <w:t xml:space="preserve">významné ocenia mimo univerzity. </w:t>
      </w:r>
      <w:r w:rsidRPr="002D7A10">
        <w:rPr>
          <w:rFonts w:asciiTheme="minorHAnsi" w:hAnsiTheme="minorHAnsi" w:cs="Arial"/>
          <w:b/>
          <w:bCs/>
          <w:lang w:eastAsia="sk-SK"/>
        </w:rPr>
        <w:t>V novembri 201</w:t>
      </w:r>
      <w:r w:rsidR="00732203" w:rsidRPr="002D7A10">
        <w:rPr>
          <w:rFonts w:asciiTheme="minorHAnsi" w:hAnsiTheme="minorHAnsi" w:cs="Arial"/>
          <w:b/>
          <w:bCs/>
          <w:lang w:eastAsia="sk-SK"/>
        </w:rPr>
        <w:t>5</w:t>
      </w:r>
      <w:r w:rsidRPr="002D7A10">
        <w:rPr>
          <w:rFonts w:asciiTheme="minorHAnsi" w:hAnsiTheme="minorHAnsi" w:cs="Arial"/>
          <w:b/>
          <w:bCs/>
          <w:lang w:eastAsia="sk-SK"/>
        </w:rPr>
        <w:t xml:space="preserve"> v rámci </w:t>
      </w:r>
      <w:r w:rsidRPr="002D7A10">
        <w:rPr>
          <w:rFonts w:asciiTheme="minorHAnsi" w:hAnsiTheme="minorHAnsi" w:cs="Arial"/>
          <w:lang w:eastAsia="sk-SK"/>
        </w:rPr>
        <w:t>podujatia </w:t>
      </w:r>
      <w:r w:rsidRPr="002D7A10">
        <w:rPr>
          <w:rFonts w:asciiTheme="minorHAnsi" w:hAnsiTheme="minorHAnsi" w:cs="Arial"/>
          <w:iCs/>
          <w:lang w:eastAsia="sk-SK"/>
        </w:rPr>
        <w:t xml:space="preserve">Týždeň vedy a techniky na Slovensku, </w:t>
      </w:r>
      <w:r w:rsidR="00732203" w:rsidRPr="002D7A10">
        <w:rPr>
          <w:rFonts w:asciiTheme="minorHAnsi" w:hAnsiTheme="minorHAnsi" w:cs="Arial"/>
          <w:iCs/>
          <w:lang w:eastAsia="sk-SK"/>
        </w:rPr>
        <w:t>išlo o cenu</w:t>
      </w:r>
      <w:r w:rsidR="00732203" w:rsidRPr="002D7A10">
        <w:rPr>
          <w:rFonts w:asciiTheme="minorHAnsi" w:hAnsiTheme="minorHAnsi"/>
          <w:lang w:eastAsia="sk-SK"/>
        </w:rPr>
        <w:t xml:space="preserve"> v kategórii</w:t>
      </w:r>
      <w:r w:rsidR="00732203" w:rsidRPr="002D7A10">
        <w:rPr>
          <w:rFonts w:asciiTheme="minorHAnsi" w:hAnsiTheme="minorHAnsi"/>
          <w:b/>
          <w:bCs/>
          <w:lang w:eastAsia="sk-SK"/>
        </w:rPr>
        <w:t xml:space="preserve"> "Najlepšie realizovaný transfer technológií" a v </w:t>
      </w:r>
      <w:r w:rsidR="00732203" w:rsidRPr="002D7A10">
        <w:rPr>
          <w:rFonts w:asciiTheme="minorHAnsi" w:hAnsiTheme="minorHAnsi"/>
          <w:lang w:eastAsia="sk-SK"/>
        </w:rPr>
        <w:t>kategórií </w:t>
      </w:r>
      <w:r w:rsidR="00732203" w:rsidRPr="002D7A10">
        <w:rPr>
          <w:rFonts w:asciiTheme="minorHAnsi" w:hAnsiTheme="minorHAnsi"/>
          <w:b/>
          <w:bCs/>
          <w:lang w:eastAsia="sk-SK"/>
        </w:rPr>
        <w:t xml:space="preserve">"Prístup </w:t>
      </w:r>
      <w:proofErr w:type="spellStart"/>
      <w:r w:rsidR="00732203" w:rsidRPr="002D7A10">
        <w:rPr>
          <w:rFonts w:asciiTheme="minorHAnsi" w:hAnsiTheme="minorHAnsi"/>
          <w:b/>
          <w:bCs/>
          <w:lang w:eastAsia="sk-SK"/>
        </w:rPr>
        <w:t>inovátora</w:t>
      </w:r>
      <w:proofErr w:type="spellEnd"/>
      <w:r w:rsidR="00732203" w:rsidRPr="002D7A10">
        <w:rPr>
          <w:rFonts w:asciiTheme="minorHAnsi" w:hAnsiTheme="minorHAnsi"/>
          <w:b/>
          <w:bCs/>
          <w:lang w:eastAsia="sk-SK"/>
        </w:rPr>
        <w:t xml:space="preserve"> k realizácií transferu technológií". </w:t>
      </w:r>
      <w:r w:rsidR="00732203" w:rsidRPr="002D7A10">
        <w:rPr>
          <w:rFonts w:asciiTheme="minorHAnsi" w:hAnsiTheme="minorHAnsi"/>
          <w:bCs/>
          <w:lang w:eastAsia="sk-SK"/>
        </w:rPr>
        <w:t xml:space="preserve">Prvú </w:t>
      </w:r>
      <w:r w:rsidR="008672D5">
        <w:rPr>
          <w:rFonts w:asciiTheme="minorHAnsi" w:hAnsiTheme="minorHAnsi"/>
          <w:bCs/>
          <w:lang w:eastAsia="sk-SK"/>
        </w:rPr>
        <w:t>z</w:t>
      </w:r>
      <w:r w:rsidR="00732203" w:rsidRPr="002D7A10">
        <w:rPr>
          <w:rFonts w:asciiTheme="minorHAnsi" w:hAnsiTheme="minorHAnsi"/>
          <w:bCs/>
          <w:lang w:eastAsia="sk-SK"/>
        </w:rPr>
        <w:t xml:space="preserve"> cien získala </w:t>
      </w:r>
      <w:r w:rsidR="00732203" w:rsidRPr="002D7A10">
        <w:rPr>
          <w:rFonts w:asciiTheme="minorHAnsi" w:hAnsiTheme="minorHAnsi"/>
          <w:lang w:eastAsia="sk-SK"/>
        </w:rPr>
        <w:t xml:space="preserve">Kancelária spolupráce s praxou STU za Prísadu na zvýšenie </w:t>
      </w:r>
      <w:proofErr w:type="spellStart"/>
      <w:r w:rsidR="00732203" w:rsidRPr="002D7A10">
        <w:rPr>
          <w:rFonts w:asciiTheme="minorHAnsi" w:hAnsiTheme="minorHAnsi"/>
          <w:lang w:eastAsia="sk-SK"/>
        </w:rPr>
        <w:t>cetánového</w:t>
      </w:r>
      <w:proofErr w:type="spellEnd"/>
      <w:r w:rsidR="00732203" w:rsidRPr="002D7A10">
        <w:rPr>
          <w:rFonts w:asciiTheme="minorHAnsi" w:hAnsiTheme="minorHAnsi"/>
          <w:lang w:eastAsia="sk-SK"/>
        </w:rPr>
        <w:t xml:space="preserve"> čísla dieselových palív alebo </w:t>
      </w:r>
      <w:proofErr w:type="spellStart"/>
      <w:r w:rsidR="00732203" w:rsidRPr="002D7A10">
        <w:rPr>
          <w:rFonts w:asciiTheme="minorHAnsi" w:hAnsiTheme="minorHAnsi"/>
          <w:lang w:eastAsia="sk-SK"/>
        </w:rPr>
        <w:t>biodieselových</w:t>
      </w:r>
      <w:proofErr w:type="spellEnd"/>
      <w:r w:rsidR="00732203" w:rsidRPr="002D7A10">
        <w:rPr>
          <w:rFonts w:asciiTheme="minorHAnsi" w:hAnsiTheme="minorHAnsi"/>
          <w:lang w:eastAsia="sk-SK"/>
        </w:rPr>
        <w:t xml:space="preserve"> palív a jej použitie. </w:t>
      </w:r>
      <w:r w:rsidR="001A1A44" w:rsidRPr="002D7A10">
        <w:rPr>
          <w:rFonts w:asciiTheme="minorHAnsi" w:hAnsiTheme="minorHAnsi"/>
          <w:lang w:eastAsia="sk-SK"/>
        </w:rPr>
        <w:t>Druhú získal </w:t>
      </w:r>
      <w:r w:rsidR="001A1A44" w:rsidRPr="002D7A10">
        <w:rPr>
          <w:rFonts w:asciiTheme="minorHAnsi" w:hAnsiTheme="minorHAnsi"/>
          <w:b/>
          <w:bCs/>
          <w:lang w:eastAsia="sk-SK"/>
        </w:rPr>
        <w:t xml:space="preserve">doc. Ing. František </w:t>
      </w:r>
      <w:proofErr w:type="spellStart"/>
      <w:r w:rsidR="001A1A44" w:rsidRPr="002D7A10">
        <w:rPr>
          <w:rFonts w:asciiTheme="minorHAnsi" w:hAnsiTheme="minorHAnsi"/>
          <w:b/>
          <w:bCs/>
          <w:lang w:eastAsia="sk-SK"/>
        </w:rPr>
        <w:t>Duchoň</w:t>
      </w:r>
      <w:proofErr w:type="spellEnd"/>
      <w:r w:rsidR="001A1A44" w:rsidRPr="002D7A10">
        <w:rPr>
          <w:rFonts w:asciiTheme="minorHAnsi" w:hAnsiTheme="minorHAnsi"/>
          <w:b/>
          <w:bCs/>
          <w:lang w:eastAsia="sk-SK"/>
        </w:rPr>
        <w:t>, PhD. a kolektív </w:t>
      </w:r>
      <w:r w:rsidR="001A1A44" w:rsidRPr="002D7A10">
        <w:rPr>
          <w:rFonts w:asciiTheme="minorHAnsi" w:hAnsiTheme="minorHAnsi"/>
          <w:lang w:eastAsia="sk-SK"/>
        </w:rPr>
        <w:t>z Fakulty ele</w:t>
      </w:r>
      <w:r w:rsidR="009A0E6F" w:rsidRPr="002D7A10">
        <w:rPr>
          <w:rFonts w:asciiTheme="minorHAnsi" w:hAnsiTheme="minorHAnsi"/>
          <w:lang w:eastAsia="sk-SK"/>
        </w:rPr>
        <w:t>ktrotechniky a informatiky STU.</w:t>
      </w:r>
      <w:r w:rsidR="00B961D7">
        <w:rPr>
          <w:rFonts w:asciiTheme="minorHAnsi" w:hAnsiTheme="minorHAnsi"/>
          <w:lang w:eastAsia="sk-SK"/>
        </w:rPr>
        <w:t xml:space="preserve"> </w:t>
      </w:r>
      <w:r w:rsidR="00AB144C" w:rsidRPr="002D7A10">
        <w:rPr>
          <w:rFonts w:asciiTheme="minorHAnsi" w:hAnsiTheme="minorHAnsi" w:cs="Arial"/>
          <w:lang w:eastAsia="sk-SK"/>
        </w:rPr>
        <w:t xml:space="preserve">Medzi ďalšie ocenenia patrí aj </w:t>
      </w:r>
      <w:r w:rsidR="00AB144C" w:rsidRPr="002D7A10">
        <w:rPr>
          <w:rFonts w:asciiTheme="minorHAnsi" w:hAnsiTheme="minorHAnsi"/>
          <w:b/>
        </w:rPr>
        <w:t>Národná cena za produktový dizajn</w:t>
      </w:r>
      <w:r w:rsidR="00AB144C" w:rsidRPr="002D7A10">
        <w:rPr>
          <w:rFonts w:asciiTheme="minorHAnsi" w:hAnsiTheme="minorHAnsi"/>
        </w:rPr>
        <w:t xml:space="preserve"> 2015</w:t>
      </w:r>
      <w:r w:rsidR="004175B2">
        <w:rPr>
          <w:rFonts w:asciiTheme="minorHAnsi" w:hAnsiTheme="minorHAnsi"/>
        </w:rPr>
        <w:t>, ktorú</w:t>
      </w:r>
      <w:r w:rsidR="00AB144C" w:rsidRPr="002D7A10">
        <w:rPr>
          <w:rFonts w:asciiTheme="minorHAnsi" w:hAnsiTheme="minorHAnsi"/>
        </w:rPr>
        <w:t xml:space="preserve"> získal s hasiacim </w:t>
      </w:r>
      <w:proofErr w:type="spellStart"/>
      <w:r w:rsidR="00AB144C" w:rsidRPr="002D7A10">
        <w:rPr>
          <w:rFonts w:asciiTheme="minorHAnsi" w:hAnsiTheme="minorHAnsi"/>
        </w:rPr>
        <w:t>dronom</w:t>
      </w:r>
      <w:proofErr w:type="spellEnd"/>
      <w:r w:rsidR="00AB144C" w:rsidRPr="002D7A10">
        <w:rPr>
          <w:rFonts w:asciiTheme="minorHAnsi" w:hAnsiTheme="minorHAnsi"/>
        </w:rPr>
        <w:t xml:space="preserve"> študent Ústav dizajnu FA STU Adam Tóth  pod vedením pedagóga Tomáša Nagyho. </w:t>
      </w:r>
      <w:r w:rsidR="009A0E6F" w:rsidRPr="002D7A10">
        <w:rPr>
          <w:rFonts w:asciiTheme="minorHAnsi" w:hAnsiTheme="minorHAnsi"/>
        </w:rPr>
        <w:t xml:space="preserve">Cenu poroty získal projekt </w:t>
      </w:r>
      <w:proofErr w:type="spellStart"/>
      <w:r w:rsidR="009A0E6F" w:rsidRPr="002D7A10">
        <w:rPr>
          <w:rFonts w:asciiTheme="minorHAnsi" w:hAnsiTheme="minorHAnsi"/>
        </w:rPr>
        <w:t>Flowers</w:t>
      </w:r>
      <w:proofErr w:type="spellEnd"/>
      <w:r w:rsidR="009A0E6F" w:rsidRPr="002D7A10">
        <w:rPr>
          <w:rFonts w:asciiTheme="minorHAnsi" w:hAnsiTheme="minorHAnsi"/>
        </w:rPr>
        <w:t xml:space="preserve"> </w:t>
      </w:r>
      <w:proofErr w:type="spellStart"/>
      <w:r w:rsidR="009A0E6F" w:rsidRPr="002D7A10">
        <w:rPr>
          <w:rFonts w:asciiTheme="minorHAnsi" w:hAnsiTheme="minorHAnsi"/>
        </w:rPr>
        <w:t>for</w:t>
      </w:r>
      <w:proofErr w:type="spellEnd"/>
      <w:r w:rsidR="009A0E6F" w:rsidRPr="002D7A10">
        <w:rPr>
          <w:rFonts w:asciiTheme="minorHAnsi" w:hAnsiTheme="minorHAnsi"/>
        </w:rPr>
        <w:t xml:space="preserve"> Slovakia: </w:t>
      </w:r>
      <w:proofErr w:type="spellStart"/>
      <w:r w:rsidR="009A0E6F" w:rsidRPr="002D7A10">
        <w:rPr>
          <w:rFonts w:asciiTheme="minorHAnsi" w:hAnsiTheme="minorHAnsi"/>
        </w:rPr>
        <w:t>Lost</w:t>
      </w:r>
      <w:proofErr w:type="spellEnd"/>
      <w:r w:rsidR="009A0E6F" w:rsidRPr="002D7A10">
        <w:rPr>
          <w:rFonts w:asciiTheme="minorHAnsi" w:hAnsiTheme="minorHAnsi"/>
        </w:rPr>
        <w:t xml:space="preserve"> &amp; </w:t>
      </w:r>
      <w:proofErr w:type="spellStart"/>
      <w:r w:rsidR="009A0E6F" w:rsidRPr="002D7A10">
        <w:rPr>
          <w:rFonts w:asciiTheme="minorHAnsi" w:hAnsiTheme="minorHAnsi"/>
        </w:rPr>
        <w:t>Found</w:t>
      </w:r>
      <w:proofErr w:type="spellEnd"/>
      <w:r w:rsidR="004175B2">
        <w:rPr>
          <w:rFonts w:asciiTheme="minorHAnsi" w:hAnsiTheme="minorHAnsi"/>
        </w:rPr>
        <w:t>, ktorý pravidelne</w:t>
      </w:r>
      <w:r w:rsidR="009A0E6F" w:rsidRPr="002D7A10">
        <w:rPr>
          <w:rFonts w:asciiTheme="minorHAnsi" w:hAnsiTheme="minorHAnsi"/>
        </w:rPr>
        <w:t xml:space="preserve"> organizujú absolvent  Ústavu dizajnu FA STU Peter </w:t>
      </w:r>
      <w:proofErr w:type="spellStart"/>
      <w:r w:rsidR="009A0E6F" w:rsidRPr="002D7A10">
        <w:rPr>
          <w:rFonts w:asciiTheme="minorHAnsi" w:hAnsiTheme="minorHAnsi"/>
        </w:rPr>
        <w:t>Olah</w:t>
      </w:r>
      <w:proofErr w:type="spellEnd"/>
      <w:r w:rsidR="009A0E6F" w:rsidRPr="002D7A10">
        <w:rPr>
          <w:rFonts w:asciiTheme="minorHAnsi" w:hAnsiTheme="minorHAnsi"/>
        </w:rPr>
        <w:t xml:space="preserve"> spolu s dizajnérom </w:t>
      </w:r>
      <w:proofErr w:type="spellStart"/>
      <w:r w:rsidR="009A0E6F" w:rsidRPr="002D7A10">
        <w:rPr>
          <w:rFonts w:asciiTheme="minorHAnsi" w:hAnsiTheme="minorHAnsi"/>
        </w:rPr>
        <w:t>Larsom</w:t>
      </w:r>
      <w:proofErr w:type="spellEnd"/>
      <w:r w:rsidR="009A0E6F" w:rsidRPr="002D7A10">
        <w:rPr>
          <w:rFonts w:asciiTheme="minorHAnsi" w:hAnsiTheme="minorHAnsi"/>
        </w:rPr>
        <w:t xml:space="preserve"> </w:t>
      </w:r>
      <w:proofErr w:type="spellStart"/>
      <w:r w:rsidR="009A0E6F" w:rsidRPr="002D7A10">
        <w:rPr>
          <w:rFonts w:asciiTheme="minorHAnsi" w:hAnsiTheme="minorHAnsi"/>
        </w:rPr>
        <w:t>Kemperom</w:t>
      </w:r>
      <w:proofErr w:type="spellEnd"/>
      <w:r w:rsidR="009A0E6F" w:rsidRPr="002D7A10">
        <w:rPr>
          <w:rFonts w:asciiTheme="minorHAnsi" w:hAnsiTheme="minorHAnsi"/>
        </w:rPr>
        <w:t xml:space="preserve"> a pedagogičkou Ústavu dizajnu FA STU Michaelou </w:t>
      </w:r>
      <w:proofErr w:type="spellStart"/>
      <w:r w:rsidR="009A0E6F" w:rsidRPr="002D7A10">
        <w:rPr>
          <w:rFonts w:asciiTheme="minorHAnsi" w:hAnsiTheme="minorHAnsi"/>
        </w:rPr>
        <w:t>Lipkovovou</w:t>
      </w:r>
      <w:proofErr w:type="spellEnd"/>
      <w:r w:rsidR="009A0E6F" w:rsidRPr="002D7A10">
        <w:rPr>
          <w:rFonts w:asciiTheme="minorHAnsi" w:hAnsiTheme="minorHAnsi"/>
        </w:rPr>
        <w:t>.</w:t>
      </w:r>
    </w:p>
    <w:p w:rsidR="00B961D7" w:rsidRDefault="00B961D7" w:rsidP="00B961D7">
      <w:pPr>
        <w:rPr>
          <w:rFonts w:asciiTheme="minorHAnsi" w:eastAsia="Times New Roman" w:hAnsiTheme="minorHAnsi"/>
          <w:lang w:eastAsia="sk-SK"/>
        </w:rPr>
      </w:pPr>
    </w:p>
    <w:p w:rsidR="0079302A" w:rsidRPr="002D7A10" w:rsidRDefault="00B961D7" w:rsidP="00B51749">
      <w:pPr>
        <w:rPr>
          <w:rFonts w:asciiTheme="minorHAnsi" w:hAnsiTheme="minorHAnsi"/>
        </w:rPr>
      </w:pPr>
      <w:r>
        <w:rPr>
          <w:rFonts w:asciiTheme="minorHAnsi" w:eastAsia="Times New Roman" w:hAnsiTheme="minorHAnsi"/>
          <w:lang w:eastAsia="sk-SK"/>
        </w:rPr>
        <w:t xml:space="preserve">Významnú časť rozpočtu  univerzity tvorili v roku 2015 štrukturálne fondy Európskej únie (takmer 80 mil. eur), ktoré boli použité na vybudovanie vedeckej infraštruktúry. </w:t>
      </w:r>
      <w:r w:rsidR="00B51749" w:rsidRPr="002D7A10">
        <w:rPr>
          <w:rFonts w:asciiTheme="minorHAnsi" w:hAnsiTheme="minorHAnsi"/>
        </w:rPr>
        <w:t xml:space="preserve">Slovenská technická univerzita </w:t>
      </w:r>
      <w:r w:rsidR="00937938" w:rsidRPr="002D7A10">
        <w:rPr>
          <w:rFonts w:asciiTheme="minorHAnsi" w:hAnsiTheme="minorHAnsi"/>
        </w:rPr>
        <w:t xml:space="preserve">dokončila </w:t>
      </w:r>
      <w:r>
        <w:rPr>
          <w:rFonts w:asciiTheme="minorHAnsi" w:hAnsiTheme="minorHAnsi"/>
        </w:rPr>
        <w:t xml:space="preserve">vďaka týmto zdrojom </w:t>
      </w:r>
      <w:r w:rsidR="00937938" w:rsidRPr="002D7A10">
        <w:rPr>
          <w:rFonts w:asciiTheme="minorHAnsi" w:hAnsiTheme="minorHAnsi"/>
        </w:rPr>
        <w:t>v roku 2015</w:t>
      </w:r>
      <w:r w:rsidR="00B51749" w:rsidRPr="002D7A10">
        <w:rPr>
          <w:rFonts w:asciiTheme="minorHAnsi" w:hAnsiTheme="minorHAnsi"/>
        </w:rPr>
        <w:t xml:space="preserve"> významn</w:t>
      </w:r>
      <w:r w:rsidR="00937938" w:rsidRPr="002D7A10">
        <w:rPr>
          <w:rFonts w:asciiTheme="minorHAnsi" w:hAnsiTheme="minorHAnsi"/>
        </w:rPr>
        <w:t>é</w:t>
      </w:r>
      <w:r w:rsidR="00B51749" w:rsidRPr="002D7A10">
        <w:rPr>
          <w:rFonts w:asciiTheme="minorHAnsi" w:hAnsiTheme="minorHAnsi"/>
        </w:rPr>
        <w:t xml:space="preserve"> rozvojov</w:t>
      </w:r>
      <w:r w:rsidR="00937938" w:rsidRPr="002D7A10">
        <w:rPr>
          <w:rFonts w:asciiTheme="minorHAnsi" w:hAnsiTheme="minorHAnsi"/>
        </w:rPr>
        <w:t>é</w:t>
      </w:r>
      <w:r w:rsidR="00B51749" w:rsidRPr="002D7A10">
        <w:rPr>
          <w:rFonts w:asciiTheme="minorHAnsi" w:hAnsiTheme="minorHAnsi"/>
        </w:rPr>
        <w:t xml:space="preserve"> projekt</w:t>
      </w:r>
      <w:r w:rsidR="00937938" w:rsidRPr="002D7A10">
        <w:rPr>
          <w:rFonts w:asciiTheme="minorHAnsi" w:hAnsiTheme="minorHAnsi"/>
        </w:rPr>
        <w:t>y</w:t>
      </w:r>
      <w:r w:rsidR="00B51749" w:rsidRPr="002D7A10">
        <w:rPr>
          <w:rFonts w:asciiTheme="minorHAnsi" w:hAnsiTheme="minorHAnsi"/>
        </w:rPr>
        <w:t xml:space="preserve"> – </w:t>
      </w:r>
      <w:r w:rsidR="00937938" w:rsidRPr="002D7A10">
        <w:rPr>
          <w:rFonts w:asciiTheme="minorHAnsi" w:hAnsiTheme="minorHAnsi"/>
        </w:rPr>
        <w:t xml:space="preserve"> projekt</w:t>
      </w:r>
      <w:r w:rsidR="00B51749" w:rsidRPr="002D7A10">
        <w:rPr>
          <w:rFonts w:asciiTheme="minorHAnsi" w:hAnsiTheme="minorHAnsi"/>
        </w:rPr>
        <w:t xml:space="preserve"> </w:t>
      </w:r>
      <w:r w:rsidR="00B51749" w:rsidRPr="002D7A10">
        <w:rPr>
          <w:rFonts w:asciiTheme="minorHAnsi" w:hAnsiTheme="minorHAnsi"/>
          <w:b/>
        </w:rPr>
        <w:t xml:space="preserve">Univerzitného vedeckého parku </w:t>
      </w:r>
      <w:proofErr w:type="spellStart"/>
      <w:r w:rsidR="00B51749" w:rsidRPr="002D7A10">
        <w:rPr>
          <w:rFonts w:asciiTheme="minorHAnsi" w:hAnsiTheme="minorHAnsi"/>
          <w:b/>
        </w:rPr>
        <w:t>Science</w:t>
      </w:r>
      <w:proofErr w:type="spellEnd"/>
      <w:r w:rsidR="00B51749" w:rsidRPr="002D7A10">
        <w:rPr>
          <w:rFonts w:asciiTheme="minorHAnsi" w:hAnsiTheme="minorHAnsi"/>
          <w:b/>
        </w:rPr>
        <w:t xml:space="preserve"> City v Bratislave </w:t>
      </w:r>
      <w:r w:rsidR="00B51749" w:rsidRPr="002D7A10">
        <w:rPr>
          <w:rFonts w:asciiTheme="minorHAnsi" w:hAnsiTheme="minorHAnsi"/>
        </w:rPr>
        <w:t>a</w:t>
      </w:r>
      <w:r w:rsidR="00937938" w:rsidRPr="002D7A10">
        <w:rPr>
          <w:rFonts w:asciiTheme="minorHAnsi" w:hAnsiTheme="minorHAnsi"/>
        </w:rPr>
        <w:t> projekt</w:t>
      </w:r>
      <w:r w:rsidR="00937938" w:rsidRPr="002D7A10">
        <w:rPr>
          <w:rFonts w:asciiTheme="minorHAnsi" w:hAnsiTheme="minorHAnsi"/>
          <w:b/>
        </w:rPr>
        <w:t xml:space="preserve"> </w:t>
      </w:r>
      <w:r w:rsidR="00B51749" w:rsidRPr="002D7A10">
        <w:rPr>
          <w:rFonts w:asciiTheme="minorHAnsi" w:hAnsiTheme="minorHAnsi"/>
          <w:b/>
        </w:rPr>
        <w:t xml:space="preserve">Univerzitného vedeckého parku </w:t>
      </w:r>
      <w:proofErr w:type="spellStart"/>
      <w:r w:rsidR="00B51749" w:rsidRPr="002D7A10">
        <w:rPr>
          <w:rFonts w:asciiTheme="minorHAnsi" w:hAnsiTheme="minorHAnsi"/>
          <w:b/>
        </w:rPr>
        <w:t>Cambo</w:t>
      </w:r>
      <w:proofErr w:type="spellEnd"/>
      <w:r w:rsidR="00B51749" w:rsidRPr="002D7A10">
        <w:rPr>
          <w:rFonts w:asciiTheme="minorHAnsi" w:hAnsiTheme="minorHAnsi"/>
          <w:b/>
        </w:rPr>
        <w:t xml:space="preserve"> v Trnave.</w:t>
      </w:r>
      <w:r w:rsidR="00B51749" w:rsidRPr="002D7A10">
        <w:rPr>
          <w:rFonts w:asciiTheme="minorHAnsi" w:hAnsiTheme="minorHAnsi"/>
        </w:rPr>
        <w:t xml:space="preserve"> V </w:t>
      </w:r>
      <w:r w:rsidR="00AA366D">
        <w:rPr>
          <w:rFonts w:asciiTheme="minorHAnsi" w:hAnsiTheme="minorHAnsi"/>
        </w:rPr>
        <w:t>parkoch</w:t>
      </w:r>
      <w:r w:rsidR="00B51749" w:rsidRPr="002D7A10">
        <w:rPr>
          <w:rFonts w:asciiTheme="minorHAnsi" w:hAnsiTheme="minorHAnsi"/>
        </w:rPr>
        <w:t xml:space="preserve"> univerzita </w:t>
      </w:r>
      <w:r w:rsidR="0079302A" w:rsidRPr="002D7A10">
        <w:rPr>
          <w:rFonts w:asciiTheme="minorHAnsi" w:hAnsiTheme="minorHAnsi"/>
        </w:rPr>
        <w:t xml:space="preserve">vybudovala </w:t>
      </w:r>
      <w:r w:rsidR="0079302A" w:rsidRPr="002D7A10">
        <w:rPr>
          <w:rFonts w:asciiTheme="minorHAnsi" w:hAnsiTheme="minorHAnsi"/>
          <w:b/>
        </w:rPr>
        <w:t xml:space="preserve">nové </w:t>
      </w:r>
      <w:r w:rsidR="00B51749" w:rsidRPr="002D7A10">
        <w:rPr>
          <w:rFonts w:asciiTheme="minorHAnsi" w:hAnsiTheme="minorHAnsi"/>
          <w:b/>
        </w:rPr>
        <w:t>vedecké laboratória, ktoré zaria</w:t>
      </w:r>
      <w:r w:rsidR="0079302A" w:rsidRPr="002D7A10">
        <w:rPr>
          <w:rFonts w:asciiTheme="minorHAnsi" w:hAnsiTheme="minorHAnsi"/>
          <w:b/>
        </w:rPr>
        <w:t>dila</w:t>
      </w:r>
      <w:r w:rsidR="00B51749" w:rsidRPr="002D7A10">
        <w:rPr>
          <w:rFonts w:asciiTheme="minorHAnsi" w:hAnsiTheme="minorHAnsi"/>
          <w:b/>
        </w:rPr>
        <w:t xml:space="preserve"> špičkovými prístrojmi. </w:t>
      </w:r>
      <w:r w:rsidR="00B51749" w:rsidRPr="002D7A10">
        <w:rPr>
          <w:rFonts w:asciiTheme="minorHAnsi" w:hAnsiTheme="minorHAnsi"/>
        </w:rPr>
        <w:t xml:space="preserve">Niektoré pracoviská </w:t>
      </w:r>
      <w:r w:rsidR="0079302A" w:rsidRPr="002D7A10">
        <w:rPr>
          <w:rFonts w:asciiTheme="minorHAnsi" w:hAnsiTheme="minorHAnsi"/>
        </w:rPr>
        <w:t xml:space="preserve">na STU sú </w:t>
      </w:r>
      <w:r w:rsidR="00B51749" w:rsidRPr="002D7A10">
        <w:rPr>
          <w:rFonts w:asciiTheme="minorHAnsi" w:hAnsiTheme="minorHAnsi"/>
        </w:rPr>
        <w:t>unikátne v európskom rozmere, čo umož</w:t>
      </w:r>
      <w:r w:rsidR="0079302A" w:rsidRPr="002D7A10">
        <w:rPr>
          <w:rFonts w:asciiTheme="minorHAnsi" w:hAnsiTheme="minorHAnsi"/>
        </w:rPr>
        <w:t>ňuje</w:t>
      </w:r>
      <w:r w:rsidR="00B51749" w:rsidRPr="002D7A10">
        <w:rPr>
          <w:rFonts w:asciiTheme="minorHAnsi" w:hAnsiTheme="minorHAnsi"/>
        </w:rPr>
        <w:t xml:space="preserve"> </w:t>
      </w:r>
      <w:r w:rsidR="00B51749" w:rsidRPr="002D7A10">
        <w:rPr>
          <w:rFonts w:asciiTheme="minorHAnsi" w:hAnsiTheme="minorHAnsi"/>
          <w:bCs/>
        </w:rPr>
        <w:t>zintenzívniť spoluprácu domácich výskumných tímov s medzinárodnými tímami</w:t>
      </w:r>
      <w:r w:rsidR="00B51749" w:rsidRPr="002D7A10">
        <w:rPr>
          <w:rFonts w:asciiTheme="minorHAnsi" w:hAnsiTheme="minorHAnsi"/>
        </w:rPr>
        <w:t xml:space="preserve">. </w:t>
      </w:r>
    </w:p>
    <w:p w:rsidR="00855DAF" w:rsidRPr="00027E94" w:rsidRDefault="00800605" w:rsidP="00855DAF">
      <w:pPr>
        <w:rPr>
          <w:rFonts w:asciiTheme="minorHAnsi" w:hAnsiTheme="minorHAnsi"/>
        </w:rPr>
      </w:pPr>
      <w:r w:rsidRPr="002D7A10">
        <w:rPr>
          <w:rFonts w:asciiTheme="minorHAnsi" w:hAnsiTheme="minorHAnsi"/>
        </w:rPr>
        <w:t xml:space="preserve">Na </w:t>
      </w:r>
      <w:proofErr w:type="spellStart"/>
      <w:r w:rsidRPr="002D7A10">
        <w:rPr>
          <w:rFonts w:asciiTheme="minorHAnsi" w:hAnsiTheme="minorHAnsi"/>
        </w:rPr>
        <w:t>Materiálovotechnologickej</w:t>
      </w:r>
      <w:proofErr w:type="spellEnd"/>
      <w:r w:rsidRPr="002D7A10">
        <w:rPr>
          <w:rFonts w:asciiTheme="minorHAnsi" w:hAnsiTheme="minorHAnsi"/>
        </w:rPr>
        <w:t xml:space="preserve"> fakulte STU so sídlom v Trnave pribudli </w:t>
      </w:r>
      <w:r w:rsidRPr="002D7A10">
        <w:rPr>
          <w:rFonts w:asciiTheme="minorHAnsi" w:hAnsiTheme="minorHAnsi" w:cs="Arial"/>
          <w:b/>
        </w:rPr>
        <w:t xml:space="preserve">dva nové pavilóny s laboratóriami: Slovenské </w:t>
      </w:r>
      <w:proofErr w:type="spellStart"/>
      <w:r w:rsidRPr="002D7A10">
        <w:rPr>
          <w:rFonts w:asciiTheme="minorHAnsi" w:hAnsiTheme="minorHAnsi" w:cs="Arial"/>
          <w:b/>
        </w:rPr>
        <w:t>ionové</w:t>
      </w:r>
      <w:proofErr w:type="spellEnd"/>
      <w:r w:rsidRPr="002D7A10">
        <w:rPr>
          <w:rFonts w:asciiTheme="minorHAnsi" w:hAnsiTheme="minorHAnsi" w:cs="Arial"/>
          <w:b/>
        </w:rPr>
        <w:t xml:space="preserve"> centrum </w:t>
      </w:r>
      <w:proofErr w:type="spellStart"/>
      <w:r w:rsidRPr="002D7A10">
        <w:rPr>
          <w:rFonts w:asciiTheme="minorHAnsi" w:hAnsiTheme="minorHAnsi" w:cs="Arial"/>
          <w:b/>
        </w:rPr>
        <w:t>SlovakION</w:t>
      </w:r>
      <w:proofErr w:type="spellEnd"/>
      <w:r w:rsidRPr="002D7A10">
        <w:rPr>
          <w:rFonts w:asciiTheme="minorHAnsi" w:hAnsiTheme="minorHAnsi" w:cs="Arial"/>
          <w:b/>
        </w:rPr>
        <w:t xml:space="preserve"> </w:t>
      </w:r>
      <w:r w:rsidRPr="00BC409C">
        <w:rPr>
          <w:rFonts w:asciiTheme="minorHAnsi" w:hAnsiTheme="minorHAnsi" w:cs="Arial"/>
        </w:rPr>
        <w:t>a</w:t>
      </w:r>
      <w:r w:rsidRPr="002D7A10">
        <w:rPr>
          <w:rFonts w:asciiTheme="minorHAnsi" w:hAnsiTheme="minorHAnsi" w:cs="Arial"/>
          <w:b/>
        </w:rPr>
        <w:t> Výskumné pracovisko automatizácie a informatizácie výrobných procesov</w:t>
      </w:r>
      <w:r w:rsidRPr="002D7A10">
        <w:rPr>
          <w:rFonts w:asciiTheme="minorHAnsi" w:hAnsiTheme="minorHAnsi" w:cs="Arial"/>
        </w:rPr>
        <w:t xml:space="preserve"> </w:t>
      </w:r>
      <w:r w:rsidR="00AE5DC4" w:rsidRPr="002D7A10">
        <w:rPr>
          <w:rFonts w:asciiTheme="minorHAnsi" w:hAnsiTheme="minorHAnsi" w:cs="Arial"/>
        </w:rPr>
        <w:t xml:space="preserve">V budove rektorátu STU na Mýtnej ulici v rámci projektu UVP </w:t>
      </w:r>
      <w:proofErr w:type="spellStart"/>
      <w:r w:rsidR="00AE5DC4" w:rsidRPr="002D7A10">
        <w:rPr>
          <w:rFonts w:asciiTheme="minorHAnsi" w:hAnsiTheme="minorHAnsi" w:cs="Arial"/>
        </w:rPr>
        <w:t>Science</w:t>
      </w:r>
      <w:proofErr w:type="spellEnd"/>
      <w:r w:rsidR="00AE5DC4" w:rsidRPr="002D7A10">
        <w:rPr>
          <w:rFonts w:asciiTheme="minorHAnsi" w:hAnsiTheme="minorHAnsi" w:cs="Arial"/>
        </w:rPr>
        <w:t xml:space="preserve"> City Bratislava otvorila univerzita </w:t>
      </w:r>
      <w:r w:rsidR="003D7A29" w:rsidRPr="002D7A10">
        <w:rPr>
          <w:rFonts w:asciiTheme="minorHAnsi" w:hAnsiTheme="minorHAnsi" w:cs="Arial"/>
        </w:rPr>
        <w:t>n</w:t>
      </w:r>
      <w:r w:rsidR="00855DAF" w:rsidRPr="002D7A10">
        <w:rPr>
          <w:rFonts w:asciiTheme="minorHAnsi" w:hAnsiTheme="minorHAnsi" w:cs="Arial"/>
        </w:rPr>
        <w:t xml:space="preserve">ové </w:t>
      </w:r>
      <w:r w:rsidR="00855DAF" w:rsidRPr="002D7A10">
        <w:rPr>
          <w:rFonts w:asciiTheme="minorHAnsi" w:hAnsiTheme="minorHAnsi"/>
          <w:b/>
          <w:bCs/>
        </w:rPr>
        <w:t xml:space="preserve">Centrum pre </w:t>
      </w:r>
      <w:proofErr w:type="spellStart"/>
      <w:r w:rsidR="00855DAF" w:rsidRPr="002D7A10">
        <w:rPr>
          <w:rFonts w:asciiTheme="minorHAnsi" w:hAnsiTheme="minorHAnsi"/>
          <w:b/>
          <w:bCs/>
        </w:rPr>
        <w:t>nanodiagnostiku</w:t>
      </w:r>
      <w:proofErr w:type="spellEnd"/>
      <w:r w:rsidR="00855DAF" w:rsidRPr="002D7A10">
        <w:rPr>
          <w:rFonts w:asciiTheme="minorHAnsi" w:hAnsiTheme="minorHAnsi"/>
          <w:b/>
          <w:bCs/>
        </w:rPr>
        <w:t xml:space="preserve">. </w:t>
      </w:r>
      <w:r w:rsidR="00453A2B" w:rsidRPr="002D7A10">
        <w:rPr>
          <w:rFonts w:asciiTheme="minorHAnsi" w:hAnsiTheme="minorHAnsi"/>
          <w:bCs/>
        </w:rPr>
        <w:t xml:space="preserve">V Mlynskej doline na FIIT STU zase </w:t>
      </w:r>
      <w:r w:rsidR="00453A2B" w:rsidRPr="002D7A10">
        <w:rPr>
          <w:rFonts w:asciiTheme="minorHAnsi" w:hAnsiTheme="minorHAnsi"/>
        </w:rPr>
        <w:t>nové dátové centrum s </w:t>
      </w:r>
      <w:proofErr w:type="spellStart"/>
      <w:r w:rsidR="00453A2B" w:rsidRPr="002D7A10">
        <w:rPr>
          <w:rFonts w:asciiTheme="minorHAnsi" w:hAnsiTheme="minorHAnsi"/>
        </w:rPr>
        <w:t>cloudom</w:t>
      </w:r>
      <w:proofErr w:type="spellEnd"/>
      <w:r w:rsidR="00453A2B" w:rsidRPr="002D7A10">
        <w:rPr>
          <w:rFonts w:asciiTheme="minorHAnsi" w:hAnsiTheme="minorHAnsi"/>
        </w:rPr>
        <w:t xml:space="preserve"> či </w:t>
      </w:r>
      <w:r w:rsidR="00453A2B" w:rsidRPr="002D7A10">
        <w:rPr>
          <w:rFonts w:asciiTheme="minorHAnsi" w:hAnsiTheme="minorHAnsi"/>
          <w:iCs/>
        </w:rPr>
        <w:t> </w:t>
      </w:r>
      <w:r w:rsidR="00453A2B" w:rsidRPr="002D7A10">
        <w:rPr>
          <w:rFonts w:asciiTheme="minorHAnsi" w:hAnsiTheme="minorHAnsi"/>
          <w:bCs/>
          <w:iCs/>
        </w:rPr>
        <w:t xml:space="preserve">výskumné centrum používateľského zážitku </w:t>
      </w:r>
      <w:r w:rsidR="00293B62" w:rsidRPr="00027E94">
        <w:rPr>
          <w:rFonts w:asciiTheme="minorHAnsi" w:hAnsiTheme="minorHAnsi"/>
          <w:bCs/>
          <w:iCs/>
        </w:rPr>
        <w:t>a</w:t>
      </w:r>
      <w:r w:rsidR="00210AD1" w:rsidRPr="00027E94">
        <w:rPr>
          <w:rFonts w:asciiTheme="minorHAnsi" w:hAnsiTheme="minorHAnsi"/>
        </w:rPr>
        <w:t> na FEI STU pribudli špičkové prístroje v  laboratóriách mikrovlnných a optických systémov, mobil</w:t>
      </w:r>
      <w:r w:rsidR="006670C7" w:rsidRPr="00027E94">
        <w:rPr>
          <w:rFonts w:asciiTheme="minorHAnsi" w:hAnsiTheme="minorHAnsi"/>
        </w:rPr>
        <w:t>n</w:t>
      </w:r>
      <w:r w:rsidR="00210AD1" w:rsidRPr="00027E94">
        <w:rPr>
          <w:rFonts w:asciiTheme="minorHAnsi" w:hAnsiTheme="minorHAnsi"/>
        </w:rPr>
        <w:t xml:space="preserve">ej siete 4. generácie, v laboratórium pre výskum </w:t>
      </w:r>
      <w:proofErr w:type="spellStart"/>
      <w:r w:rsidR="00210AD1" w:rsidRPr="00027E94">
        <w:rPr>
          <w:rFonts w:asciiTheme="minorHAnsi" w:hAnsiTheme="minorHAnsi"/>
        </w:rPr>
        <w:t>elektromobility</w:t>
      </w:r>
      <w:proofErr w:type="spellEnd"/>
      <w:r w:rsidR="00210AD1" w:rsidRPr="00027E94">
        <w:rPr>
          <w:rFonts w:asciiTheme="minorHAnsi" w:hAnsiTheme="minorHAnsi"/>
        </w:rPr>
        <w:t xml:space="preserve"> či </w:t>
      </w:r>
      <w:proofErr w:type="spellStart"/>
      <w:r w:rsidR="00210AD1" w:rsidRPr="00027E94">
        <w:rPr>
          <w:rFonts w:asciiTheme="minorHAnsi" w:hAnsiTheme="minorHAnsi"/>
        </w:rPr>
        <w:t>nanotechnológií</w:t>
      </w:r>
      <w:proofErr w:type="spellEnd"/>
      <w:r w:rsidR="00293B62" w:rsidRPr="00027E94">
        <w:rPr>
          <w:rFonts w:asciiTheme="minorHAnsi" w:hAnsiTheme="minorHAnsi"/>
        </w:rPr>
        <w:t xml:space="preserve"> a v ďalších</w:t>
      </w:r>
      <w:r w:rsidR="00210AD1" w:rsidRPr="00027E94">
        <w:rPr>
          <w:rFonts w:asciiTheme="minorHAnsi" w:hAnsiTheme="minorHAnsi"/>
        </w:rPr>
        <w:t>.</w:t>
      </w:r>
    </w:p>
    <w:p w:rsidR="00027E94" w:rsidRPr="00027E94" w:rsidRDefault="00027E94" w:rsidP="00027E94">
      <w:pPr>
        <w:rPr>
          <w:rFonts w:asciiTheme="minorHAnsi" w:hAnsiTheme="minorHAnsi"/>
        </w:rPr>
      </w:pPr>
      <w:r w:rsidRPr="00027E94">
        <w:rPr>
          <w:rFonts w:asciiTheme="minorHAnsi" w:hAnsiTheme="minorHAnsi"/>
        </w:rPr>
        <w:t xml:space="preserve">Rok 2015 bol z hľadiska čerpania štrukturálnych fondov posledným rokom pre vyčerpanie financií pridelených </w:t>
      </w:r>
      <w:r w:rsidRPr="00027E94">
        <w:rPr>
          <w:rFonts w:asciiTheme="minorHAnsi" w:hAnsiTheme="minorHAnsi"/>
          <w:b/>
        </w:rPr>
        <w:t xml:space="preserve">v rámci programovacieho obdobia 2007-2013. V tomto programovacom období sa STU sa podarilo </w:t>
      </w:r>
      <w:proofErr w:type="spellStart"/>
      <w:r w:rsidRPr="00027E94">
        <w:rPr>
          <w:rFonts w:asciiTheme="minorHAnsi" w:hAnsiTheme="minorHAnsi"/>
          <w:b/>
        </w:rPr>
        <w:t>prefinancovať</w:t>
      </w:r>
      <w:proofErr w:type="spellEnd"/>
      <w:r w:rsidRPr="00027E94">
        <w:rPr>
          <w:rFonts w:asciiTheme="minorHAnsi" w:hAnsiTheme="minorHAnsi"/>
          <w:b/>
        </w:rPr>
        <w:t xml:space="preserve"> viac ako 130 miliónov eur.</w:t>
      </w:r>
      <w:r w:rsidRPr="00027E94">
        <w:rPr>
          <w:rFonts w:asciiTheme="minorHAnsi" w:hAnsiTheme="minorHAnsi"/>
        </w:rPr>
        <w:t xml:space="preserve"> Z týchto prostriedkov sa financovali výskumné projekty a vybudovali sa Centrá </w:t>
      </w:r>
      <w:proofErr w:type="spellStart"/>
      <w:r w:rsidRPr="00027E94">
        <w:rPr>
          <w:rFonts w:asciiTheme="minorHAnsi" w:hAnsiTheme="minorHAnsi"/>
        </w:rPr>
        <w:t>excelentnosti</w:t>
      </w:r>
      <w:proofErr w:type="spellEnd"/>
      <w:r w:rsidRPr="00027E94">
        <w:rPr>
          <w:rFonts w:asciiTheme="minorHAnsi" w:hAnsiTheme="minorHAnsi"/>
        </w:rPr>
        <w:t>, Kompetenčné centrá a spomenuté Univerzitné vedecké parky v Bratislave a v Trnave.  </w:t>
      </w:r>
    </w:p>
    <w:p w:rsidR="00B51749" w:rsidRPr="002D7A10" w:rsidRDefault="00027E94" w:rsidP="00027E94">
      <w:pPr>
        <w:rPr>
          <w:rStyle w:val="Siln"/>
          <w:rFonts w:asciiTheme="minorHAnsi" w:hAnsiTheme="minorHAnsi"/>
          <w:b w:val="0"/>
          <w:color w:val="FF0000"/>
        </w:rPr>
      </w:pPr>
      <w:r w:rsidRPr="002D7A10">
        <w:rPr>
          <w:rStyle w:val="Siln"/>
          <w:rFonts w:asciiTheme="minorHAnsi" w:hAnsiTheme="minorHAnsi"/>
          <w:b w:val="0"/>
          <w:color w:val="FF0000"/>
        </w:rPr>
        <w:t xml:space="preserve"> </w:t>
      </w:r>
    </w:p>
    <w:p w:rsidR="00B51749" w:rsidRPr="002D7A10" w:rsidRDefault="00B51749" w:rsidP="00E80AC1">
      <w:pPr>
        <w:pStyle w:val="Bezriadkovania"/>
        <w:jc w:val="both"/>
        <w:rPr>
          <w:rFonts w:asciiTheme="minorHAnsi" w:hAnsiTheme="minorHAnsi"/>
          <w:b/>
          <w:sz w:val="24"/>
          <w:szCs w:val="24"/>
        </w:rPr>
      </w:pPr>
      <w:r w:rsidRPr="002D7A10">
        <w:rPr>
          <w:rStyle w:val="Siln"/>
          <w:rFonts w:asciiTheme="minorHAnsi" w:hAnsiTheme="minorHAnsi"/>
          <w:b w:val="0"/>
          <w:sz w:val="24"/>
          <w:szCs w:val="24"/>
        </w:rPr>
        <w:t xml:space="preserve">Prioritou Slovenskej technickej univerzity v Bratislave bolo zlepšenie a zjednotenie patentovej politiky. </w:t>
      </w:r>
      <w:r w:rsidR="00385732" w:rsidRPr="002D7A10">
        <w:rPr>
          <w:rFonts w:asciiTheme="minorHAnsi" w:hAnsiTheme="minorHAnsi"/>
          <w:sz w:val="24"/>
          <w:szCs w:val="24"/>
        </w:rPr>
        <w:t>V roku 201</w:t>
      </w:r>
      <w:r w:rsidR="00E80AC1" w:rsidRPr="002D7A10">
        <w:rPr>
          <w:rFonts w:asciiTheme="minorHAnsi" w:hAnsiTheme="minorHAnsi"/>
          <w:sz w:val="24"/>
          <w:szCs w:val="24"/>
        </w:rPr>
        <w:t>5</w:t>
      </w:r>
      <w:r w:rsidR="00385732" w:rsidRPr="002D7A10">
        <w:rPr>
          <w:rFonts w:asciiTheme="minorHAnsi" w:hAnsiTheme="minorHAnsi"/>
          <w:sz w:val="24"/>
          <w:szCs w:val="24"/>
        </w:rPr>
        <w:t xml:space="preserve"> bolo na</w:t>
      </w:r>
      <w:r w:rsidRPr="002D7A10">
        <w:rPr>
          <w:rFonts w:asciiTheme="minorHAnsi" w:hAnsiTheme="minorHAnsi"/>
          <w:b/>
          <w:sz w:val="24"/>
          <w:szCs w:val="24"/>
        </w:rPr>
        <w:t xml:space="preserve"> Úrad priemyselného vlastníctva podaných viac ako 20 patentových </w:t>
      </w:r>
      <w:r w:rsidRPr="002D7A10">
        <w:rPr>
          <w:rFonts w:asciiTheme="minorHAnsi" w:hAnsiTheme="minorHAnsi"/>
          <w:b/>
          <w:sz w:val="24"/>
          <w:szCs w:val="24"/>
        </w:rPr>
        <w:lastRenderedPageBreak/>
        <w:t xml:space="preserve">prihlášok a prihlášok </w:t>
      </w:r>
      <w:r w:rsidR="00542541" w:rsidRPr="002D7A10">
        <w:rPr>
          <w:rFonts w:asciiTheme="minorHAnsi" w:hAnsiTheme="minorHAnsi"/>
          <w:b/>
          <w:sz w:val="24"/>
          <w:szCs w:val="24"/>
        </w:rPr>
        <w:t>ú</w:t>
      </w:r>
      <w:r w:rsidRPr="002D7A10">
        <w:rPr>
          <w:rFonts w:asciiTheme="minorHAnsi" w:hAnsiTheme="minorHAnsi"/>
          <w:b/>
          <w:sz w:val="24"/>
          <w:szCs w:val="24"/>
        </w:rPr>
        <w:t>žitkových vzorov.</w:t>
      </w:r>
      <w:r w:rsidR="00385732" w:rsidRPr="002D7A10">
        <w:rPr>
          <w:rFonts w:asciiTheme="minorHAnsi" w:hAnsiTheme="minorHAnsi"/>
          <w:b/>
          <w:sz w:val="24"/>
          <w:szCs w:val="24"/>
        </w:rPr>
        <w:t xml:space="preserve"> </w:t>
      </w:r>
      <w:r w:rsidR="00E80AC1" w:rsidRPr="002D7A10">
        <w:rPr>
          <w:rFonts w:asciiTheme="minorHAnsi" w:hAnsiTheme="minorHAnsi"/>
          <w:b/>
          <w:sz w:val="24"/>
          <w:szCs w:val="24"/>
        </w:rPr>
        <w:t>Boli podané aj dve medzinárodné prihlášky a jedna európska patentová prihláška.</w:t>
      </w:r>
    </w:p>
    <w:p w:rsidR="00E00F83" w:rsidRPr="002D7A10" w:rsidRDefault="00B51749" w:rsidP="00E00F83">
      <w:pPr>
        <w:rPr>
          <w:rFonts w:asciiTheme="minorHAnsi" w:hAnsiTheme="minorHAnsi" w:cs="Calibri"/>
          <w:color w:val="000000" w:themeColor="text1"/>
        </w:rPr>
      </w:pPr>
      <w:r w:rsidRPr="002D7A10">
        <w:rPr>
          <w:rFonts w:asciiTheme="minorHAnsi" w:hAnsiTheme="minorHAnsi"/>
        </w:rPr>
        <w:t xml:space="preserve">Univerzita </w:t>
      </w:r>
      <w:r w:rsidR="006670C7">
        <w:rPr>
          <w:rFonts w:asciiTheme="minorHAnsi" w:hAnsiTheme="minorHAnsi"/>
        </w:rPr>
        <w:t xml:space="preserve">dlhodobo </w:t>
      </w:r>
      <w:r w:rsidRPr="002D7A10">
        <w:rPr>
          <w:rFonts w:asciiTheme="minorHAnsi" w:hAnsiTheme="minorHAnsi"/>
        </w:rPr>
        <w:t xml:space="preserve">podporuje transfer poznatkov z laboratórií do praxe aj prostredníctvom </w:t>
      </w:r>
      <w:proofErr w:type="spellStart"/>
      <w:r w:rsidRPr="002D7A10">
        <w:rPr>
          <w:rFonts w:asciiTheme="minorHAnsi" w:hAnsiTheme="minorHAnsi"/>
        </w:rPr>
        <w:t>spin-off</w:t>
      </w:r>
      <w:proofErr w:type="spellEnd"/>
      <w:r w:rsidRPr="002D7A10">
        <w:rPr>
          <w:rFonts w:asciiTheme="minorHAnsi" w:hAnsiTheme="minorHAnsi"/>
        </w:rPr>
        <w:t xml:space="preserve"> a </w:t>
      </w:r>
      <w:proofErr w:type="spellStart"/>
      <w:r w:rsidRPr="002D7A10">
        <w:rPr>
          <w:rFonts w:asciiTheme="minorHAnsi" w:hAnsiTheme="minorHAnsi"/>
        </w:rPr>
        <w:t>start-up</w:t>
      </w:r>
      <w:proofErr w:type="spellEnd"/>
      <w:r w:rsidRPr="002D7A10">
        <w:rPr>
          <w:rFonts w:asciiTheme="minorHAnsi" w:hAnsiTheme="minorHAnsi"/>
        </w:rPr>
        <w:t xml:space="preserve"> spoločností. </w:t>
      </w:r>
      <w:r w:rsidR="00E00F83" w:rsidRPr="002D7A10">
        <w:rPr>
          <w:rFonts w:asciiTheme="minorHAnsi" w:hAnsiTheme="minorHAnsi" w:cs="Calibri"/>
          <w:b/>
          <w:color w:val="000000" w:themeColor="text1"/>
        </w:rPr>
        <w:t>Univerzitný technologický inkubátor STU</w:t>
      </w:r>
      <w:r w:rsidR="00E00F83" w:rsidRPr="002D7A10">
        <w:rPr>
          <w:rFonts w:asciiTheme="minorHAnsi" w:hAnsiTheme="minorHAnsi" w:cs="Calibri"/>
          <w:color w:val="000000" w:themeColor="text1"/>
        </w:rPr>
        <w:t xml:space="preserve"> 28. novembra 2015 </w:t>
      </w:r>
      <w:r w:rsidR="00E00F83" w:rsidRPr="002D7A10">
        <w:rPr>
          <w:rFonts w:asciiTheme="minorHAnsi" w:hAnsiTheme="minorHAnsi" w:cs="Calibri"/>
          <w:b/>
          <w:color w:val="000000" w:themeColor="text1"/>
        </w:rPr>
        <w:t xml:space="preserve">oslávil </w:t>
      </w:r>
      <w:r w:rsidR="006670C7">
        <w:rPr>
          <w:rFonts w:asciiTheme="minorHAnsi" w:hAnsiTheme="minorHAnsi" w:cs="Calibri"/>
          <w:b/>
          <w:color w:val="000000" w:themeColor="text1"/>
        </w:rPr>
        <w:t xml:space="preserve">už </w:t>
      </w:r>
      <w:r w:rsidR="00E00F83" w:rsidRPr="002D7A10">
        <w:rPr>
          <w:rFonts w:asciiTheme="minorHAnsi" w:hAnsiTheme="minorHAnsi" w:cs="Calibri"/>
          <w:b/>
          <w:color w:val="000000" w:themeColor="text1"/>
        </w:rPr>
        <w:t>10. výročie svojho otvorenia.</w:t>
      </w:r>
      <w:r w:rsidR="00E00F83" w:rsidRPr="002D7A10">
        <w:rPr>
          <w:rFonts w:asciiTheme="minorHAnsi" w:hAnsiTheme="minorHAnsi" w:cs="Calibri"/>
          <w:color w:val="000000" w:themeColor="text1"/>
        </w:rPr>
        <w:t xml:space="preserve"> Za vyše 10 rokov fungovania podporil 44 </w:t>
      </w:r>
      <w:proofErr w:type="spellStart"/>
      <w:r w:rsidR="00E00F83" w:rsidRPr="002D7A10">
        <w:rPr>
          <w:rFonts w:asciiTheme="minorHAnsi" w:hAnsiTheme="minorHAnsi" w:cs="Calibri"/>
          <w:color w:val="000000" w:themeColor="text1"/>
        </w:rPr>
        <w:t>inkubovaných</w:t>
      </w:r>
      <w:proofErr w:type="spellEnd"/>
      <w:r w:rsidR="00E00F83" w:rsidRPr="002D7A10">
        <w:rPr>
          <w:rFonts w:asciiTheme="minorHAnsi" w:hAnsiTheme="minorHAnsi" w:cs="Calibri"/>
          <w:color w:val="000000" w:themeColor="text1"/>
        </w:rPr>
        <w:t xml:space="preserve"> firiem a 43 osôb v programe </w:t>
      </w:r>
      <w:proofErr w:type="spellStart"/>
      <w:r w:rsidR="00E00F83" w:rsidRPr="002D7A10">
        <w:rPr>
          <w:rFonts w:asciiTheme="minorHAnsi" w:hAnsiTheme="minorHAnsi" w:cs="Calibri"/>
          <w:color w:val="000000" w:themeColor="text1"/>
        </w:rPr>
        <w:t>Start-up</w:t>
      </w:r>
      <w:proofErr w:type="spellEnd"/>
      <w:r w:rsidR="00E00F83" w:rsidRPr="002D7A10">
        <w:rPr>
          <w:rFonts w:asciiTheme="minorHAnsi" w:hAnsiTheme="minorHAnsi" w:cs="Calibri"/>
          <w:color w:val="000000" w:themeColor="text1"/>
        </w:rPr>
        <w:t xml:space="preserve"> kancelária. </w:t>
      </w:r>
    </w:p>
    <w:p w:rsidR="00E00F83" w:rsidRPr="002D7A10" w:rsidRDefault="00E00F83" w:rsidP="00B51749">
      <w:pPr>
        <w:pStyle w:val="Bezriadkovania"/>
        <w:jc w:val="both"/>
        <w:rPr>
          <w:rFonts w:asciiTheme="minorHAnsi" w:hAnsiTheme="minorHAnsi"/>
          <w:sz w:val="24"/>
          <w:szCs w:val="24"/>
        </w:rPr>
      </w:pPr>
      <w:r w:rsidRPr="002D7A10">
        <w:rPr>
          <w:rFonts w:asciiTheme="minorHAnsi" w:hAnsiTheme="minorHAnsi"/>
          <w:sz w:val="24"/>
          <w:szCs w:val="24"/>
        </w:rPr>
        <w:t xml:space="preserve">V priebehu roka  2015 pracovalo v prostredí STU </w:t>
      </w:r>
      <w:r w:rsidRPr="002D7A10">
        <w:rPr>
          <w:rFonts w:asciiTheme="minorHAnsi" w:hAnsiTheme="minorHAnsi"/>
          <w:b/>
          <w:sz w:val="24"/>
          <w:szCs w:val="24"/>
        </w:rPr>
        <w:t xml:space="preserve">5 inovatívnych </w:t>
      </w:r>
      <w:proofErr w:type="spellStart"/>
      <w:r w:rsidRPr="002D7A10">
        <w:rPr>
          <w:rFonts w:asciiTheme="minorHAnsi" w:hAnsiTheme="minorHAnsi"/>
          <w:b/>
          <w:sz w:val="24"/>
          <w:szCs w:val="24"/>
        </w:rPr>
        <w:t>spin-off</w:t>
      </w:r>
      <w:proofErr w:type="spellEnd"/>
      <w:r w:rsidRPr="002D7A10">
        <w:rPr>
          <w:rFonts w:asciiTheme="minorHAnsi" w:hAnsiTheme="minorHAnsi"/>
          <w:b/>
          <w:sz w:val="24"/>
          <w:szCs w:val="24"/>
        </w:rPr>
        <w:t xml:space="preserve"> spoločností</w:t>
      </w:r>
      <w:r w:rsidRPr="002D7A10">
        <w:rPr>
          <w:rFonts w:asciiTheme="minorHAnsi" w:hAnsiTheme="minorHAnsi"/>
          <w:sz w:val="24"/>
          <w:szCs w:val="24"/>
        </w:rPr>
        <w:t xml:space="preserve"> s majetkovou účasťou STU, ktoré založili pracovníci STU na základe výsledkov výskumu. </w:t>
      </w:r>
    </w:p>
    <w:p w:rsidR="00B51749" w:rsidRPr="002D7A10" w:rsidRDefault="00B51749" w:rsidP="00B51749">
      <w:pPr>
        <w:pStyle w:val="Bezriadkovania"/>
        <w:jc w:val="both"/>
        <w:rPr>
          <w:rStyle w:val="Siln"/>
          <w:rFonts w:asciiTheme="minorHAnsi" w:hAnsiTheme="minorHAnsi"/>
          <w:color w:val="FF0000"/>
          <w:sz w:val="24"/>
          <w:szCs w:val="24"/>
        </w:rPr>
      </w:pPr>
    </w:p>
    <w:p w:rsidR="00BD649B" w:rsidRPr="002D7A10" w:rsidRDefault="00B51749" w:rsidP="00BD649B">
      <w:pPr>
        <w:pStyle w:val="Default"/>
        <w:jc w:val="both"/>
        <w:rPr>
          <w:rFonts w:asciiTheme="minorHAnsi" w:hAnsiTheme="minorHAnsi" w:cs="Times New Roman"/>
          <w:b/>
          <w:color w:val="auto"/>
          <w:lang w:val="sk-SK"/>
        </w:rPr>
      </w:pPr>
      <w:r w:rsidRPr="002D7A10">
        <w:rPr>
          <w:rFonts w:asciiTheme="minorHAnsi" w:hAnsiTheme="minorHAnsi"/>
          <w:color w:val="auto"/>
          <w:lang w:val="sk-SK"/>
        </w:rPr>
        <w:t> </w:t>
      </w:r>
      <w:r w:rsidR="00BD649B" w:rsidRPr="002D7A10">
        <w:rPr>
          <w:rFonts w:asciiTheme="minorHAnsi" w:hAnsiTheme="minorHAnsi" w:cs="Times New Roman"/>
          <w:color w:val="auto"/>
          <w:lang w:val="sk-SK"/>
        </w:rPr>
        <w:t xml:space="preserve">V oblasti zamestnanosti </w:t>
      </w:r>
      <w:r w:rsidR="00E87698" w:rsidRPr="002D7A10">
        <w:rPr>
          <w:rFonts w:asciiTheme="minorHAnsi" w:hAnsiTheme="minorHAnsi" w:cs="Times New Roman"/>
          <w:color w:val="auto"/>
          <w:lang w:val="sk-SK"/>
        </w:rPr>
        <w:t>podľa údajov za celé sledované obdobie roka 201</w:t>
      </w:r>
      <w:r w:rsidR="00BD649B" w:rsidRPr="002D7A10">
        <w:rPr>
          <w:rFonts w:asciiTheme="minorHAnsi" w:hAnsiTheme="minorHAnsi" w:cs="Times New Roman"/>
          <w:color w:val="auto"/>
          <w:lang w:val="sk-SK"/>
        </w:rPr>
        <w:t>5</w:t>
      </w:r>
      <w:r w:rsidR="00E87698" w:rsidRPr="002D7A10">
        <w:rPr>
          <w:rFonts w:asciiTheme="minorHAnsi" w:hAnsiTheme="minorHAnsi" w:cs="Times New Roman"/>
          <w:color w:val="auto"/>
          <w:lang w:val="sk-SK"/>
        </w:rPr>
        <w:t xml:space="preserve"> </w:t>
      </w:r>
      <w:r w:rsidR="00BD649B" w:rsidRPr="002D7A10">
        <w:rPr>
          <w:rFonts w:asciiTheme="minorHAnsi" w:hAnsiTheme="minorHAnsi" w:cs="Times New Roman"/>
          <w:color w:val="auto"/>
          <w:lang w:val="sk-SK"/>
        </w:rPr>
        <w:t xml:space="preserve">pokračovalo znižovanie </w:t>
      </w:r>
      <w:r w:rsidRPr="002D7A10">
        <w:rPr>
          <w:rFonts w:asciiTheme="minorHAnsi" w:hAnsiTheme="minorHAnsi" w:cs="Times New Roman"/>
          <w:color w:val="auto"/>
          <w:lang w:val="sk-SK"/>
        </w:rPr>
        <w:t>celkov</w:t>
      </w:r>
      <w:r w:rsidR="00BD649B" w:rsidRPr="002D7A10">
        <w:rPr>
          <w:rFonts w:asciiTheme="minorHAnsi" w:hAnsiTheme="minorHAnsi" w:cs="Times New Roman"/>
          <w:color w:val="auto"/>
          <w:lang w:val="sk-SK"/>
        </w:rPr>
        <w:t>ého</w:t>
      </w:r>
      <w:r w:rsidRPr="002D7A10">
        <w:rPr>
          <w:rFonts w:asciiTheme="minorHAnsi" w:hAnsiTheme="minorHAnsi" w:cs="Times New Roman"/>
          <w:color w:val="auto"/>
          <w:lang w:val="sk-SK"/>
        </w:rPr>
        <w:t xml:space="preserve"> </w:t>
      </w:r>
      <w:r w:rsidRPr="002D7A10">
        <w:rPr>
          <w:rFonts w:asciiTheme="minorHAnsi" w:hAnsiTheme="minorHAnsi" w:cs="Times New Roman"/>
          <w:b/>
          <w:color w:val="auto"/>
          <w:lang w:val="sk-SK"/>
        </w:rPr>
        <w:t>poč</w:t>
      </w:r>
      <w:r w:rsidR="00BD649B" w:rsidRPr="002D7A10">
        <w:rPr>
          <w:rFonts w:asciiTheme="minorHAnsi" w:hAnsiTheme="minorHAnsi" w:cs="Times New Roman"/>
          <w:b/>
          <w:color w:val="auto"/>
          <w:lang w:val="sk-SK"/>
        </w:rPr>
        <w:t>tu</w:t>
      </w:r>
      <w:r w:rsidRPr="002D7A10">
        <w:rPr>
          <w:rFonts w:asciiTheme="minorHAnsi" w:hAnsiTheme="minorHAnsi" w:cs="Times New Roman"/>
          <w:b/>
          <w:color w:val="auto"/>
          <w:lang w:val="sk-SK"/>
        </w:rPr>
        <w:t xml:space="preserve"> zamestnancov univerzity</w:t>
      </w:r>
      <w:r w:rsidR="00BD649B" w:rsidRPr="002D7A10">
        <w:rPr>
          <w:rFonts w:asciiTheme="minorHAnsi" w:hAnsiTheme="minorHAnsi" w:cs="Times New Roman"/>
          <w:b/>
          <w:color w:val="auto"/>
          <w:lang w:val="sk-SK"/>
        </w:rPr>
        <w:t xml:space="preserve">. </w:t>
      </w:r>
      <w:r w:rsidR="00BD649B" w:rsidRPr="002D7A10">
        <w:rPr>
          <w:rFonts w:asciiTheme="minorHAnsi" w:hAnsiTheme="minorHAnsi" w:cs="Times New Roman"/>
          <w:color w:val="auto"/>
          <w:lang w:val="sk-SK"/>
        </w:rPr>
        <w:t xml:space="preserve">Negatívnom je, že pokračovalo aj znižovanie počtu vysokoškolských učiteľov a vedeckovýskumných pracovníkov. </w:t>
      </w:r>
      <w:r w:rsidR="00BD649B" w:rsidRPr="002D7A10">
        <w:rPr>
          <w:rFonts w:asciiTheme="minorHAnsi" w:hAnsiTheme="minorHAnsi" w:cs="Times New Roman"/>
          <w:b/>
          <w:color w:val="auto"/>
          <w:lang w:val="sk-SK"/>
        </w:rPr>
        <w:t>V roku 2015 bol priemerný počet zamestnancov na STU 2835, z toho bolo 1118 vysokoškolských učiteľov a 425 vedeckovýskumných zamestnancov.</w:t>
      </w:r>
      <w:r w:rsidR="00BD649B" w:rsidRPr="002D7A10">
        <w:rPr>
          <w:rFonts w:asciiTheme="minorHAnsi" w:hAnsiTheme="minorHAnsi" w:cs="Times New Roman"/>
          <w:b/>
          <w:color w:val="FF0000"/>
          <w:lang w:val="sk-SK"/>
        </w:rPr>
        <w:t xml:space="preserve"> </w:t>
      </w:r>
    </w:p>
    <w:p w:rsidR="006670C7" w:rsidRDefault="006670C7">
      <w:pPr>
        <w:spacing w:after="200" w:line="276" w:lineRule="auto"/>
        <w:jc w:val="left"/>
        <w:rPr>
          <w:rFonts w:asciiTheme="minorHAnsi" w:hAnsiTheme="minorHAnsi"/>
          <w:color w:val="FF0000"/>
        </w:rPr>
      </w:pPr>
      <w:r>
        <w:rPr>
          <w:rFonts w:asciiTheme="minorHAnsi" w:hAnsiTheme="minorHAnsi"/>
          <w:color w:val="FF0000"/>
        </w:rPr>
        <w:br w:type="page"/>
      </w:r>
    </w:p>
    <w:p w:rsidR="00BD649B" w:rsidRPr="002D7A10" w:rsidRDefault="00BD649B" w:rsidP="00BD649B">
      <w:pPr>
        <w:pStyle w:val="Default"/>
        <w:rPr>
          <w:rFonts w:asciiTheme="minorHAnsi" w:hAnsiTheme="minorHAnsi" w:cs="Times New Roman"/>
          <w:color w:val="FF0000"/>
          <w:lang w:val="sk-SK"/>
        </w:rPr>
      </w:pPr>
    </w:p>
    <w:p w:rsidR="00B51749" w:rsidRPr="002D7A10" w:rsidRDefault="00B51749" w:rsidP="00B51749">
      <w:pPr>
        <w:rPr>
          <w:rFonts w:asciiTheme="minorHAnsi" w:hAnsiTheme="minorHAnsi"/>
          <w:b/>
          <w:bCs/>
          <w:color w:val="FF0000"/>
        </w:rPr>
      </w:pPr>
    </w:p>
    <w:p w:rsidR="00B51749" w:rsidRPr="002D7A10" w:rsidRDefault="00B51749" w:rsidP="00B51749">
      <w:pPr>
        <w:rPr>
          <w:rFonts w:asciiTheme="minorHAnsi" w:hAnsiTheme="minorHAnsi"/>
          <w:color w:val="FF0000"/>
        </w:rPr>
      </w:pPr>
    </w:p>
    <w:p w:rsidR="00B51749" w:rsidRPr="002D7A10" w:rsidRDefault="00B51749" w:rsidP="00B51749">
      <w:pPr>
        <w:pStyle w:val="Nadpis1"/>
        <w:rPr>
          <w:rFonts w:asciiTheme="minorHAnsi" w:hAnsiTheme="minorHAnsi"/>
          <w:color w:val="auto"/>
          <w:sz w:val="24"/>
          <w:szCs w:val="24"/>
        </w:rPr>
      </w:pPr>
      <w:bookmarkStart w:id="3" w:name="_Toc448261546"/>
      <w:r w:rsidRPr="002D7A10">
        <w:rPr>
          <w:rFonts w:asciiTheme="minorHAnsi" w:hAnsiTheme="minorHAnsi"/>
          <w:color w:val="auto"/>
          <w:sz w:val="24"/>
          <w:szCs w:val="24"/>
        </w:rPr>
        <w:t>Informácie o poskytovanom vysokoškolskom vzdelávaní</w:t>
      </w:r>
      <w:bookmarkEnd w:id="3"/>
    </w:p>
    <w:p w:rsidR="00B51749" w:rsidRPr="002D7A10" w:rsidRDefault="00B51749" w:rsidP="00B51749">
      <w:pPr>
        <w:rPr>
          <w:rFonts w:asciiTheme="minorHAnsi" w:hAnsiTheme="minorHAnsi"/>
        </w:rPr>
      </w:pPr>
    </w:p>
    <w:p w:rsidR="00B51749" w:rsidRPr="002D7A10" w:rsidRDefault="00B51749" w:rsidP="00B51749">
      <w:pPr>
        <w:rPr>
          <w:rFonts w:asciiTheme="minorHAnsi" w:hAnsiTheme="minorHAnsi"/>
        </w:rPr>
      </w:pPr>
      <w:r w:rsidRPr="002D7A10">
        <w:rPr>
          <w:rFonts w:asciiTheme="minorHAnsi" w:hAnsiTheme="minorHAnsi"/>
        </w:rPr>
        <w:t xml:space="preserve">Štúdium na STU je v súlade s Bolonskou deklaráciou trojstupňové s uplatňovaním kreditového systému hodnotenia výsledkov štúdia. V zmysle zákona č. 131/2002 Z. z. o vysokých školách a o zmene a doplnení niektorých zákonov v znení neskorších úprav uskutočňuje STU vzdelávanie len v študijných programoch, ktorým boli </w:t>
      </w:r>
      <w:r w:rsidR="00911364" w:rsidRPr="002D7A10">
        <w:rPr>
          <w:rFonts w:asciiTheme="minorHAnsi" w:hAnsiTheme="minorHAnsi"/>
        </w:rPr>
        <w:t>M</w:t>
      </w:r>
      <w:r w:rsidRPr="002D7A10">
        <w:rPr>
          <w:rFonts w:asciiTheme="minorHAnsi" w:hAnsiTheme="minorHAnsi"/>
          <w:shd w:val="clear" w:color="auto" w:fill="FFFFFF"/>
        </w:rPr>
        <w:t xml:space="preserve">inistrom školstva, vedy, výskumu a športu Slovenskej republiky priznané práva udeľovať akademické tituly v príslušnom stupni a forme štúdia. </w:t>
      </w:r>
    </w:p>
    <w:p w:rsidR="00B51749" w:rsidRPr="002D7A10" w:rsidRDefault="00B51749" w:rsidP="00B51749">
      <w:pPr>
        <w:tabs>
          <w:tab w:val="left" w:pos="4140"/>
        </w:tabs>
        <w:rPr>
          <w:rFonts w:asciiTheme="minorHAnsi" w:hAnsiTheme="minorHAnsi"/>
        </w:rPr>
      </w:pPr>
      <w:r w:rsidRPr="002D7A10">
        <w:rPr>
          <w:rFonts w:asciiTheme="minorHAnsi" w:hAnsiTheme="minorHAnsi"/>
        </w:rPr>
        <w:t xml:space="preserve">Obsah študijných programov je systematicky inovovaný na základe aktuálnych výsledkov výskumnej a tvorivej činnosti, ako aj požiadaviek a záujmov spoločenskej praxe. </w:t>
      </w:r>
    </w:p>
    <w:p w:rsidR="00B51749" w:rsidRPr="002D7A10" w:rsidRDefault="00B51749" w:rsidP="00B51749">
      <w:pPr>
        <w:rPr>
          <w:rFonts w:asciiTheme="minorHAnsi" w:hAnsiTheme="minorHAnsi"/>
          <w:b/>
          <w:bCs/>
          <w:color w:val="FF0000"/>
        </w:rPr>
      </w:pPr>
    </w:p>
    <w:p w:rsidR="00B51749" w:rsidRPr="002D7A10" w:rsidRDefault="00B51749" w:rsidP="00B51749">
      <w:pPr>
        <w:pStyle w:val="Nadpis2"/>
        <w:rPr>
          <w:rFonts w:asciiTheme="minorHAnsi" w:hAnsiTheme="minorHAnsi"/>
          <w:color w:val="auto"/>
          <w:sz w:val="24"/>
          <w:szCs w:val="24"/>
        </w:rPr>
      </w:pPr>
      <w:bookmarkStart w:id="4" w:name="_Toc448261547"/>
      <w:r w:rsidRPr="002D7A10">
        <w:rPr>
          <w:rFonts w:asciiTheme="minorHAnsi" w:hAnsiTheme="minorHAnsi"/>
          <w:color w:val="auto"/>
          <w:sz w:val="24"/>
          <w:szCs w:val="24"/>
        </w:rPr>
        <w:t>Študijné programy na STU</w:t>
      </w:r>
      <w:bookmarkEnd w:id="4"/>
    </w:p>
    <w:p w:rsidR="00935B03" w:rsidRPr="002D7A10" w:rsidRDefault="00935B03" w:rsidP="00935B03">
      <w:pPr>
        <w:rPr>
          <w:rFonts w:asciiTheme="minorHAnsi" w:hAnsiTheme="minorHAnsi" w:cs="Calibri"/>
        </w:rPr>
      </w:pPr>
      <w:r w:rsidRPr="002D7A10">
        <w:rPr>
          <w:rFonts w:asciiTheme="minorHAnsi" w:hAnsiTheme="minorHAnsi" w:cs="Calibri"/>
        </w:rPr>
        <w:t>Základný počet a štruktúra ŠP s platnou akreditáciou v akademickom roku 2014/2015 na jednotlivých fakultách a STU je v </w:t>
      </w:r>
      <w:r w:rsidR="003D7A29" w:rsidRPr="002D7A10">
        <w:rPr>
          <w:rFonts w:asciiTheme="minorHAnsi" w:hAnsiTheme="minorHAnsi" w:cs="Calibri"/>
        </w:rPr>
        <w:t>t</w:t>
      </w:r>
      <w:r w:rsidRPr="002D7A10">
        <w:rPr>
          <w:rFonts w:asciiTheme="minorHAnsi" w:hAnsiTheme="minorHAnsi" w:cs="Calibri"/>
        </w:rPr>
        <w:t xml:space="preserve">abuľke č. </w:t>
      </w:r>
      <w:r w:rsidR="00CA33C9" w:rsidRPr="002D7A10">
        <w:rPr>
          <w:rFonts w:asciiTheme="minorHAnsi" w:hAnsiTheme="minorHAnsi" w:cs="Calibri"/>
        </w:rPr>
        <w:t>3.</w:t>
      </w:r>
      <w:r w:rsidRPr="002D7A10">
        <w:rPr>
          <w:rFonts w:asciiTheme="minorHAnsi" w:hAnsiTheme="minorHAnsi" w:cs="Calibri"/>
        </w:rPr>
        <w:t>1. (je uvedená len štruktúra ŠP v  dennej forme štúdia).</w:t>
      </w:r>
    </w:p>
    <w:p w:rsidR="00935B03" w:rsidRPr="002D7A10" w:rsidRDefault="00935B03" w:rsidP="00935B03">
      <w:pPr>
        <w:rPr>
          <w:rFonts w:asciiTheme="minorHAnsi" w:hAnsiTheme="minorHAnsi" w:cs="Calibri"/>
        </w:rPr>
      </w:pPr>
    </w:p>
    <w:p w:rsidR="002D7A10" w:rsidRPr="001D2E71" w:rsidRDefault="00935B03" w:rsidP="001D2E71">
      <w:pPr>
        <w:rPr>
          <w:rFonts w:asciiTheme="minorHAnsi" w:hAnsiTheme="minorHAnsi" w:cs="Calibri"/>
          <w:b/>
          <w:sz w:val="20"/>
          <w:szCs w:val="20"/>
        </w:rPr>
      </w:pPr>
      <w:r w:rsidRPr="001D2E71">
        <w:rPr>
          <w:rFonts w:asciiTheme="minorHAnsi" w:hAnsiTheme="minorHAnsi" w:cs="Calibri"/>
          <w:b/>
          <w:sz w:val="20"/>
          <w:szCs w:val="20"/>
        </w:rPr>
        <w:t xml:space="preserve">Tabuľka č. </w:t>
      </w:r>
      <w:r w:rsidR="00CA33C9" w:rsidRPr="001D2E71">
        <w:rPr>
          <w:rFonts w:asciiTheme="minorHAnsi" w:hAnsiTheme="minorHAnsi" w:cs="Calibri"/>
          <w:b/>
          <w:sz w:val="20"/>
          <w:szCs w:val="20"/>
        </w:rPr>
        <w:t>3.</w:t>
      </w:r>
      <w:r w:rsidRPr="001D2E71">
        <w:rPr>
          <w:rFonts w:asciiTheme="minorHAnsi" w:hAnsiTheme="minorHAnsi" w:cs="Calibri"/>
          <w:b/>
          <w:sz w:val="20"/>
          <w:szCs w:val="20"/>
        </w:rPr>
        <w:t>1: Počty študijných programov - priznané práva a realizované študijné programy v akad. roku 2014/2015</w:t>
      </w:r>
    </w:p>
    <w:tbl>
      <w:tblPr>
        <w:tblW w:w="9513" w:type="dxa"/>
        <w:tblInd w:w="55" w:type="dxa"/>
        <w:tblLayout w:type="fixed"/>
        <w:tblCellMar>
          <w:left w:w="70" w:type="dxa"/>
          <w:right w:w="70" w:type="dxa"/>
        </w:tblCellMar>
        <w:tblLook w:val="04A0" w:firstRow="1" w:lastRow="0" w:firstColumn="1" w:lastColumn="0" w:noHBand="0" w:noVBand="1"/>
      </w:tblPr>
      <w:tblGrid>
        <w:gridCol w:w="1149"/>
        <w:gridCol w:w="993"/>
        <w:gridCol w:w="1098"/>
        <w:gridCol w:w="886"/>
        <w:gridCol w:w="1205"/>
        <w:gridCol w:w="921"/>
        <w:gridCol w:w="1170"/>
        <w:gridCol w:w="957"/>
        <w:gridCol w:w="1134"/>
      </w:tblGrid>
      <w:tr w:rsidR="001D2E71" w:rsidRPr="001D2E71" w:rsidTr="00550C14">
        <w:trPr>
          <w:trHeight w:val="255"/>
        </w:trPr>
        <w:tc>
          <w:tcPr>
            <w:tcW w:w="1149" w:type="dxa"/>
            <w:tcBorders>
              <w:top w:val="single" w:sz="4" w:space="0" w:color="auto"/>
              <w:left w:val="single" w:sz="4" w:space="0" w:color="auto"/>
              <w:bottom w:val="nil"/>
              <w:right w:val="single" w:sz="4" w:space="0" w:color="auto"/>
            </w:tcBorders>
            <w:shd w:val="clear" w:color="auto" w:fill="auto"/>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 </w:t>
            </w:r>
          </w:p>
        </w:tc>
        <w:tc>
          <w:tcPr>
            <w:tcW w:w="8364" w:type="dxa"/>
            <w:gridSpan w:val="8"/>
            <w:tcBorders>
              <w:top w:val="single" w:sz="4" w:space="0" w:color="auto"/>
              <w:left w:val="nil"/>
              <w:bottom w:val="single" w:sz="4" w:space="0" w:color="auto"/>
              <w:right w:val="single" w:sz="4" w:space="0" w:color="000000"/>
            </w:tcBorders>
            <w:shd w:val="clear" w:color="auto" w:fill="auto"/>
            <w:vAlign w:val="center"/>
            <w:hideMark/>
          </w:tcPr>
          <w:p w:rsidR="001D2E71" w:rsidRPr="001D2E71" w:rsidRDefault="001D2E71" w:rsidP="00550C14">
            <w:pPr>
              <w:jc w:val="cente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Počty študijných programov - priznané práva a realizované v akad. roku 2014/15</w:t>
            </w:r>
          </w:p>
        </w:tc>
      </w:tr>
      <w:tr w:rsidR="001D2E71" w:rsidRPr="001D2E71" w:rsidTr="00550C14">
        <w:trPr>
          <w:trHeight w:val="435"/>
        </w:trPr>
        <w:tc>
          <w:tcPr>
            <w:tcW w:w="1149" w:type="dxa"/>
            <w:tcBorders>
              <w:top w:val="nil"/>
              <w:left w:val="single" w:sz="4" w:space="0" w:color="auto"/>
              <w:bottom w:val="nil"/>
              <w:right w:val="single" w:sz="4" w:space="0" w:color="auto"/>
            </w:tcBorders>
            <w:shd w:val="clear" w:color="auto" w:fill="auto"/>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 </w:t>
            </w:r>
          </w:p>
        </w:tc>
        <w:tc>
          <w:tcPr>
            <w:tcW w:w="2091" w:type="dxa"/>
            <w:gridSpan w:val="2"/>
            <w:tcBorders>
              <w:top w:val="single" w:sz="4" w:space="0" w:color="auto"/>
              <w:left w:val="nil"/>
              <w:bottom w:val="single" w:sz="4" w:space="0" w:color="auto"/>
              <w:right w:val="single" w:sz="4" w:space="0" w:color="000000"/>
            </w:tcBorders>
            <w:shd w:val="clear" w:color="auto" w:fill="auto"/>
            <w:vAlign w:val="center"/>
            <w:hideMark/>
          </w:tcPr>
          <w:p w:rsidR="001D2E71" w:rsidRPr="001D2E71" w:rsidRDefault="001D2E71" w:rsidP="00550C14">
            <w:pPr>
              <w:jc w:val="cente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Bc.</w:t>
            </w:r>
          </w:p>
        </w:tc>
        <w:tc>
          <w:tcPr>
            <w:tcW w:w="2091" w:type="dxa"/>
            <w:gridSpan w:val="2"/>
            <w:tcBorders>
              <w:top w:val="single" w:sz="4" w:space="0" w:color="auto"/>
              <w:left w:val="nil"/>
              <w:bottom w:val="single" w:sz="4" w:space="0" w:color="auto"/>
              <w:right w:val="single" w:sz="4" w:space="0" w:color="000000"/>
            </w:tcBorders>
            <w:shd w:val="clear" w:color="auto" w:fill="auto"/>
            <w:vAlign w:val="center"/>
            <w:hideMark/>
          </w:tcPr>
          <w:p w:rsidR="001D2E71" w:rsidRPr="001D2E71" w:rsidRDefault="001D2E71" w:rsidP="00550C14">
            <w:pPr>
              <w:jc w:val="cente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Ing./Mgr.</w:t>
            </w:r>
          </w:p>
        </w:tc>
        <w:tc>
          <w:tcPr>
            <w:tcW w:w="2091" w:type="dxa"/>
            <w:gridSpan w:val="2"/>
            <w:tcBorders>
              <w:top w:val="single" w:sz="4" w:space="0" w:color="auto"/>
              <w:left w:val="nil"/>
              <w:bottom w:val="single" w:sz="4" w:space="0" w:color="auto"/>
              <w:right w:val="single" w:sz="4" w:space="0" w:color="000000"/>
            </w:tcBorders>
            <w:shd w:val="clear" w:color="auto" w:fill="auto"/>
            <w:vAlign w:val="center"/>
            <w:hideMark/>
          </w:tcPr>
          <w:p w:rsidR="001D2E71" w:rsidRPr="001D2E71" w:rsidRDefault="001D2E71" w:rsidP="00550C14">
            <w:pPr>
              <w:jc w:val="cente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PhD.</w:t>
            </w:r>
          </w:p>
        </w:tc>
        <w:tc>
          <w:tcPr>
            <w:tcW w:w="2091" w:type="dxa"/>
            <w:gridSpan w:val="2"/>
            <w:tcBorders>
              <w:top w:val="single" w:sz="4" w:space="0" w:color="auto"/>
              <w:left w:val="nil"/>
              <w:bottom w:val="single" w:sz="4" w:space="0" w:color="auto"/>
              <w:right w:val="single" w:sz="4" w:space="0" w:color="000000"/>
            </w:tcBorders>
            <w:shd w:val="clear" w:color="auto" w:fill="auto"/>
            <w:vAlign w:val="center"/>
            <w:hideMark/>
          </w:tcPr>
          <w:p w:rsidR="001D2E71" w:rsidRPr="001D2E71" w:rsidRDefault="001D2E71" w:rsidP="00550C14">
            <w:pPr>
              <w:jc w:val="cente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Σ</w:t>
            </w:r>
          </w:p>
        </w:tc>
      </w:tr>
      <w:tr w:rsidR="001D2E71" w:rsidRPr="001D2E71" w:rsidTr="00550C14">
        <w:trPr>
          <w:trHeight w:val="5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Fakulta</w:t>
            </w:r>
          </w:p>
        </w:tc>
        <w:tc>
          <w:tcPr>
            <w:tcW w:w="993" w:type="dxa"/>
            <w:tcBorders>
              <w:top w:val="nil"/>
              <w:left w:val="nil"/>
              <w:bottom w:val="single" w:sz="4" w:space="0" w:color="auto"/>
              <w:right w:val="single" w:sz="4" w:space="0" w:color="auto"/>
            </w:tcBorders>
            <w:shd w:val="clear" w:color="auto" w:fill="auto"/>
            <w:vAlign w:val="center"/>
            <w:hideMark/>
          </w:tcPr>
          <w:p w:rsidR="001D2E71" w:rsidRPr="001D2E71" w:rsidRDefault="001D2E71" w:rsidP="00550C14">
            <w:pPr>
              <w:jc w:val="center"/>
              <w:rPr>
                <w:rFonts w:asciiTheme="minorHAnsi" w:eastAsia="Times New Roman" w:hAnsiTheme="minorHAnsi" w:cs="Arial"/>
                <w:sz w:val="20"/>
                <w:szCs w:val="20"/>
                <w:lang w:eastAsia="sk-SK"/>
              </w:rPr>
            </w:pPr>
            <w:r w:rsidRPr="001D2E71">
              <w:rPr>
                <w:rFonts w:asciiTheme="minorHAnsi" w:eastAsia="Times New Roman" w:hAnsiTheme="minorHAnsi" w:cs="Arial"/>
                <w:sz w:val="20"/>
                <w:szCs w:val="20"/>
                <w:lang w:eastAsia="sk-SK"/>
              </w:rPr>
              <w:t>priznané práva</w:t>
            </w:r>
          </w:p>
        </w:tc>
        <w:tc>
          <w:tcPr>
            <w:tcW w:w="1098" w:type="dxa"/>
            <w:tcBorders>
              <w:top w:val="nil"/>
              <w:left w:val="nil"/>
              <w:bottom w:val="single" w:sz="4" w:space="0" w:color="auto"/>
              <w:right w:val="single" w:sz="4" w:space="0" w:color="auto"/>
            </w:tcBorders>
            <w:shd w:val="clear" w:color="auto" w:fill="D9D9D9" w:themeFill="background1" w:themeFillShade="D9"/>
            <w:vAlign w:val="center"/>
            <w:hideMark/>
          </w:tcPr>
          <w:p w:rsidR="001D2E71" w:rsidRPr="001D2E71" w:rsidRDefault="001D2E71" w:rsidP="00550C14">
            <w:pPr>
              <w:jc w:val="cente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realizované</w:t>
            </w:r>
          </w:p>
        </w:tc>
        <w:tc>
          <w:tcPr>
            <w:tcW w:w="886" w:type="dxa"/>
            <w:tcBorders>
              <w:top w:val="nil"/>
              <w:left w:val="nil"/>
              <w:bottom w:val="single" w:sz="4" w:space="0" w:color="auto"/>
              <w:right w:val="single" w:sz="4" w:space="0" w:color="auto"/>
            </w:tcBorders>
            <w:shd w:val="clear" w:color="auto" w:fill="auto"/>
            <w:vAlign w:val="center"/>
            <w:hideMark/>
          </w:tcPr>
          <w:p w:rsidR="001D2E71" w:rsidRPr="001D2E71" w:rsidRDefault="001D2E71" w:rsidP="00550C14">
            <w:pPr>
              <w:jc w:val="center"/>
              <w:rPr>
                <w:rFonts w:asciiTheme="minorHAnsi" w:eastAsia="Times New Roman" w:hAnsiTheme="minorHAnsi" w:cs="Arial"/>
                <w:sz w:val="20"/>
                <w:szCs w:val="20"/>
                <w:lang w:eastAsia="sk-SK"/>
              </w:rPr>
            </w:pPr>
            <w:r w:rsidRPr="001D2E71">
              <w:rPr>
                <w:rFonts w:asciiTheme="minorHAnsi" w:eastAsia="Times New Roman" w:hAnsiTheme="minorHAnsi" w:cs="Arial"/>
                <w:sz w:val="20"/>
                <w:szCs w:val="20"/>
                <w:lang w:eastAsia="sk-SK"/>
              </w:rPr>
              <w:t>priznané práva</w:t>
            </w:r>
          </w:p>
        </w:tc>
        <w:tc>
          <w:tcPr>
            <w:tcW w:w="1205" w:type="dxa"/>
            <w:tcBorders>
              <w:top w:val="nil"/>
              <w:left w:val="nil"/>
              <w:bottom w:val="single" w:sz="4" w:space="0" w:color="auto"/>
              <w:right w:val="single" w:sz="4" w:space="0" w:color="auto"/>
            </w:tcBorders>
            <w:shd w:val="clear" w:color="auto" w:fill="D9D9D9" w:themeFill="background1" w:themeFillShade="D9"/>
            <w:vAlign w:val="center"/>
            <w:hideMark/>
          </w:tcPr>
          <w:p w:rsidR="001D2E71" w:rsidRPr="001D2E71" w:rsidRDefault="001D2E71" w:rsidP="00550C14">
            <w:pPr>
              <w:jc w:val="cente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realizované</w:t>
            </w:r>
          </w:p>
        </w:tc>
        <w:tc>
          <w:tcPr>
            <w:tcW w:w="921" w:type="dxa"/>
            <w:tcBorders>
              <w:top w:val="nil"/>
              <w:left w:val="nil"/>
              <w:bottom w:val="single" w:sz="4" w:space="0" w:color="auto"/>
              <w:right w:val="single" w:sz="4" w:space="0" w:color="auto"/>
            </w:tcBorders>
            <w:shd w:val="clear" w:color="auto" w:fill="auto"/>
            <w:vAlign w:val="center"/>
            <w:hideMark/>
          </w:tcPr>
          <w:p w:rsidR="001D2E71" w:rsidRPr="001D2E71" w:rsidRDefault="001D2E71" w:rsidP="00550C14">
            <w:pPr>
              <w:jc w:val="center"/>
              <w:rPr>
                <w:rFonts w:asciiTheme="minorHAnsi" w:eastAsia="Times New Roman" w:hAnsiTheme="minorHAnsi" w:cs="Arial"/>
                <w:sz w:val="20"/>
                <w:szCs w:val="20"/>
                <w:lang w:eastAsia="sk-SK"/>
              </w:rPr>
            </w:pPr>
            <w:r w:rsidRPr="001D2E71">
              <w:rPr>
                <w:rFonts w:asciiTheme="minorHAnsi" w:eastAsia="Times New Roman" w:hAnsiTheme="minorHAnsi" w:cs="Arial"/>
                <w:sz w:val="20"/>
                <w:szCs w:val="20"/>
                <w:lang w:eastAsia="sk-SK"/>
              </w:rPr>
              <w:t>priznané práva</w:t>
            </w:r>
          </w:p>
        </w:tc>
        <w:tc>
          <w:tcPr>
            <w:tcW w:w="1170" w:type="dxa"/>
            <w:tcBorders>
              <w:top w:val="nil"/>
              <w:left w:val="nil"/>
              <w:bottom w:val="single" w:sz="4" w:space="0" w:color="auto"/>
              <w:right w:val="single" w:sz="4" w:space="0" w:color="auto"/>
            </w:tcBorders>
            <w:shd w:val="clear" w:color="auto" w:fill="D9D9D9" w:themeFill="background1" w:themeFillShade="D9"/>
            <w:vAlign w:val="center"/>
            <w:hideMark/>
          </w:tcPr>
          <w:p w:rsidR="001D2E71" w:rsidRPr="001D2E71" w:rsidRDefault="001D2E71" w:rsidP="00550C14">
            <w:pPr>
              <w:jc w:val="cente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realizované</w:t>
            </w:r>
          </w:p>
        </w:tc>
        <w:tc>
          <w:tcPr>
            <w:tcW w:w="957" w:type="dxa"/>
            <w:tcBorders>
              <w:top w:val="nil"/>
              <w:left w:val="nil"/>
              <w:bottom w:val="single" w:sz="4" w:space="0" w:color="auto"/>
              <w:right w:val="single" w:sz="4" w:space="0" w:color="auto"/>
            </w:tcBorders>
            <w:shd w:val="clear" w:color="auto" w:fill="auto"/>
            <w:vAlign w:val="center"/>
            <w:hideMark/>
          </w:tcPr>
          <w:p w:rsidR="001D2E71" w:rsidRPr="001D2E71" w:rsidRDefault="001D2E71" w:rsidP="00550C14">
            <w:pPr>
              <w:jc w:val="center"/>
              <w:rPr>
                <w:rFonts w:asciiTheme="minorHAnsi" w:eastAsia="Times New Roman" w:hAnsiTheme="minorHAnsi" w:cs="Arial"/>
                <w:sz w:val="20"/>
                <w:szCs w:val="20"/>
                <w:lang w:eastAsia="sk-SK"/>
              </w:rPr>
            </w:pPr>
            <w:r w:rsidRPr="001D2E71">
              <w:rPr>
                <w:rFonts w:asciiTheme="minorHAnsi" w:eastAsia="Times New Roman" w:hAnsiTheme="minorHAnsi" w:cs="Arial"/>
                <w:sz w:val="20"/>
                <w:szCs w:val="20"/>
                <w:lang w:eastAsia="sk-SK"/>
              </w:rPr>
              <w:t>priznané práva</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realizované</w:t>
            </w:r>
          </w:p>
        </w:tc>
      </w:tr>
      <w:tr w:rsidR="001D2E71" w:rsidRPr="001D2E71" w:rsidTr="00550C14">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SvF</w:t>
            </w:r>
          </w:p>
        </w:tc>
        <w:tc>
          <w:tcPr>
            <w:tcW w:w="993"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8</w:t>
            </w:r>
          </w:p>
        </w:tc>
        <w:tc>
          <w:tcPr>
            <w:tcW w:w="1098"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8</w:t>
            </w:r>
          </w:p>
        </w:tc>
        <w:tc>
          <w:tcPr>
            <w:tcW w:w="886"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13</w:t>
            </w:r>
          </w:p>
        </w:tc>
        <w:tc>
          <w:tcPr>
            <w:tcW w:w="120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13</w:t>
            </w:r>
          </w:p>
        </w:tc>
        <w:tc>
          <w:tcPr>
            <w:tcW w:w="921"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9</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9</w:t>
            </w:r>
          </w:p>
        </w:tc>
        <w:tc>
          <w:tcPr>
            <w:tcW w:w="957"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30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30</w:t>
            </w:r>
          </w:p>
        </w:tc>
      </w:tr>
      <w:tr w:rsidR="001D2E71" w:rsidRPr="001D2E71" w:rsidTr="00550C14">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SjF</w:t>
            </w:r>
          </w:p>
        </w:tc>
        <w:tc>
          <w:tcPr>
            <w:tcW w:w="993"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8</w:t>
            </w:r>
          </w:p>
        </w:tc>
        <w:tc>
          <w:tcPr>
            <w:tcW w:w="1098"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7</w:t>
            </w:r>
          </w:p>
        </w:tc>
        <w:tc>
          <w:tcPr>
            <w:tcW w:w="886"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12</w:t>
            </w:r>
          </w:p>
        </w:tc>
        <w:tc>
          <w:tcPr>
            <w:tcW w:w="120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12</w:t>
            </w:r>
          </w:p>
        </w:tc>
        <w:tc>
          <w:tcPr>
            <w:tcW w:w="921"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11</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10</w:t>
            </w:r>
          </w:p>
        </w:tc>
        <w:tc>
          <w:tcPr>
            <w:tcW w:w="957"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31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29</w:t>
            </w:r>
          </w:p>
        </w:tc>
      </w:tr>
      <w:tr w:rsidR="001D2E71" w:rsidRPr="001D2E71" w:rsidTr="00550C14">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FEI</w:t>
            </w:r>
          </w:p>
        </w:tc>
        <w:tc>
          <w:tcPr>
            <w:tcW w:w="993"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8</w:t>
            </w:r>
          </w:p>
        </w:tc>
        <w:tc>
          <w:tcPr>
            <w:tcW w:w="1098"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6</w:t>
            </w:r>
          </w:p>
        </w:tc>
        <w:tc>
          <w:tcPr>
            <w:tcW w:w="886"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10</w:t>
            </w:r>
          </w:p>
        </w:tc>
        <w:tc>
          <w:tcPr>
            <w:tcW w:w="120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10</w:t>
            </w:r>
          </w:p>
        </w:tc>
        <w:tc>
          <w:tcPr>
            <w:tcW w:w="921"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17</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12</w:t>
            </w:r>
          </w:p>
        </w:tc>
        <w:tc>
          <w:tcPr>
            <w:tcW w:w="957"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35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28</w:t>
            </w:r>
          </w:p>
        </w:tc>
      </w:tr>
      <w:tr w:rsidR="001D2E71" w:rsidRPr="001D2E71" w:rsidTr="00550C14">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FCHPT</w:t>
            </w:r>
          </w:p>
        </w:tc>
        <w:tc>
          <w:tcPr>
            <w:tcW w:w="993"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12</w:t>
            </w:r>
          </w:p>
        </w:tc>
        <w:tc>
          <w:tcPr>
            <w:tcW w:w="1098"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5</w:t>
            </w:r>
          </w:p>
        </w:tc>
        <w:tc>
          <w:tcPr>
            <w:tcW w:w="886"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12</w:t>
            </w:r>
          </w:p>
        </w:tc>
        <w:tc>
          <w:tcPr>
            <w:tcW w:w="120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11</w:t>
            </w:r>
          </w:p>
        </w:tc>
        <w:tc>
          <w:tcPr>
            <w:tcW w:w="921"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16</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16</w:t>
            </w:r>
          </w:p>
        </w:tc>
        <w:tc>
          <w:tcPr>
            <w:tcW w:w="957"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40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32</w:t>
            </w:r>
          </w:p>
        </w:tc>
      </w:tr>
      <w:tr w:rsidR="001D2E71" w:rsidRPr="001D2E71" w:rsidTr="00550C14">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FA</w:t>
            </w:r>
          </w:p>
        </w:tc>
        <w:tc>
          <w:tcPr>
            <w:tcW w:w="993"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3</w:t>
            </w:r>
          </w:p>
        </w:tc>
        <w:tc>
          <w:tcPr>
            <w:tcW w:w="1098"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3</w:t>
            </w:r>
          </w:p>
        </w:tc>
        <w:tc>
          <w:tcPr>
            <w:tcW w:w="886"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3</w:t>
            </w:r>
          </w:p>
        </w:tc>
        <w:tc>
          <w:tcPr>
            <w:tcW w:w="120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3</w:t>
            </w:r>
          </w:p>
        </w:tc>
        <w:tc>
          <w:tcPr>
            <w:tcW w:w="921"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6</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6</w:t>
            </w:r>
          </w:p>
        </w:tc>
        <w:tc>
          <w:tcPr>
            <w:tcW w:w="957"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12</w:t>
            </w:r>
          </w:p>
        </w:tc>
      </w:tr>
      <w:tr w:rsidR="001D2E71" w:rsidRPr="001D2E71" w:rsidTr="00550C14">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MTF</w:t>
            </w:r>
          </w:p>
        </w:tc>
        <w:tc>
          <w:tcPr>
            <w:tcW w:w="993"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sz w:val="20"/>
                <w:szCs w:val="20"/>
                <w:lang w:eastAsia="sk-SK"/>
              </w:rPr>
            </w:pPr>
            <w:r w:rsidRPr="001D2E71">
              <w:rPr>
                <w:rFonts w:asciiTheme="minorHAnsi" w:eastAsia="Times New Roman" w:hAnsiTheme="minorHAnsi" w:cs="Arial"/>
                <w:sz w:val="20"/>
                <w:szCs w:val="20"/>
                <w:lang w:eastAsia="sk-SK"/>
              </w:rPr>
              <w:t>9</w:t>
            </w:r>
          </w:p>
        </w:tc>
        <w:tc>
          <w:tcPr>
            <w:tcW w:w="1098"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sz w:val="20"/>
                <w:szCs w:val="20"/>
                <w:lang w:eastAsia="sk-SK"/>
              </w:rPr>
            </w:pPr>
            <w:r w:rsidRPr="001D2E71">
              <w:rPr>
                <w:rFonts w:asciiTheme="minorHAnsi" w:eastAsia="Times New Roman" w:hAnsiTheme="minorHAnsi" w:cs="Arial"/>
                <w:sz w:val="20"/>
                <w:szCs w:val="20"/>
                <w:lang w:eastAsia="sk-SK"/>
              </w:rPr>
              <w:t>9</w:t>
            </w:r>
          </w:p>
        </w:tc>
        <w:tc>
          <w:tcPr>
            <w:tcW w:w="886"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sz w:val="20"/>
                <w:szCs w:val="20"/>
                <w:lang w:eastAsia="sk-SK"/>
              </w:rPr>
            </w:pPr>
            <w:r w:rsidRPr="001D2E71">
              <w:rPr>
                <w:rFonts w:asciiTheme="minorHAnsi" w:eastAsia="Times New Roman" w:hAnsiTheme="minorHAnsi" w:cs="Arial"/>
                <w:sz w:val="20"/>
                <w:szCs w:val="20"/>
                <w:lang w:eastAsia="sk-SK"/>
              </w:rPr>
              <w:t>11</w:t>
            </w:r>
          </w:p>
        </w:tc>
        <w:tc>
          <w:tcPr>
            <w:tcW w:w="120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sz w:val="20"/>
                <w:szCs w:val="20"/>
                <w:lang w:eastAsia="sk-SK"/>
              </w:rPr>
            </w:pPr>
            <w:r w:rsidRPr="001D2E71">
              <w:rPr>
                <w:rFonts w:asciiTheme="minorHAnsi" w:eastAsia="Times New Roman" w:hAnsiTheme="minorHAnsi" w:cs="Arial"/>
                <w:sz w:val="20"/>
                <w:szCs w:val="20"/>
                <w:lang w:eastAsia="sk-SK"/>
              </w:rPr>
              <w:t>9</w:t>
            </w:r>
          </w:p>
        </w:tc>
        <w:tc>
          <w:tcPr>
            <w:tcW w:w="921"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sz w:val="20"/>
                <w:szCs w:val="20"/>
                <w:lang w:eastAsia="sk-SK"/>
              </w:rPr>
            </w:pPr>
            <w:r w:rsidRPr="001D2E71">
              <w:rPr>
                <w:rFonts w:asciiTheme="minorHAnsi" w:eastAsia="Times New Roman" w:hAnsiTheme="minorHAnsi" w:cs="Arial"/>
                <w:sz w:val="20"/>
                <w:szCs w:val="20"/>
                <w:lang w:eastAsia="sk-SK"/>
              </w:rPr>
              <w:t>8</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sz w:val="20"/>
                <w:szCs w:val="20"/>
                <w:lang w:eastAsia="sk-SK"/>
              </w:rPr>
            </w:pPr>
            <w:r w:rsidRPr="001D2E71">
              <w:rPr>
                <w:rFonts w:asciiTheme="minorHAnsi" w:eastAsia="Times New Roman" w:hAnsiTheme="minorHAnsi" w:cs="Arial"/>
                <w:sz w:val="20"/>
                <w:szCs w:val="20"/>
                <w:lang w:eastAsia="sk-SK"/>
              </w:rPr>
              <w:t>7</w:t>
            </w:r>
          </w:p>
        </w:tc>
        <w:tc>
          <w:tcPr>
            <w:tcW w:w="957"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28</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25</w:t>
            </w:r>
          </w:p>
        </w:tc>
      </w:tr>
      <w:tr w:rsidR="001D2E71" w:rsidRPr="001D2E71" w:rsidTr="00550C14">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FIIT</w:t>
            </w:r>
          </w:p>
        </w:tc>
        <w:tc>
          <w:tcPr>
            <w:tcW w:w="993"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7</w:t>
            </w:r>
          </w:p>
        </w:tc>
        <w:tc>
          <w:tcPr>
            <w:tcW w:w="1098"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4</w:t>
            </w:r>
          </w:p>
        </w:tc>
        <w:tc>
          <w:tcPr>
            <w:tcW w:w="886"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6</w:t>
            </w:r>
          </w:p>
        </w:tc>
        <w:tc>
          <w:tcPr>
            <w:tcW w:w="120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6</w:t>
            </w:r>
          </w:p>
        </w:tc>
        <w:tc>
          <w:tcPr>
            <w:tcW w:w="921"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2</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2</w:t>
            </w:r>
          </w:p>
        </w:tc>
        <w:tc>
          <w:tcPr>
            <w:tcW w:w="957"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12</w:t>
            </w:r>
          </w:p>
        </w:tc>
      </w:tr>
      <w:tr w:rsidR="001D2E71" w:rsidRPr="001D2E71" w:rsidTr="00550C14">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Univerzitné (ÚM)</w:t>
            </w:r>
          </w:p>
        </w:tc>
        <w:tc>
          <w:tcPr>
            <w:tcW w:w="993"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w:t>
            </w:r>
          </w:p>
        </w:tc>
        <w:tc>
          <w:tcPr>
            <w:tcW w:w="1098"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w:t>
            </w:r>
          </w:p>
        </w:tc>
        <w:tc>
          <w:tcPr>
            <w:tcW w:w="886"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w:t>
            </w:r>
          </w:p>
        </w:tc>
        <w:tc>
          <w:tcPr>
            <w:tcW w:w="120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w:t>
            </w:r>
          </w:p>
        </w:tc>
        <w:tc>
          <w:tcPr>
            <w:tcW w:w="921"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2</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2</w:t>
            </w:r>
          </w:p>
        </w:tc>
        <w:tc>
          <w:tcPr>
            <w:tcW w:w="957"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4</w:t>
            </w:r>
          </w:p>
        </w:tc>
      </w:tr>
      <w:tr w:rsidR="001D2E71" w:rsidRPr="001D2E71" w:rsidTr="00550C14">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D2E71" w:rsidRPr="001D2E71" w:rsidRDefault="001D2E71" w:rsidP="00550C14">
            <w:pPr>
              <w:rPr>
                <w:rFonts w:asciiTheme="minorHAnsi" w:eastAsia="Times New Roman" w:hAnsiTheme="minorHAnsi" w:cs="Arial"/>
                <w:b/>
                <w:bCs/>
                <w:sz w:val="20"/>
                <w:szCs w:val="20"/>
                <w:lang w:eastAsia="sk-SK"/>
              </w:rPr>
            </w:pPr>
            <w:r w:rsidRPr="001D2E71">
              <w:rPr>
                <w:rFonts w:asciiTheme="minorHAnsi" w:eastAsia="Times New Roman" w:hAnsiTheme="minorHAnsi" w:cs="Arial"/>
                <w:b/>
                <w:bCs/>
                <w:sz w:val="20"/>
                <w:szCs w:val="20"/>
                <w:lang w:eastAsia="sk-SK"/>
              </w:rPr>
              <w:t>STU</w:t>
            </w:r>
          </w:p>
        </w:tc>
        <w:tc>
          <w:tcPr>
            <w:tcW w:w="993"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56</w:t>
            </w:r>
          </w:p>
        </w:tc>
        <w:tc>
          <w:tcPr>
            <w:tcW w:w="1098"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b/>
                <w:bCs/>
                <w:color w:val="000000"/>
                <w:sz w:val="20"/>
                <w:szCs w:val="20"/>
                <w:lang w:eastAsia="sk-SK"/>
              </w:rPr>
            </w:pPr>
            <w:r w:rsidRPr="001D2E71">
              <w:rPr>
                <w:rFonts w:asciiTheme="minorHAnsi" w:eastAsia="Times New Roman" w:hAnsiTheme="minorHAnsi" w:cs="Arial"/>
                <w:b/>
                <w:bCs/>
                <w:color w:val="000000"/>
                <w:sz w:val="20"/>
                <w:szCs w:val="20"/>
                <w:lang w:eastAsia="sk-SK"/>
              </w:rPr>
              <w:t>43</w:t>
            </w:r>
          </w:p>
        </w:tc>
        <w:tc>
          <w:tcPr>
            <w:tcW w:w="886"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68</w:t>
            </w:r>
          </w:p>
        </w:tc>
        <w:tc>
          <w:tcPr>
            <w:tcW w:w="120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b/>
                <w:bCs/>
                <w:color w:val="000000"/>
                <w:sz w:val="20"/>
                <w:szCs w:val="20"/>
                <w:lang w:eastAsia="sk-SK"/>
              </w:rPr>
            </w:pPr>
            <w:r w:rsidRPr="001D2E71">
              <w:rPr>
                <w:rFonts w:asciiTheme="minorHAnsi" w:eastAsia="Times New Roman" w:hAnsiTheme="minorHAnsi" w:cs="Arial"/>
                <w:b/>
                <w:bCs/>
                <w:color w:val="000000"/>
                <w:sz w:val="20"/>
                <w:szCs w:val="20"/>
                <w:lang w:eastAsia="sk-SK"/>
              </w:rPr>
              <w:t>65</w:t>
            </w:r>
          </w:p>
        </w:tc>
        <w:tc>
          <w:tcPr>
            <w:tcW w:w="921"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71</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b/>
                <w:bCs/>
                <w:color w:val="000000"/>
                <w:sz w:val="20"/>
                <w:szCs w:val="20"/>
                <w:lang w:eastAsia="sk-SK"/>
              </w:rPr>
            </w:pPr>
            <w:r w:rsidRPr="001D2E71">
              <w:rPr>
                <w:rFonts w:asciiTheme="minorHAnsi" w:eastAsia="Times New Roman" w:hAnsiTheme="minorHAnsi" w:cs="Arial"/>
                <w:b/>
                <w:bCs/>
                <w:color w:val="000000"/>
                <w:sz w:val="20"/>
                <w:szCs w:val="20"/>
                <w:lang w:eastAsia="sk-SK"/>
              </w:rPr>
              <w:t>64</w:t>
            </w:r>
          </w:p>
        </w:tc>
        <w:tc>
          <w:tcPr>
            <w:tcW w:w="957" w:type="dxa"/>
            <w:tcBorders>
              <w:top w:val="nil"/>
              <w:left w:val="nil"/>
              <w:bottom w:val="single" w:sz="4" w:space="0" w:color="auto"/>
              <w:right w:val="single" w:sz="4" w:space="0" w:color="auto"/>
            </w:tcBorders>
            <w:shd w:val="clear" w:color="auto" w:fill="auto"/>
            <w:noWrap/>
            <w:vAlign w:val="center"/>
            <w:hideMark/>
          </w:tcPr>
          <w:p w:rsidR="001D2E71" w:rsidRPr="001D2E71" w:rsidRDefault="001D2E71" w:rsidP="00550C14">
            <w:pPr>
              <w:jc w:val="center"/>
              <w:rPr>
                <w:rFonts w:asciiTheme="minorHAnsi" w:eastAsia="Times New Roman" w:hAnsiTheme="minorHAnsi" w:cs="Arial"/>
                <w:color w:val="000000"/>
                <w:sz w:val="20"/>
                <w:szCs w:val="20"/>
                <w:lang w:eastAsia="sk-SK"/>
              </w:rPr>
            </w:pPr>
            <w:r w:rsidRPr="001D2E71">
              <w:rPr>
                <w:rFonts w:asciiTheme="minorHAnsi" w:eastAsia="Times New Roman" w:hAnsiTheme="minorHAnsi" w:cs="Arial"/>
                <w:color w:val="000000"/>
                <w:sz w:val="20"/>
                <w:szCs w:val="20"/>
                <w:lang w:eastAsia="sk-SK"/>
              </w:rPr>
              <w:t>195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1D2E71" w:rsidRPr="001D2E71" w:rsidRDefault="001D2E71" w:rsidP="00550C14">
            <w:pPr>
              <w:jc w:val="center"/>
              <w:rPr>
                <w:rFonts w:asciiTheme="minorHAnsi" w:eastAsia="Times New Roman" w:hAnsiTheme="minorHAnsi" w:cs="Arial"/>
                <w:b/>
                <w:bCs/>
                <w:color w:val="000000"/>
                <w:sz w:val="20"/>
                <w:szCs w:val="20"/>
                <w:lang w:eastAsia="sk-SK"/>
              </w:rPr>
            </w:pPr>
            <w:r w:rsidRPr="001D2E71">
              <w:rPr>
                <w:rFonts w:asciiTheme="minorHAnsi" w:eastAsia="Times New Roman" w:hAnsiTheme="minorHAnsi" w:cs="Arial"/>
                <w:b/>
                <w:bCs/>
                <w:color w:val="000000"/>
                <w:sz w:val="20"/>
                <w:szCs w:val="20"/>
                <w:lang w:eastAsia="sk-SK"/>
              </w:rPr>
              <w:t>172</w:t>
            </w:r>
          </w:p>
        </w:tc>
      </w:tr>
    </w:tbl>
    <w:p w:rsidR="001D2E71" w:rsidRPr="001D2E71" w:rsidRDefault="001D2E71" w:rsidP="001D2E71">
      <w:pPr>
        <w:rPr>
          <w:rFonts w:asciiTheme="minorHAnsi" w:eastAsia="Times New Roman" w:hAnsiTheme="minorHAnsi" w:cs="Arial"/>
          <w:sz w:val="20"/>
          <w:szCs w:val="20"/>
          <w:lang w:eastAsia="sk-SK"/>
        </w:rPr>
      </w:pPr>
      <w:r w:rsidRPr="001D2E71">
        <w:rPr>
          <w:rFonts w:asciiTheme="minorHAnsi" w:eastAsia="Times New Roman" w:hAnsiTheme="minorHAnsi" w:cs="Arial"/>
          <w:sz w:val="20"/>
          <w:szCs w:val="20"/>
          <w:lang w:eastAsia="sk-SK"/>
        </w:rPr>
        <w:t>Stav k 31.8.2015</w:t>
      </w:r>
    </w:p>
    <w:p w:rsidR="00935B03" w:rsidRPr="002D7A10" w:rsidRDefault="00935B03" w:rsidP="00935B03">
      <w:pPr>
        <w:rPr>
          <w:rFonts w:asciiTheme="minorHAnsi" w:eastAsia="Calibri" w:hAnsiTheme="minorHAnsi" w:cs="Calibri"/>
        </w:rPr>
      </w:pPr>
    </w:p>
    <w:p w:rsidR="00935B03" w:rsidRPr="002D7A10" w:rsidRDefault="00935B03" w:rsidP="00935B03">
      <w:pPr>
        <w:rPr>
          <w:rFonts w:asciiTheme="minorHAnsi" w:hAnsiTheme="minorHAnsi" w:cs="Calibri"/>
        </w:rPr>
      </w:pPr>
      <w:r w:rsidRPr="002D7A10">
        <w:rPr>
          <w:rFonts w:asciiTheme="minorHAnsi" w:hAnsiTheme="minorHAnsi" w:cs="Calibri"/>
        </w:rPr>
        <w:t>V akademickom roku 2014/2015 sa realizovala výučba celkovo v </w:t>
      </w:r>
      <w:r w:rsidR="00911364" w:rsidRPr="002D7A10">
        <w:rPr>
          <w:rFonts w:asciiTheme="minorHAnsi" w:hAnsiTheme="minorHAnsi" w:cs="Calibri"/>
        </w:rPr>
        <w:t xml:space="preserve"> </w:t>
      </w:r>
      <w:r w:rsidRPr="002D7A10">
        <w:rPr>
          <w:rFonts w:asciiTheme="minorHAnsi" w:hAnsiTheme="minorHAnsi" w:cs="Calibri"/>
          <w:b/>
        </w:rPr>
        <w:t>172 študijných programoch</w:t>
      </w:r>
      <w:r w:rsidRPr="002D7A10">
        <w:rPr>
          <w:rFonts w:asciiTheme="minorHAnsi" w:hAnsiTheme="minorHAnsi" w:cs="Calibri"/>
        </w:rPr>
        <w:t xml:space="preserve">  v štruktúre: </w:t>
      </w:r>
      <w:r w:rsidRPr="002D7A10">
        <w:rPr>
          <w:rFonts w:asciiTheme="minorHAnsi" w:hAnsiTheme="minorHAnsi" w:cs="Calibri"/>
          <w:b/>
        </w:rPr>
        <w:t>43 ŠP na I. stupni, 65 ŠP na II. stupni, 64 ŠP na III. stupni vysokoškolského vzdelávania</w:t>
      </w:r>
      <w:r w:rsidRPr="002D7A10">
        <w:rPr>
          <w:rFonts w:asciiTheme="minorHAnsi" w:hAnsiTheme="minorHAnsi" w:cs="Calibri"/>
        </w:rPr>
        <w:t>. Z uvedenej štruktúry je zrejmá širšia ponuka a orientácia fakúlt na študijné programy druhého a tretieho stupňa. (</w:t>
      </w:r>
      <w:r w:rsidR="003D7A29" w:rsidRPr="002D7A10">
        <w:rPr>
          <w:rFonts w:asciiTheme="minorHAnsi" w:hAnsiTheme="minorHAnsi" w:cs="Calibri"/>
        </w:rPr>
        <w:t>g</w:t>
      </w:r>
      <w:r w:rsidRPr="002D7A10">
        <w:rPr>
          <w:rFonts w:asciiTheme="minorHAnsi" w:hAnsiTheme="minorHAnsi" w:cs="Calibri"/>
        </w:rPr>
        <w:t xml:space="preserve">raf č. </w:t>
      </w:r>
      <w:r w:rsidR="003D7A29" w:rsidRPr="002D7A10">
        <w:rPr>
          <w:rFonts w:asciiTheme="minorHAnsi" w:hAnsiTheme="minorHAnsi" w:cs="Calibri"/>
        </w:rPr>
        <w:t>3.</w:t>
      </w:r>
      <w:r w:rsidRPr="002D7A10">
        <w:rPr>
          <w:rFonts w:asciiTheme="minorHAnsi" w:hAnsiTheme="minorHAnsi" w:cs="Calibri"/>
        </w:rPr>
        <w:t>1)</w:t>
      </w:r>
    </w:p>
    <w:p w:rsidR="009F4565" w:rsidRDefault="009F4565" w:rsidP="00935B03">
      <w:pPr>
        <w:rPr>
          <w:rFonts w:asciiTheme="minorHAnsi" w:hAnsiTheme="minorHAnsi" w:cs="Calibri"/>
        </w:rPr>
      </w:pPr>
    </w:p>
    <w:p w:rsidR="009F4565" w:rsidRPr="002D7A10" w:rsidRDefault="009F4565" w:rsidP="00935B03">
      <w:pPr>
        <w:rPr>
          <w:rFonts w:asciiTheme="minorHAnsi" w:hAnsiTheme="minorHAnsi" w:cs="Calibri"/>
        </w:rPr>
      </w:pPr>
    </w:p>
    <w:p w:rsidR="003D7A29" w:rsidRPr="002D7A10" w:rsidRDefault="00935B03" w:rsidP="009F4565">
      <w:pPr>
        <w:rPr>
          <w:rFonts w:asciiTheme="minorHAnsi" w:hAnsiTheme="minorHAnsi" w:cs="Calibri"/>
        </w:rPr>
      </w:pPr>
      <w:r w:rsidRPr="00203A7F">
        <w:rPr>
          <w:rFonts w:asciiTheme="minorHAnsi" w:hAnsiTheme="minorHAnsi" w:cs="Calibri"/>
          <w:b/>
          <w:sz w:val="20"/>
          <w:szCs w:val="20"/>
        </w:rPr>
        <w:lastRenderedPageBreak/>
        <w:t xml:space="preserve">Graf č. </w:t>
      </w:r>
      <w:r w:rsidR="00C81F7D" w:rsidRPr="00203A7F">
        <w:rPr>
          <w:rFonts w:asciiTheme="minorHAnsi" w:hAnsiTheme="minorHAnsi" w:cs="Calibri"/>
          <w:b/>
          <w:sz w:val="20"/>
          <w:szCs w:val="20"/>
        </w:rPr>
        <w:t>3.1: Študijné programy (</w:t>
      </w:r>
      <w:r w:rsidRPr="00203A7F">
        <w:rPr>
          <w:rFonts w:asciiTheme="minorHAnsi" w:hAnsiTheme="minorHAnsi" w:cs="Calibri"/>
          <w:b/>
          <w:sz w:val="20"/>
          <w:szCs w:val="20"/>
        </w:rPr>
        <w:t>denná form</w:t>
      </w:r>
      <w:r w:rsidR="00C81F7D" w:rsidRPr="00203A7F">
        <w:rPr>
          <w:rFonts w:asciiTheme="minorHAnsi" w:hAnsiTheme="minorHAnsi" w:cs="Calibri"/>
          <w:b/>
          <w:sz w:val="20"/>
          <w:szCs w:val="20"/>
        </w:rPr>
        <w:t xml:space="preserve">a), </w:t>
      </w:r>
      <w:r w:rsidRPr="00203A7F">
        <w:rPr>
          <w:rFonts w:asciiTheme="minorHAnsi" w:hAnsiTheme="minorHAnsi" w:cs="Calibri"/>
          <w:b/>
          <w:sz w:val="20"/>
          <w:szCs w:val="20"/>
        </w:rPr>
        <w:t xml:space="preserve">v ktorých bola realizovaná výučba v ak. roku 2014/2015 </w:t>
      </w:r>
      <w:r w:rsidRPr="002D7A10">
        <w:rPr>
          <w:rFonts w:asciiTheme="minorHAnsi" w:hAnsiTheme="minorHAnsi"/>
          <w:noProof/>
          <w:lang w:eastAsia="sk-SK"/>
        </w:rPr>
        <w:drawing>
          <wp:inline distT="0" distB="0" distL="0" distR="0" wp14:anchorId="22278BA1" wp14:editId="62246D1D">
            <wp:extent cx="4502989" cy="2907102"/>
            <wp:effectExtent l="0" t="0" r="0" b="762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7A29" w:rsidRPr="002D7A10" w:rsidRDefault="003D7A29" w:rsidP="009F4565">
      <w:pPr>
        <w:rPr>
          <w:rFonts w:asciiTheme="minorHAnsi" w:hAnsiTheme="minorHAnsi" w:cs="Calibri"/>
        </w:rPr>
      </w:pPr>
    </w:p>
    <w:p w:rsidR="00935B03" w:rsidRPr="002D7A10" w:rsidRDefault="00935B03" w:rsidP="003D7A29">
      <w:pPr>
        <w:rPr>
          <w:rFonts w:asciiTheme="minorHAnsi" w:hAnsiTheme="minorHAnsi" w:cs="Calibri"/>
        </w:rPr>
      </w:pPr>
      <w:r w:rsidRPr="002D7A10">
        <w:rPr>
          <w:rFonts w:asciiTheme="minorHAnsi" w:hAnsiTheme="minorHAnsi" w:cs="Calibri"/>
        </w:rPr>
        <w:t xml:space="preserve">Väčšina študijných programov na STU </w:t>
      </w:r>
      <w:r w:rsidR="00911364" w:rsidRPr="002D7A10">
        <w:rPr>
          <w:rFonts w:asciiTheme="minorHAnsi" w:hAnsiTheme="minorHAnsi" w:cs="Calibri"/>
        </w:rPr>
        <w:t xml:space="preserve">sa </w:t>
      </w:r>
      <w:r w:rsidRPr="002D7A10">
        <w:rPr>
          <w:rFonts w:asciiTheme="minorHAnsi" w:hAnsiTheme="minorHAnsi" w:cs="Calibri"/>
        </w:rPr>
        <w:t>realiz</w:t>
      </w:r>
      <w:r w:rsidR="00911364" w:rsidRPr="002D7A10">
        <w:rPr>
          <w:rFonts w:asciiTheme="minorHAnsi" w:hAnsiTheme="minorHAnsi" w:cs="Calibri"/>
        </w:rPr>
        <w:t>uje</w:t>
      </w:r>
      <w:r w:rsidRPr="002D7A10">
        <w:rPr>
          <w:rFonts w:asciiTheme="minorHAnsi" w:hAnsiTheme="minorHAnsi" w:cs="Calibri"/>
        </w:rPr>
        <w:t xml:space="preserve"> v slovenskom jazyku. Na prvom a treťom stupni štúdia sú niektoré študijné programy realizované v slovenskom aj anglickom jazyku.</w:t>
      </w:r>
    </w:p>
    <w:p w:rsidR="00935B03" w:rsidRPr="002D7A10" w:rsidRDefault="00935B03" w:rsidP="003D7A29">
      <w:pPr>
        <w:rPr>
          <w:rFonts w:asciiTheme="minorHAnsi" w:hAnsiTheme="minorHAnsi" w:cs="Calibri"/>
        </w:rPr>
      </w:pPr>
      <w:r w:rsidRPr="002D7A10">
        <w:rPr>
          <w:rFonts w:asciiTheme="minorHAnsi" w:hAnsiTheme="minorHAnsi" w:cs="Calibri"/>
        </w:rPr>
        <w:t>Celková ponuka študijných programov uskutočňovaných v cudzích jazykoch v akademickom roku 2014/2015 na jednotlivých stupňoch štúdia je uvedená v </w:t>
      </w:r>
      <w:r w:rsidR="003D7A29" w:rsidRPr="002D7A10">
        <w:rPr>
          <w:rFonts w:asciiTheme="minorHAnsi" w:hAnsiTheme="minorHAnsi" w:cs="Calibri"/>
        </w:rPr>
        <w:t>t</w:t>
      </w:r>
      <w:r w:rsidRPr="002D7A10">
        <w:rPr>
          <w:rFonts w:asciiTheme="minorHAnsi" w:hAnsiTheme="minorHAnsi" w:cs="Calibri"/>
        </w:rPr>
        <w:t xml:space="preserve">abuľke č. </w:t>
      </w:r>
      <w:r w:rsidR="003D7A29" w:rsidRPr="002D7A10">
        <w:rPr>
          <w:rFonts w:asciiTheme="minorHAnsi" w:hAnsiTheme="minorHAnsi" w:cs="Calibri"/>
        </w:rPr>
        <w:t>3.</w:t>
      </w:r>
      <w:r w:rsidR="00934B82">
        <w:rPr>
          <w:rFonts w:asciiTheme="minorHAnsi" w:hAnsiTheme="minorHAnsi" w:cs="Calibri"/>
        </w:rPr>
        <w:t>2.</w:t>
      </w:r>
    </w:p>
    <w:p w:rsidR="00935B03" w:rsidRPr="002D7A10" w:rsidRDefault="00935B03" w:rsidP="003D7A29">
      <w:pPr>
        <w:rPr>
          <w:rFonts w:asciiTheme="minorHAnsi" w:hAnsiTheme="minorHAnsi" w:cs="Calibri"/>
        </w:rPr>
      </w:pPr>
    </w:p>
    <w:p w:rsidR="00935B03" w:rsidRPr="00934B82" w:rsidRDefault="00935B03" w:rsidP="003D7A29">
      <w:pPr>
        <w:rPr>
          <w:rFonts w:asciiTheme="minorHAnsi" w:hAnsiTheme="minorHAnsi" w:cs="Calibri"/>
          <w:b/>
          <w:sz w:val="20"/>
          <w:szCs w:val="20"/>
        </w:rPr>
      </w:pPr>
      <w:r w:rsidRPr="00934B82">
        <w:rPr>
          <w:rFonts w:asciiTheme="minorHAnsi" w:hAnsiTheme="minorHAnsi" w:cs="Calibri"/>
          <w:b/>
          <w:sz w:val="20"/>
          <w:szCs w:val="20"/>
        </w:rPr>
        <w:t xml:space="preserve">Tabuľka č. </w:t>
      </w:r>
      <w:r w:rsidR="00C81F7D" w:rsidRPr="00934B82">
        <w:rPr>
          <w:rFonts w:asciiTheme="minorHAnsi" w:hAnsiTheme="minorHAnsi" w:cs="Calibri"/>
          <w:b/>
          <w:sz w:val="20"/>
          <w:szCs w:val="20"/>
        </w:rPr>
        <w:t>3.</w:t>
      </w:r>
      <w:r w:rsidRPr="00934B82">
        <w:rPr>
          <w:rFonts w:asciiTheme="minorHAnsi" w:hAnsiTheme="minorHAnsi" w:cs="Calibri"/>
          <w:b/>
          <w:sz w:val="20"/>
          <w:szCs w:val="20"/>
        </w:rPr>
        <w:t>2: Prehľad študijných programov podľa jazyka, v ktorom boli uskutočňované v akad. roku 2014/2015</w:t>
      </w:r>
    </w:p>
    <w:tbl>
      <w:tblPr>
        <w:tblW w:w="8980" w:type="dxa"/>
        <w:tblInd w:w="55" w:type="dxa"/>
        <w:tblCellMar>
          <w:left w:w="70" w:type="dxa"/>
          <w:right w:w="70" w:type="dxa"/>
        </w:tblCellMar>
        <w:tblLook w:val="04A0" w:firstRow="1" w:lastRow="0" w:firstColumn="1" w:lastColumn="0" w:noHBand="0" w:noVBand="1"/>
      </w:tblPr>
      <w:tblGrid>
        <w:gridCol w:w="1900"/>
        <w:gridCol w:w="1180"/>
        <w:gridCol w:w="1180"/>
        <w:gridCol w:w="1180"/>
        <w:gridCol w:w="1180"/>
        <w:gridCol w:w="1180"/>
        <w:gridCol w:w="1180"/>
      </w:tblGrid>
      <w:tr w:rsidR="00935B03" w:rsidRPr="00934B82" w:rsidTr="00CE307D">
        <w:trPr>
          <w:trHeight w:val="255"/>
        </w:trPr>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B03" w:rsidRPr="00934B82" w:rsidRDefault="00935B03" w:rsidP="003D7A29">
            <w:pPr>
              <w:rPr>
                <w:rFonts w:asciiTheme="minorHAnsi" w:eastAsia="Times New Roman" w:hAnsiTheme="minorHAnsi" w:cs="Arial"/>
                <w:b/>
                <w:bCs/>
                <w:sz w:val="20"/>
                <w:szCs w:val="20"/>
                <w:lang w:eastAsia="sk-SK"/>
              </w:rPr>
            </w:pPr>
            <w:r w:rsidRPr="00934B82">
              <w:rPr>
                <w:rFonts w:asciiTheme="minorHAnsi" w:eastAsia="Times New Roman" w:hAnsiTheme="minorHAnsi" w:cs="Arial"/>
                <w:b/>
                <w:bCs/>
                <w:sz w:val="20"/>
                <w:szCs w:val="20"/>
                <w:lang w:eastAsia="sk-SK"/>
              </w:rPr>
              <w:t> </w:t>
            </w:r>
          </w:p>
        </w:tc>
        <w:tc>
          <w:tcPr>
            <w:tcW w:w="7080" w:type="dxa"/>
            <w:gridSpan w:val="6"/>
            <w:tcBorders>
              <w:top w:val="single" w:sz="4" w:space="0" w:color="auto"/>
              <w:left w:val="nil"/>
              <w:bottom w:val="single" w:sz="4" w:space="0" w:color="auto"/>
              <w:right w:val="single" w:sz="4" w:space="0" w:color="000000"/>
            </w:tcBorders>
            <w:shd w:val="clear" w:color="auto" w:fill="auto"/>
            <w:vAlign w:val="center"/>
            <w:hideMark/>
          </w:tcPr>
          <w:p w:rsidR="00935B03" w:rsidRPr="00934B82" w:rsidRDefault="00935B03" w:rsidP="003D7A29">
            <w:pPr>
              <w:rPr>
                <w:rFonts w:asciiTheme="minorHAnsi" w:eastAsia="Times New Roman" w:hAnsiTheme="minorHAnsi" w:cs="Arial"/>
                <w:b/>
                <w:bCs/>
                <w:sz w:val="20"/>
                <w:szCs w:val="20"/>
                <w:lang w:eastAsia="sk-SK"/>
              </w:rPr>
            </w:pPr>
            <w:r w:rsidRPr="00934B82">
              <w:rPr>
                <w:rFonts w:asciiTheme="minorHAnsi" w:eastAsia="Times New Roman" w:hAnsiTheme="minorHAnsi" w:cs="Arial"/>
                <w:b/>
                <w:bCs/>
                <w:sz w:val="20"/>
                <w:szCs w:val="20"/>
                <w:lang w:eastAsia="sk-SK"/>
              </w:rPr>
              <w:t>Študijný program</w:t>
            </w:r>
          </w:p>
        </w:tc>
      </w:tr>
      <w:tr w:rsidR="00935B03" w:rsidRPr="00934B82" w:rsidTr="00CE307D">
        <w:trPr>
          <w:trHeight w:val="255"/>
        </w:trPr>
        <w:tc>
          <w:tcPr>
            <w:tcW w:w="1900" w:type="dxa"/>
            <w:vMerge/>
            <w:tcBorders>
              <w:top w:val="single" w:sz="4" w:space="0" w:color="auto"/>
              <w:left w:val="single" w:sz="4" w:space="0" w:color="auto"/>
              <w:bottom w:val="single" w:sz="4" w:space="0" w:color="000000"/>
              <w:right w:val="single" w:sz="4" w:space="0" w:color="auto"/>
            </w:tcBorders>
            <w:vAlign w:val="center"/>
            <w:hideMark/>
          </w:tcPr>
          <w:p w:rsidR="00935B03" w:rsidRPr="00934B82" w:rsidRDefault="00935B03" w:rsidP="003D7A29">
            <w:pPr>
              <w:rPr>
                <w:rFonts w:asciiTheme="minorHAnsi" w:eastAsia="Times New Roman" w:hAnsiTheme="minorHAnsi" w:cs="Arial"/>
                <w:b/>
                <w:bCs/>
                <w:sz w:val="20"/>
                <w:szCs w:val="20"/>
                <w:lang w:eastAsia="sk-SK"/>
              </w:rPr>
            </w:pPr>
          </w:p>
        </w:tc>
        <w:tc>
          <w:tcPr>
            <w:tcW w:w="2360" w:type="dxa"/>
            <w:gridSpan w:val="2"/>
            <w:tcBorders>
              <w:top w:val="single" w:sz="4" w:space="0" w:color="auto"/>
              <w:left w:val="nil"/>
              <w:bottom w:val="single" w:sz="4" w:space="0" w:color="auto"/>
              <w:right w:val="single" w:sz="4" w:space="0" w:color="000000"/>
            </w:tcBorders>
            <w:shd w:val="clear" w:color="auto" w:fill="auto"/>
            <w:vAlign w:val="center"/>
            <w:hideMark/>
          </w:tcPr>
          <w:p w:rsidR="00935B03" w:rsidRPr="00934B82" w:rsidRDefault="00935B03" w:rsidP="003D7A29">
            <w:pPr>
              <w:rPr>
                <w:rFonts w:asciiTheme="minorHAnsi" w:eastAsia="Times New Roman" w:hAnsiTheme="minorHAnsi" w:cs="Arial"/>
                <w:b/>
                <w:bCs/>
                <w:sz w:val="20"/>
                <w:szCs w:val="20"/>
                <w:lang w:eastAsia="sk-SK"/>
              </w:rPr>
            </w:pPr>
            <w:r w:rsidRPr="00934B82">
              <w:rPr>
                <w:rFonts w:asciiTheme="minorHAnsi" w:eastAsia="Times New Roman" w:hAnsiTheme="minorHAnsi" w:cs="Arial"/>
                <w:b/>
                <w:bCs/>
                <w:sz w:val="20"/>
                <w:szCs w:val="20"/>
                <w:lang w:eastAsia="sk-SK"/>
              </w:rPr>
              <w:t>Bc.</w:t>
            </w:r>
          </w:p>
        </w:tc>
        <w:tc>
          <w:tcPr>
            <w:tcW w:w="2360" w:type="dxa"/>
            <w:gridSpan w:val="2"/>
            <w:tcBorders>
              <w:top w:val="single" w:sz="4" w:space="0" w:color="auto"/>
              <w:left w:val="nil"/>
              <w:bottom w:val="single" w:sz="4" w:space="0" w:color="auto"/>
              <w:right w:val="single" w:sz="4" w:space="0" w:color="000000"/>
            </w:tcBorders>
            <w:shd w:val="clear" w:color="auto" w:fill="auto"/>
            <w:vAlign w:val="center"/>
            <w:hideMark/>
          </w:tcPr>
          <w:p w:rsidR="00935B03" w:rsidRPr="00934B82" w:rsidRDefault="00935B03" w:rsidP="003D7A29">
            <w:pPr>
              <w:rPr>
                <w:rFonts w:asciiTheme="minorHAnsi" w:eastAsia="Times New Roman" w:hAnsiTheme="minorHAnsi" w:cs="Arial"/>
                <w:b/>
                <w:bCs/>
                <w:sz w:val="20"/>
                <w:szCs w:val="20"/>
                <w:lang w:eastAsia="sk-SK"/>
              </w:rPr>
            </w:pPr>
            <w:r w:rsidRPr="00934B82">
              <w:rPr>
                <w:rFonts w:asciiTheme="minorHAnsi" w:eastAsia="Times New Roman" w:hAnsiTheme="minorHAnsi" w:cs="Arial"/>
                <w:b/>
                <w:bCs/>
                <w:sz w:val="20"/>
                <w:szCs w:val="20"/>
                <w:lang w:eastAsia="sk-SK"/>
              </w:rPr>
              <w:t>Ing./Mgr.</w:t>
            </w:r>
          </w:p>
        </w:tc>
        <w:tc>
          <w:tcPr>
            <w:tcW w:w="2360" w:type="dxa"/>
            <w:gridSpan w:val="2"/>
            <w:tcBorders>
              <w:top w:val="single" w:sz="4" w:space="0" w:color="auto"/>
              <w:left w:val="nil"/>
              <w:bottom w:val="single" w:sz="4" w:space="0" w:color="auto"/>
              <w:right w:val="single" w:sz="4" w:space="0" w:color="000000"/>
            </w:tcBorders>
            <w:shd w:val="clear" w:color="auto" w:fill="auto"/>
            <w:vAlign w:val="center"/>
            <w:hideMark/>
          </w:tcPr>
          <w:p w:rsidR="00935B03" w:rsidRPr="00934B82" w:rsidRDefault="00935B03" w:rsidP="003D7A29">
            <w:pPr>
              <w:rPr>
                <w:rFonts w:asciiTheme="minorHAnsi" w:eastAsia="Times New Roman" w:hAnsiTheme="minorHAnsi" w:cs="Arial"/>
                <w:b/>
                <w:bCs/>
                <w:sz w:val="20"/>
                <w:szCs w:val="20"/>
                <w:lang w:eastAsia="sk-SK"/>
              </w:rPr>
            </w:pPr>
            <w:r w:rsidRPr="00934B82">
              <w:rPr>
                <w:rFonts w:asciiTheme="minorHAnsi" w:eastAsia="Times New Roman" w:hAnsiTheme="minorHAnsi" w:cs="Arial"/>
                <w:b/>
                <w:bCs/>
                <w:sz w:val="20"/>
                <w:szCs w:val="20"/>
                <w:lang w:eastAsia="sk-SK"/>
              </w:rPr>
              <w:t>PhD.</w:t>
            </w:r>
          </w:p>
        </w:tc>
      </w:tr>
      <w:tr w:rsidR="00935B03" w:rsidRPr="00934B82" w:rsidTr="00CE307D">
        <w:trPr>
          <w:trHeight w:val="25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Jazyk štúdia</w:t>
            </w:r>
          </w:p>
        </w:tc>
        <w:tc>
          <w:tcPr>
            <w:tcW w:w="1180" w:type="dxa"/>
            <w:tcBorders>
              <w:top w:val="nil"/>
              <w:left w:val="nil"/>
              <w:bottom w:val="single" w:sz="4" w:space="0" w:color="auto"/>
              <w:right w:val="single" w:sz="4" w:space="0" w:color="auto"/>
            </w:tcBorders>
            <w:shd w:val="clear" w:color="auto" w:fill="auto"/>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slovenský jazyk</w:t>
            </w:r>
          </w:p>
        </w:tc>
        <w:tc>
          <w:tcPr>
            <w:tcW w:w="1180" w:type="dxa"/>
            <w:tcBorders>
              <w:top w:val="nil"/>
              <w:left w:val="nil"/>
              <w:bottom w:val="single" w:sz="4" w:space="0" w:color="auto"/>
              <w:right w:val="single" w:sz="4" w:space="0" w:color="auto"/>
            </w:tcBorders>
            <w:shd w:val="clear" w:color="auto" w:fill="auto"/>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cudzí jazyk</w:t>
            </w:r>
          </w:p>
        </w:tc>
        <w:tc>
          <w:tcPr>
            <w:tcW w:w="1180" w:type="dxa"/>
            <w:tcBorders>
              <w:top w:val="nil"/>
              <w:left w:val="nil"/>
              <w:bottom w:val="single" w:sz="4" w:space="0" w:color="auto"/>
              <w:right w:val="single" w:sz="4" w:space="0" w:color="auto"/>
            </w:tcBorders>
            <w:shd w:val="clear" w:color="auto" w:fill="auto"/>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slovenský jazyk</w:t>
            </w:r>
          </w:p>
        </w:tc>
        <w:tc>
          <w:tcPr>
            <w:tcW w:w="1180" w:type="dxa"/>
            <w:tcBorders>
              <w:top w:val="nil"/>
              <w:left w:val="nil"/>
              <w:bottom w:val="single" w:sz="4" w:space="0" w:color="auto"/>
              <w:right w:val="single" w:sz="4" w:space="0" w:color="auto"/>
            </w:tcBorders>
            <w:shd w:val="clear" w:color="auto" w:fill="auto"/>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cudzí jazyk</w:t>
            </w:r>
          </w:p>
        </w:tc>
        <w:tc>
          <w:tcPr>
            <w:tcW w:w="1180" w:type="dxa"/>
            <w:tcBorders>
              <w:top w:val="nil"/>
              <w:left w:val="nil"/>
              <w:bottom w:val="single" w:sz="4" w:space="0" w:color="auto"/>
              <w:right w:val="single" w:sz="4" w:space="0" w:color="auto"/>
            </w:tcBorders>
            <w:shd w:val="clear" w:color="auto" w:fill="auto"/>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slovenský jazyk</w:t>
            </w:r>
          </w:p>
        </w:tc>
        <w:tc>
          <w:tcPr>
            <w:tcW w:w="1180" w:type="dxa"/>
            <w:tcBorders>
              <w:top w:val="nil"/>
              <w:left w:val="nil"/>
              <w:bottom w:val="single" w:sz="4" w:space="0" w:color="auto"/>
              <w:right w:val="single" w:sz="4" w:space="0" w:color="auto"/>
            </w:tcBorders>
            <w:shd w:val="clear" w:color="auto" w:fill="auto"/>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cudzí jazyk</w:t>
            </w:r>
          </w:p>
        </w:tc>
      </w:tr>
      <w:tr w:rsidR="00935B03" w:rsidRPr="00934B82" w:rsidTr="00CE307D">
        <w:trPr>
          <w:trHeight w:val="25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35B03" w:rsidRPr="00934B82" w:rsidRDefault="00935B03" w:rsidP="003D7A29">
            <w:pPr>
              <w:rPr>
                <w:rFonts w:asciiTheme="minorHAnsi" w:eastAsia="Times New Roman" w:hAnsiTheme="minorHAnsi" w:cs="Arial"/>
                <w:b/>
                <w:bCs/>
                <w:sz w:val="20"/>
                <w:szCs w:val="20"/>
                <w:lang w:eastAsia="sk-SK"/>
              </w:rPr>
            </w:pPr>
            <w:r w:rsidRPr="00934B82">
              <w:rPr>
                <w:rFonts w:asciiTheme="minorHAnsi" w:eastAsia="Times New Roman" w:hAnsiTheme="minorHAnsi" w:cs="Arial"/>
                <w:b/>
                <w:bCs/>
                <w:sz w:val="20"/>
                <w:szCs w:val="20"/>
                <w:lang w:eastAsia="sk-SK"/>
              </w:rPr>
              <w:t>STU (denná forma)</w:t>
            </w:r>
          </w:p>
        </w:tc>
        <w:tc>
          <w:tcPr>
            <w:tcW w:w="1180" w:type="dxa"/>
            <w:tcBorders>
              <w:top w:val="nil"/>
              <w:left w:val="nil"/>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43</w:t>
            </w:r>
          </w:p>
        </w:tc>
        <w:tc>
          <w:tcPr>
            <w:tcW w:w="1180" w:type="dxa"/>
            <w:tcBorders>
              <w:top w:val="nil"/>
              <w:left w:val="nil"/>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7</w:t>
            </w:r>
          </w:p>
        </w:tc>
        <w:tc>
          <w:tcPr>
            <w:tcW w:w="1180" w:type="dxa"/>
            <w:tcBorders>
              <w:top w:val="nil"/>
              <w:left w:val="nil"/>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65</w:t>
            </w:r>
          </w:p>
        </w:tc>
        <w:tc>
          <w:tcPr>
            <w:tcW w:w="1180" w:type="dxa"/>
            <w:tcBorders>
              <w:top w:val="nil"/>
              <w:left w:val="nil"/>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3</w:t>
            </w:r>
          </w:p>
        </w:tc>
        <w:tc>
          <w:tcPr>
            <w:tcW w:w="1180" w:type="dxa"/>
            <w:tcBorders>
              <w:top w:val="nil"/>
              <w:left w:val="nil"/>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64</w:t>
            </w:r>
          </w:p>
        </w:tc>
        <w:tc>
          <w:tcPr>
            <w:tcW w:w="1180" w:type="dxa"/>
            <w:tcBorders>
              <w:top w:val="nil"/>
              <w:left w:val="nil"/>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1</w:t>
            </w:r>
          </w:p>
        </w:tc>
      </w:tr>
      <w:tr w:rsidR="00935B03" w:rsidRPr="00934B82" w:rsidTr="00CE307D">
        <w:trPr>
          <w:trHeight w:val="25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35B03" w:rsidRPr="00934B82" w:rsidRDefault="00935B03" w:rsidP="003D7A29">
            <w:pPr>
              <w:rPr>
                <w:rFonts w:asciiTheme="minorHAnsi" w:eastAsia="Times New Roman" w:hAnsiTheme="minorHAnsi" w:cs="Arial"/>
                <w:b/>
                <w:bCs/>
                <w:sz w:val="20"/>
                <w:szCs w:val="20"/>
                <w:lang w:eastAsia="sk-SK"/>
              </w:rPr>
            </w:pPr>
            <w:r w:rsidRPr="00934B82">
              <w:rPr>
                <w:rFonts w:asciiTheme="minorHAnsi" w:eastAsia="Times New Roman" w:hAnsiTheme="minorHAnsi" w:cs="Arial"/>
                <w:b/>
                <w:bCs/>
                <w:sz w:val="20"/>
                <w:szCs w:val="20"/>
                <w:lang w:eastAsia="sk-SK"/>
              </w:rPr>
              <w:t>STU (externá forma)</w:t>
            </w:r>
          </w:p>
        </w:tc>
        <w:tc>
          <w:tcPr>
            <w:tcW w:w="1180" w:type="dxa"/>
            <w:tcBorders>
              <w:top w:val="nil"/>
              <w:left w:val="nil"/>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2</w:t>
            </w:r>
          </w:p>
        </w:tc>
        <w:tc>
          <w:tcPr>
            <w:tcW w:w="1180" w:type="dxa"/>
            <w:tcBorders>
              <w:top w:val="nil"/>
              <w:left w:val="nil"/>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0</w:t>
            </w:r>
          </w:p>
        </w:tc>
        <w:tc>
          <w:tcPr>
            <w:tcW w:w="1180" w:type="dxa"/>
            <w:tcBorders>
              <w:top w:val="nil"/>
              <w:left w:val="nil"/>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0</w:t>
            </w:r>
          </w:p>
        </w:tc>
        <w:tc>
          <w:tcPr>
            <w:tcW w:w="1180" w:type="dxa"/>
            <w:tcBorders>
              <w:top w:val="nil"/>
              <w:left w:val="nil"/>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0</w:t>
            </w:r>
          </w:p>
        </w:tc>
        <w:tc>
          <w:tcPr>
            <w:tcW w:w="1180" w:type="dxa"/>
            <w:tcBorders>
              <w:top w:val="nil"/>
              <w:left w:val="nil"/>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57</w:t>
            </w:r>
          </w:p>
        </w:tc>
        <w:tc>
          <w:tcPr>
            <w:tcW w:w="1180" w:type="dxa"/>
            <w:tcBorders>
              <w:top w:val="nil"/>
              <w:left w:val="nil"/>
              <w:bottom w:val="single" w:sz="4" w:space="0" w:color="auto"/>
              <w:right w:val="single" w:sz="4" w:space="0" w:color="auto"/>
            </w:tcBorders>
            <w:shd w:val="clear" w:color="auto" w:fill="auto"/>
            <w:noWrap/>
            <w:vAlign w:val="center"/>
            <w:hideMark/>
          </w:tcPr>
          <w:p w:rsidR="00935B03" w:rsidRPr="00934B82" w:rsidRDefault="00935B03" w:rsidP="003D7A29">
            <w:pPr>
              <w:rPr>
                <w:rFonts w:asciiTheme="minorHAnsi" w:eastAsia="Times New Roman" w:hAnsiTheme="minorHAnsi" w:cs="Arial"/>
                <w:sz w:val="20"/>
                <w:szCs w:val="20"/>
                <w:lang w:eastAsia="sk-SK"/>
              </w:rPr>
            </w:pPr>
            <w:r w:rsidRPr="00934B82">
              <w:rPr>
                <w:rFonts w:asciiTheme="minorHAnsi" w:eastAsia="Times New Roman" w:hAnsiTheme="minorHAnsi" w:cs="Arial"/>
                <w:sz w:val="20"/>
                <w:szCs w:val="20"/>
                <w:lang w:eastAsia="sk-SK"/>
              </w:rPr>
              <w:t>9</w:t>
            </w:r>
          </w:p>
        </w:tc>
      </w:tr>
    </w:tbl>
    <w:p w:rsidR="00935B03" w:rsidRPr="00934B82" w:rsidRDefault="00935B03" w:rsidP="003D7A29">
      <w:pPr>
        <w:rPr>
          <w:rFonts w:asciiTheme="minorHAnsi" w:hAnsiTheme="minorHAnsi" w:cs="Calibri"/>
          <w:sz w:val="20"/>
          <w:szCs w:val="20"/>
        </w:rPr>
      </w:pPr>
      <w:r w:rsidRPr="00934B82">
        <w:rPr>
          <w:rFonts w:asciiTheme="minorHAnsi" w:eastAsia="Times New Roman" w:hAnsiTheme="minorHAnsi" w:cs="Arial"/>
          <w:sz w:val="20"/>
          <w:szCs w:val="20"/>
          <w:lang w:eastAsia="sk-SK"/>
        </w:rPr>
        <w:t>Stav k 31.10.2014</w:t>
      </w:r>
    </w:p>
    <w:p w:rsidR="00935B03" w:rsidRPr="002D7A10" w:rsidRDefault="00935B03" w:rsidP="003D7A29">
      <w:pPr>
        <w:rPr>
          <w:rFonts w:asciiTheme="minorHAnsi" w:hAnsiTheme="minorHAnsi" w:cs="Calibri"/>
        </w:rPr>
      </w:pPr>
    </w:p>
    <w:p w:rsidR="00935B03" w:rsidRPr="002D7A10" w:rsidRDefault="00935B03" w:rsidP="003D7A29">
      <w:pPr>
        <w:rPr>
          <w:rFonts w:asciiTheme="minorHAnsi" w:hAnsiTheme="minorHAnsi" w:cs="Calibri"/>
        </w:rPr>
      </w:pPr>
      <w:r w:rsidRPr="002D7A10">
        <w:rPr>
          <w:rFonts w:asciiTheme="minorHAnsi" w:hAnsiTheme="minorHAnsi" w:cs="Calibri"/>
        </w:rPr>
        <w:t>Aktuálny prehľad akreditovaných študijných programov na STU je akademickej obci, ako aj verejnosti k dispozícii na internetovej stránke univerzity:</w:t>
      </w:r>
    </w:p>
    <w:p w:rsidR="00935B03" w:rsidRPr="002D7A10" w:rsidRDefault="002C13A2" w:rsidP="003D7A29">
      <w:pPr>
        <w:rPr>
          <w:rStyle w:val="Hypertextovprepojenie"/>
          <w:rFonts w:asciiTheme="minorHAnsi" w:hAnsiTheme="minorHAnsi" w:cs="Calibri"/>
        </w:rPr>
      </w:pPr>
      <w:hyperlink r:id="rId10" w:history="1">
        <w:r w:rsidR="00935B03" w:rsidRPr="002D7A10">
          <w:rPr>
            <w:rStyle w:val="Hypertextovprepojenie"/>
            <w:rFonts w:asciiTheme="minorHAnsi" w:hAnsiTheme="minorHAnsi" w:cs="Calibri"/>
          </w:rPr>
          <w:t>http://www.stuba.sk/new/generate_page.php?page_id=1060</w:t>
        </w:r>
      </w:hyperlink>
      <w:r w:rsidR="00935B03" w:rsidRPr="002D7A10">
        <w:rPr>
          <w:rFonts w:asciiTheme="minorHAnsi" w:hAnsiTheme="minorHAnsi"/>
        </w:rPr>
        <w:t>.</w:t>
      </w:r>
    </w:p>
    <w:p w:rsidR="00935B03" w:rsidRPr="002D7A10" w:rsidRDefault="00935B03" w:rsidP="003D7A29">
      <w:pPr>
        <w:rPr>
          <w:rStyle w:val="Hypertextovprepojenie"/>
          <w:rFonts w:asciiTheme="minorHAnsi" w:hAnsiTheme="minorHAnsi" w:cs="Calibri"/>
        </w:rPr>
      </w:pPr>
    </w:p>
    <w:p w:rsidR="00935B03" w:rsidRPr="002D7A10" w:rsidRDefault="00935B03" w:rsidP="003D7A29">
      <w:pPr>
        <w:rPr>
          <w:rFonts w:asciiTheme="minorHAnsi" w:hAnsiTheme="minorHAnsi"/>
        </w:rPr>
      </w:pPr>
      <w:r w:rsidRPr="002D7A10">
        <w:rPr>
          <w:rFonts w:asciiTheme="minorHAnsi" w:hAnsiTheme="minorHAnsi" w:cs="Calibri"/>
        </w:rPr>
        <w:t>Platnosť akreditácie ŠP na STU je priebežne monitorovaná a  podľa dĺžky platnosti, resp. časového obmedzenia sú akreditácie ŠP aktualizované.</w:t>
      </w:r>
    </w:p>
    <w:p w:rsidR="00935B03" w:rsidRPr="002D7A10" w:rsidRDefault="00935B03" w:rsidP="003D7A29">
      <w:pPr>
        <w:spacing w:after="120"/>
        <w:outlineLvl w:val="0"/>
        <w:rPr>
          <w:rFonts w:asciiTheme="minorHAnsi" w:hAnsiTheme="minorHAnsi" w:cs="Calibri"/>
        </w:rPr>
      </w:pPr>
      <w:bookmarkStart w:id="5" w:name="_Toc448261548"/>
      <w:r w:rsidRPr="002D7A10">
        <w:rPr>
          <w:rFonts w:asciiTheme="minorHAnsi" w:hAnsiTheme="minorHAnsi" w:cs="Calibri"/>
        </w:rPr>
        <w:t xml:space="preserve">V priebehu akademického roku 2014/2015 boli podané dve žiadosti o akreditáciu nových bakalárskych ŠP a štyri  žiadosti o zmenu garanta, prípadne </w:t>
      </w:r>
      <w:proofErr w:type="spellStart"/>
      <w:r w:rsidRPr="002D7A10">
        <w:rPr>
          <w:rFonts w:asciiTheme="minorHAnsi" w:hAnsiTheme="minorHAnsi" w:cs="Calibri"/>
        </w:rPr>
        <w:t>spolugaranta</w:t>
      </w:r>
      <w:proofErr w:type="spellEnd"/>
      <w:r w:rsidRPr="002D7A10">
        <w:rPr>
          <w:rFonts w:asciiTheme="minorHAnsi" w:hAnsiTheme="minorHAnsi" w:cs="Calibri"/>
        </w:rPr>
        <w:t xml:space="preserve"> ŠP.</w:t>
      </w:r>
      <w:bookmarkEnd w:id="5"/>
      <w:r w:rsidRPr="002D7A10">
        <w:rPr>
          <w:rFonts w:asciiTheme="minorHAnsi" w:hAnsiTheme="minorHAnsi" w:cs="Calibri"/>
        </w:rPr>
        <w:t xml:space="preserve"> </w:t>
      </w:r>
    </w:p>
    <w:p w:rsidR="00B51749" w:rsidRPr="002D7A10" w:rsidRDefault="00B51749" w:rsidP="00B51749">
      <w:pPr>
        <w:spacing w:after="120"/>
        <w:outlineLvl w:val="0"/>
        <w:rPr>
          <w:rFonts w:asciiTheme="minorHAnsi" w:hAnsiTheme="minorHAnsi" w:cs="Calibri"/>
        </w:rPr>
      </w:pPr>
    </w:p>
    <w:p w:rsidR="00B51749" w:rsidRPr="002D7A10" w:rsidRDefault="00B51749" w:rsidP="00B51749">
      <w:pPr>
        <w:pStyle w:val="Nadpis3"/>
        <w:rPr>
          <w:rFonts w:asciiTheme="minorHAnsi" w:hAnsiTheme="minorHAnsi"/>
        </w:rPr>
      </w:pPr>
      <w:bookmarkStart w:id="6" w:name="_Toc448261549"/>
      <w:r w:rsidRPr="002D7A10">
        <w:rPr>
          <w:rFonts w:asciiTheme="minorHAnsi" w:hAnsiTheme="minorHAnsi"/>
        </w:rPr>
        <w:t xml:space="preserve">Akreditácia študijných programov v rámci komplexnej akreditácie </w:t>
      </w:r>
      <w:r w:rsidR="00935B03" w:rsidRPr="002D7A10">
        <w:rPr>
          <w:rFonts w:asciiTheme="minorHAnsi" w:hAnsiTheme="minorHAnsi"/>
        </w:rPr>
        <w:t xml:space="preserve">činností </w:t>
      </w:r>
      <w:r w:rsidR="00351E55">
        <w:rPr>
          <w:rFonts w:asciiTheme="minorHAnsi" w:hAnsiTheme="minorHAnsi"/>
        </w:rPr>
        <w:t>STU</w:t>
      </w:r>
      <w:bookmarkEnd w:id="6"/>
    </w:p>
    <w:p w:rsidR="00B51749" w:rsidRPr="002D7A10" w:rsidRDefault="00B51749" w:rsidP="00B51749">
      <w:pPr>
        <w:rPr>
          <w:rFonts w:asciiTheme="minorHAnsi" w:hAnsiTheme="minorHAnsi" w:cs="Calibri"/>
        </w:rPr>
      </w:pPr>
    </w:p>
    <w:p w:rsidR="00935B03" w:rsidRPr="002D7A10" w:rsidRDefault="00935B03" w:rsidP="009F4565">
      <w:pPr>
        <w:rPr>
          <w:rFonts w:asciiTheme="minorHAnsi" w:hAnsiTheme="minorHAnsi" w:cs="Calibri"/>
        </w:rPr>
      </w:pPr>
      <w:r w:rsidRPr="002D7A10">
        <w:rPr>
          <w:rFonts w:asciiTheme="minorHAnsi" w:hAnsiTheme="minorHAnsi" w:cs="Calibri"/>
        </w:rPr>
        <w:t>V akademickom roku 2014/2015 prebiehala komplexná akreditácia činností STU, ktorá začala 2. júna 2014 v súlade s plánom komplexných akreditácií. Akreditačná komisia hodnotila predložené akreditačné spisy</w:t>
      </w:r>
      <w:r w:rsidR="000F64CB" w:rsidRPr="002D7A10">
        <w:rPr>
          <w:rFonts w:asciiTheme="minorHAnsi" w:hAnsiTheme="minorHAnsi" w:cs="Calibri"/>
        </w:rPr>
        <w:t>. V</w:t>
      </w:r>
      <w:r w:rsidRPr="002D7A10">
        <w:rPr>
          <w:rFonts w:asciiTheme="minorHAnsi" w:hAnsiTheme="minorHAnsi" w:cs="Calibri"/>
        </w:rPr>
        <w:t xml:space="preserve"> rámci toho v dňoch 21. až 24. 10. 2014 návštevou STU a jednotlivých fakúlt preverila skutočnosti uvádzané v žiadosti a podkladoch predložených STU. V priebehu návštevy STU Akreditačná komisia doplnila informácie nazretím do dokumentácie, obhliadla priestory a vybavenie STU a jej fakúlt a uskutočnila osobné pohovory s poverenými </w:t>
      </w:r>
      <w:r w:rsidRPr="002D7A10">
        <w:rPr>
          <w:rFonts w:asciiTheme="minorHAnsi" w:hAnsiTheme="minorHAnsi" w:cs="Calibri"/>
        </w:rPr>
        <w:lastRenderedPageBreak/>
        <w:t xml:space="preserve">členmi orgánov akademickej samosprávy STU, </w:t>
      </w:r>
      <w:r w:rsidR="000F64CB" w:rsidRPr="002D7A10">
        <w:rPr>
          <w:rFonts w:asciiTheme="minorHAnsi" w:hAnsiTheme="minorHAnsi" w:cs="Calibri"/>
        </w:rPr>
        <w:t xml:space="preserve">jej zamestnancami a študentmi.  </w:t>
      </w:r>
      <w:r w:rsidRPr="002D7A10">
        <w:rPr>
          <w:rFonts w:asciiTheme="minorHAnsi" w:hAnsiTheme="minorHAnsi" w:cs="Calibri"/>
        </w:rPr>
        <w:t xml:space="preserve">V rámci procesu komplexnej akreditácie bola Akreditačnou komisiou posúdená a zhodnotená vzdelávacia činnosť STU v </w:t>
      </w:r>
      <w:proofErr w:type="spellStart"/>
      <w:r w:rsidRPr="002D7A10">
        <w:rPr>
          <w:rFonts w:asciiTheme="minorHAnsi" w:hAnsiTheme="minorHAnsi" w:cs="Calibri"/>
        </w:rPr>
        <w:t>náväznosti</w:t>
      </w:r>
      <w:proofErr w:type="spellEnd"/>
      <w:r w:rsidRPr="002D7A10">
        <w:rPr>
          <w:rFonts w:asciiTheme="minorHAnsi" w:hAnsiTheme="minorHAnsi" w:cs="Calibri"/>
        </w:rPr>
        <w:t xml:space="preserve"> na jej dlhodobý zámer, ako aj personálne, technické, informačné a ďalšie podmienky, v ktorých sa táto činnosť' uskutočňuje. </w:t>
      </w:r>
    </w:p>
    <w:p w:rsidR="00935B03" w:rsidRPr="002D7A10" w:rsidRDefault="00935B03" w:rsidP="009F4565">
      <w:pPr>
        <w:rPr>
          <w:rFonts w:asciiTheme="minorHAnsi" w:hAnsiTheme="minorHAnsi" w:cs="Calibri"/>
        </w:rPr>
      </w:pPr>
      <w:r w:rsidRPr="002D7A10">
        <w:rPr>
          <w:rFonts w:asciiTheme="minorHAnsi" w:hAnsiTheme="minorHAnsi" w:cs="Calibri"/>
        </w:rPr>
        <w:t xml:space="preserve">Akreditačná komisia schválila hodnotiacu správu na svojom 88. zasadnutí konanom v dňoch 22. až 25. augusta 2015 v Trnave za prítomnosti rektora STU s prihliadnutím na vyjadrenie STU k  hodnotiacej správe. </w:t>
      </w:r>
    </w:p>
    <w:p w:rsidR="00935B03" w:rsidRPr="002D7A10" w:rsidRDefault="00935B03" w:rsidP="009F4565">
      <w:pPr>
        <w:rPr>
          <w:rFonts w:asciiTheme="minorHAnsi" w:hAnsiTheme="minorHAnsi" w:cs="Calibri"/>
        </w:rPr>
      </w:pPr>
      <w:r w:rsidRPr="002D7A10">
        <w:rPr>
          <w:rFonts w:asciiTheme="minorHAnsi" w:hAnsiTheme="minorHAnsi" w:cs="Calibri"/>
        </w:rPr>
        <w:t>Komplexná akreditácia činností STU sa skončila dňa 9. 11. 2015 doručením výsledkov, súčasťou ktorých bol</w:t>
      </w:r>
      <w:r w:rsidR="000F64CB" w:rsidRPr="002D7A10">
        <w:rPr>
          <w:rFonts w:asciiTheme="minorHAnsi" w:hAnsiTheme="minorHAnsi" w:cs="Calibri"/>
        </w:rPr>
        <w:t>o rozhodnutie</w:t>
      </w:r>
      <w:r w:rsidRPr="002D7A10">
        <w:rPr>
          <w:rFonts w:asciiTheme="minorHAnsi" w:hAnsiTheme="minorHAnsi" w:cs="Calibri"/>
        </w:rPr>
        <w:t xml:space="preserve"> ministra týkajúce sa priznania, pozastavenia, odňatia a nepriznania (zamietnutia) práv u</w:t>
      </w:r>
      <w:r w:rsidR="000F64CB" w:rsidRPr="002D7A10">
        <w:rPr>
          <w:rFonts w:asciiTheme="minorHAnsi" w:hAnsiTheme="minorHAnsi" w:cs="Calibri"/>
        </w:rPr>
        <w:t xml:space="preserve">skutočňovať študijné programy. </w:t>
      </w:r>
      <w:r w:rsidRPr="002D7A10">
        <w:rPr>
          <w:rFonts w:asciiTheme="minorHAnsi" w:hAnsiTheme="minorHAnsi" w:cs="Calibri"/>
        </w:rPr>
        <w:t>Minister rozhodol o </w:t>
      </w:r>
      <w:r w:rsidRPr="002D7A10">
        <w:rPr>
          <w:rFonts w:asciiTheme="minorHAnsi" w:hAnsiTheme="minorHAnsi" w:cs="Calibri"/>
          <w:b/>
        </w:rPr>
        <w:t>priazní práv celkovo pre 2</w:t>
      </w:r>
      <w:r w:rsidR="00351E55">
        <w:rPr>
          <w:rFonts w:asciiTheme="minorHAnsi" w:hAnsiTheme="minorHAnsi" w:cs="Calibri"/>
          <w:b/>
        </w:rPr>
        <w:t>28</w:t>
      </w:r>
      <w:r w:rsidRPr="002D7A10">
        <w:rPr>
          <w:rFonts w:asciiTheme="minorHAnsi" w:hAnsiTheme="minorHAnsi" w:cs="Calibri"/>
          <w:b/>
        </w:rPr>
        <w:t xml:space="preserve"> študijných programov uskutočňovaných</w:t>
      </w:r>
      <w:r w:rsidRPr="002D7A10">
        <w:rPr>
          <w:rFonts w:asciiTheme="minorHAnsi" w:hAnsiTheme="minorHAnsi" w:cs="Calibri"/>
        </w:rPr>
        <w:t xml:space="preserve"> </w:t>
      </w:r>
      <w:r w:rsidRPr="002D7A10">
        <w:rPr>
          <w:rFonts w:asciiTheme="minorHAnsi" w:hAnsiTheme="minorHAnsi" w:cs="Calibri"/>
          <w:b/>
        </w:rPr>
        <w:t xml:space="preserve">v slovenskom jazyku, resp. v kombinácii slovanského a anglického jazyka </w:t>
      </w:r>
      <w:r w:rsidRPr="002D7A10">
        <w:rPr>
          <w:rFonts w:asciiTheme="minorHAnsi" w:hAnsiTheme="minorHAnsi" w:cs="Calibri"/>
        </w:rPr>
        <w:t xml:space="preserve">(ďalej tiež „štátny </w:t>
      </w:r>
      <w:r w:rsidRPr="002D7A10">
        <w:rPr>
          <w:rFonts w:asciiTheme="minorHAnsi" w:hAnsiTheme="minorHAnsi" w:cs="Calibri"/>
          <w:b/>
        </w:rPr>
        <w:t>jazyku“) a 1</w:t>
      </w:r>
      <w:r w:rsidR="00351E55">
        <w:rPr>
          <w:rFonts w:asciiTheme="minorHAnsi" w:hAnsiTheme="minorHAnsi" w:cs="Calibri"/>
          <w:b/>
        </w:rPr>
        <w:t>50</w:t>
      </w:r>
      <w:r w:rsidRPr="002D7A10">
        <w:rPr>
          <w:rFonts w:asciiTheme="minorHAnsi" w:hAnsiTheme="minorHAnsi" w:cs="Calibri"/>
          <w:b/>
        </w:rPr>
        <w:t xml:space="preserve"> študijných programov uskutočňovaných výlučne</w:t>
      </w:r>
      <w:r w:rsidRPr="002D7A10">
        <w:rPr>
          <w:rFonts w:asciiTheme="minorHAnsi" w:hAnsiTheme="minorHAnsi" w:cs="Calibri"/>
        </w:rPr>
        <w:t xml:space="preserve"> </w:t>
      </w:r>
      <w:r w:rsidRPr="002D7A10">
        <w:rPr>
          <w:rFonts w:asciiTheme="minorHAnsi" w:hAnsiTheme="minorHAnsi" w:cs="Calibri"/>
          <w:b/>
        </w:rPr>
        <w:t>v anglickom jazyku</w:t>
      </w:r>
      <w:r w:rsidRPr="002D7A10">
        <w:rPr>
          <w:rFonts w:asciiTheme="minorHAnsi" w:hAnsiTheme="minorHAnsi" w:cs="Calibri"/>
        </w:rPr>
        <w:t xml:space="preserve"> vo všetkých troch stupňoch štúdia v </w:t>
      </w:r>
      <w:r w:rsidRPr="002D7A10">
        <w:rPr>
          <w:rFonts w:asciiTheme="minorHAnsi" w:hAnsiTheme="minorHAnsi" w:cs="Calibri"/>
          <w:b/>
        </w:rPr>
        <w:t>60 študijných odboroch</w:t>
      </w:r>
      <w:r w:rsidRPr="002D7A10">
        <w:rPr>
          <w:rFonts w:asciiTheme="minorHAnsi" w:hAnsiTheme="minorHAnsi" w:cs="Calibri"/>
        </w:rPr>
        <w:t xml:space="preserve">. Na prvom a druhom stupni štúdia boli priznané práva len pre dennú formu štúdia, na treťom stupni štúdia pre dennú aj externú formu štúdia. </w:t>
      </w:r>
    </w:p>
    <w:p w:rsidR="009F4565" w:rsidRDefault="00935B03" w:rsidP="009F4565">
      <w:pPr>
        <w:rPr>
          <w:rFonts w:asciiTheme="minorHAnsi" w:hAnsiTheme="minorHAnsi" w:cs="Calibri"/>
        </w:rPr>
      </w:pPr>
      <w:r w:rsidRPr="002D7A10">
        <w:rPr>
          <w:rFonts w:asciiTheme="minorHAnsi" w:hAnsiTheme="minorHAnsi" w:cs="Calibri"/>
        </w:rPr>
        <w:t xml:space="preserve">Na prvom stupni štúdia boli priznané práva pre </w:t>
      </w:r>
      <w:r w:rsidRPr="002D7A10">
        <w:rPr>
          <w:rFonts w:asciiTheme="minorHAnsi" w:hAnsiTheme="minorHAnsi" w:cs="Calibri"/>
          <w:b/>
        </w:rPr>
        <w:t xml:space="preserve">54 </w:t>
      </w:r>
      <w:r w:rsidRPr="002D7A10">
        <w:rPr>
          <w:rFonts w:asciiTheme="minorHAnsi" w:hAnsiTheme="minorHAnsi" w:cs="Calibri"/>
        </w:rPr>
        <w:t>študijných programov</w:t>
      </w:r>
      <w:r w:rsidRPr="002D7A10">
        <w:rPr>
          <w:rFonts w:asciiTheme="minorHAnsi" w:hAnsiTheme="minorHAnsi" w:cs="Calibri"/>
          <w:b/>
        </w:rPr>
        <w:t xml:space="preserve"> v štátnom jazyku</w:t>
      </w:r>
      <w:r w:rsidRPr="002D7A10">
        <w:rPr>
          <w:rFonts w:asciiTheme="minorHAnsi" w:hAnsiTheme="minorHAnsi" w:cs="Calibri"/>
        </w:rPr>
        <w:t xml:space="preserve">, z toho </w:t>
      </w:r>
      <w:r w:rsidRPr="002D7A10">
        <w:rPr>
          <w:rFonts w:asciiTheme="minorHAnsi" w:hAnsiTheme="minorHAnsi" w:cs="Calibri"/>
          <w:b/>
        </w:rPr>
        <w:t xml:space="preserve">21 nových </w:t>
      </w:r>
      <w:r w:rsidR="009F4565">
        <w:rPr>
          <w:rFonts w:asciiTheme="minorHAnsi" w:hAnsiTheme="minorHAnsi" w:cs="Calibri"/>
        </w:rPr>
        <w:t xml:space="preserve">študijných programov. </w:t>
      </w:r>
    </w:p>
    <w:p w:rsidR="00935B03" w:rsidRPr="002D7A10" w:rsidRDefault="00935B03" w:rsidP="009F4565">
      <w:pPr>
        <w:rPr>
          <w:rFonts w:asciiTheme="minorHAnsi" w:hAnsiTheme="minorHAnsi" w:cs="Calibri"/>
        </w:rPr>
      </w:pPr>
      <w:r w:rsidRPr="002D7A10">
        <w:rPr>
          <w:rFonts w:asciiTheme="minorHAnsi" w:hAnsiTheme="minorHAnsi" w:cs="Calibri"/>
        </w:rPr>
        <w:t xml:space="preserve">Na druhom stupni štúdia boli priznané práva pre </w:t>
      </w:r>
      <w:r w:rsidRPr="002D7A10">
        <w:rPr>
          <w:rFonts w:asciiTheme="minorHAnsi" w:hAnsiTheme="minorHAnsi" w:cs="Calibri"/>
          <w:b/>
        </w:rPr>
        <w:t xml:space="preserve">59 </w:t>
      </w:r>
      <w:r w:rsidRPr="002D7A10">
        <w:rPr>
          <w:rFonts w:asciiTheme="minorHAnsi" w:hAnsiTheme="minorHAnsi" w:cs="Calibri"/>
        </w:rPr>
        <w:t xml:space="preserve">študijných programov </w:t>
      </w:r>
      <w:r w:rsidRPr="002D7A10">
        <w:rPr>
          <w:rFonts w:asciiTheme="minorHAnsi" w:hAnsiTheme="minorHAnsi" w:cs="Calibri"/>
          <w:b/>
        </w:rPr>
        <w:t>v štátnom jazyku</w:t>
      </w:r>
      <w:r w:rsidRPr="002D7A10">
        <w:rPr>
          <w:rFonts w:asciiTheme="minorHAnsi" w:hAnsiTheme="minorHAnsi" w:cs="Calibri"/>
        </w:rPr>
        <w:t xml:space="preserve">, z toho </w:t>
      </w:r>
      <w:r w:rsidRPr="002D7A10">
        <w:rPr>
          <w:rFonts w:asciiTheme="minorHAnsi" w:hAnsiTheme="minorHAnsi" w:cs="Calibri"/>
          <w:b/>
        </w:rPr>
        <w:t xml:space="preserve">20 nových </w:t>
      </w:r>
      <w:r w:rsidRPr="002D7A10">
        <w:rPr>
          <w:rFonts w:asciiTheme="minorHAnsi" w:hAnsiTheme="minorHAnsi" w:cs="Calibri"/>
        </w:rPr>
        <w:t xml:space="preserve">študijných programov. </w:t>
      </w:r>
    </w:p>
    <w:p w:rsidR="00935B03" w:rsidRPr="002D7A10" w:rsidRDefault="00935B03" w:rsidP="009F4565">
      <w:pPr>
        <w:rPr>
          <w:rFonts w:asciiTheme="minorHAnsi" w:hAnsiTheme="minorHAnsi" w:cs="Calibri"/>
        </w:rPr>
      </w:pPr>
      <w:r w:rsidRPr="002D7A10">
        <w:rPr>
          <w:rFonts w:asciiTheme="minorHAnsi" w:hAnsiTheme="minorHAnsi" w:cs="Calibri"/>
        </w:rPr>
        <w:t xml:space="preserve">Na treťom stupni štúdia boli priznané práva pre </w:t>
      </w:r>
      <w:r w:rsidRPr="002D7A10">
        <w:rPr>
          <w:rFonts w:asciiTheme="minorHAnsi" w:hAnsiTheme="minorHAnsi" w:cs="Calibri"/>
          <w:b/>
        </w:rPr>
        <w:t xml:space="preserve">58 </w:t>
      </w:r>
      <w:r w:rsidRPr="002D7A10">
        <w:rPr>
          <w:rFonts w:asciiTheme="minorHAnsi" w:hAnsiTheme="minorHAnsi" w:cs="Calibri"/>
        </w:rPr>
        <w:t>študijných programov</w:t>
      </w:r>
      <w:r w:rsidRPr="002D7A10">
        <w:rPr>
          <w:rFonts w:asciiTheme="minorHAnsi" w:hAnsiTheme="minorHAnsi" w:cs="Calibri"/>
          <w:b/>
        </w:rPr>
        <w:t xml:space="preserve"> v štátnom jazyku v dennej forme štúdia</w:t>
      </w:r>
      <w:r w:rsidRPr="002D7A10">
        <w:rPr>
          <w:rFonts w:asciiTheme="minorHAnsi" w:hAnsiTheme="minorHAnsi" w:cs="Calibri"/>
        </w:rPr>
        <w:t xml:space="preserve">, z toho </w:t>
      </w:r>
      <w:r w:rsidRPr="002D7A10">
        <w:rPr>
          <w:rFonts w:asciiTheme="minorHAnsi" w:hAnsiTheme="minorHAnsi" w:cs="Calibri"/>
          <w:b/>
        </w:rPr>
        <w:t xml:space="preserve">22 nových </w:t>
      </w:r>
      <w:r w:rsidRPr="002D7A10">
        <w:rPr>
          <w:rFonts w:asciiTheme="minorHAnsi" w:hAnsiTheme="minorHAnsi" w:cs="Calibri"/>
        </w:rPr>
        <w:t>študijných programov.</w:t>
      </w:r>
      <w:r w:rsidRPr="002D7A10">
        <w:rPr>
          <w:rFonts w:asciiTheme="minorHAnsi" w:hAnsiTheme="minorHAnsi" w:cs="Calibri"/>
          <w:b/>
        </w:rPr>
        <w:t xml:space="preserve"> V externej forme štúdia </w:t>
      </w:r>
      <w:r w:rsidRPr="002D7A10">
        <w:rPr>
          <w:rFonts w:asciiTheme="minorHAnsi" w:hAnsiTheme="minorHAnsi" w:cs="Calibri"/>
        </w:rPr>
        <w:t xml:space="preserve">bolo priznané právo pre </w:t>
      </w:r>
      <w:r w:rsidRPr="002D7A10">
        <w:rPr>
          <w:rFonts w:asciiTheme="minorHAnsi" w:hAnsiTheme="minorHAnsi" w:cs="Calibri"/>
          <w:b/>
        </w:rPr>
        <w:t xml:space="preserve">57 </w:t>
      </w:r>
      <w:r w:rsidRPr="002D7A10">
        <w:rPr>
          <w:rFonts w:asciiTheme="minorHAnsi" w:hAnsiTheme="minorHAnsi" w:cs="Calibri"/>
        </w:rPr>
        <w:t>doktorandských</w:t>
      </w:r>
      <w:r w:rsidRPr="002D7A10">
        <w:rPr>
          <w:rFonts w:asciiTheme="minorHAnsi" w:hAnsiTheme="minorHAnsi" w:cs="Calibri"/>
          <w:b/>
        </w:rPr>
        <w:t xml:space="preserve"> </w:t>
      </w:r>
      <w:r w:rsidRPr="002D7A10">
        <w:rPr>
          <w:rFonts w:asciiTheme="minorHAnsi" w:hAnsiTheme="minorHAnsi" w:cs="Calibri"/>
        </w:rPr>
        <w:t>študijných programov</w:t>
      </w:r>
      <w:r w:rsidRPr="002D7A10">
        <w:rPr>
          <w:rFonts w:asciiTheme="minorHAnsi" w:hAnsiTheme="minorHAnsi" w:cs="Calibri"/>
          <w:b/>
        </w:rPr>
        <w:t xml:space="preserve"> v štátnom jazyku</w:t>
      </w:r>
      <w:r w:rsidRPr="002D7A10">
        <w:rPr>
          <w:rFonts w:asciiTheme="minorHAnsi" w:hAnsiTheme="minorHAnsi" w:cs="Calibri"/>
        </w:rPr>
        <w:t xml:space="preserve">, z toho </w:t>
      </w:r>
      <w:r w:rsidRPr="002D7A10">
        <w:rPr>
          <w:rFonts w:asciiTheme="minorHAnsi" w:hAnsiTheme="minorHAnsi" w:cs="Calibri"/>
          <w:b/>
        </w:rPr>
        <w:t xml:space="preserve">29 nových </w:t>
      </w:r>
      <w:r w:rsidRPr="002D7A10">
        <w:rPr>
          <w:rFonts w:asciiTheme="minorHAnsi" w:hAnsiTheme="minorHAnsi" w:cs="Calibri"/>
        </w:rPr>
        <w:t>študijných programov.</w:t>
      </w:r>
    </w:p>
    <w:p w:rsidR="00935B03" w:rsidRPr="002D7A10" w:rsidRDefault="00935B03" w:rsidP="00935B03">
      <w:pPr>
        <w:spacing w:after="120"/>
        <w:rPr>
          <w:rFonts w:asciiTheme="minorHAnsi" w:hAnsiTheme="minorHAnsi" w:cs="Calibri"/>
        </w:rPr>
      </w:pPr>
      <w:r w:rsidRPr="002D7A10">
        <w:rPr>
          <w:rFonts w:asciiTheme="minorHAnsi" w:hAnsiTheme="minorHAnsi" w:cs="Calibri"/>
        </w:rPr>
        <w:t xml:space="preserve">Z celkového počtu priznaných práv uskutočňovať študijný program v štátnom jazyku bolo </w:t>
      </w:r>
      <w:r w:rsidR="00351E55">
        <w:rPr>
          <w:rFonts w:asciiTheme="minorHAnsi" w:hAnsiTheme="minorHAnsi" w:cs="Calibri"/>
          <w:b/>
        </w:rPr>
        <w:t xml:space="preserve">92 </w:t>
      </w:r>
      <w:r w:rsidRPr="002D7A10">
        <w:rPr>
          <w:rFonts w:asciiTheme="minorHAnsi" w:hAnsiTheme="minorHAnsi" w:cs="Calibri"/>
          <w:b/>
        </w:rPr>
        <w:t>nových</w:t>
      </w:r>
      <w:r w:rsidR="00C81F7D" w:rsidRPr="002D7A10">
        <w:rPr>
          <w:rFonts w:asciiTheme="minorHAnsi" w:hAnsiTheme="minorHAnsi" w:cs="Calibri"/>
          <w:b/>
        </w:rPr>
        <w:t xml:space="preserve"> </w:t>
      </w:r>
      <w:r w:rsidRPr="002D7A10">
        <w:rPr>
          <w:rFonts w:asciiTheme="minorHAnsi" w:hAnsiTheme="minorHAnsi" w:cs="Calibri"/>
          <w:b/>
        </w:rPr>
        <w:t xml:space="preserve">študijných programov a 136 študijných programov bolo </w:t>
      </w:r>
      <w:proofErr w:type="spellStart"/>
      <w:r w:rsidRPr="002D7A10">
        <w:rPr>
          <w:rFonts w:asciiTheme="minorHAnsi" w:hAnsiTheme="minorHAnsi" w:cs="Calibri"/>
          <w:b/>
        </w:rPr>
        <w:t>reakreditovaných</w:t>
      </w:r>
      <w:proofErr w:type="spellEnd"/>
      <w:r w:rsidRPr="002D7A10">
        <w:rPr>
          <w:rFonts w:asciiTheme="minorHAnsi" w:hAnsiTheme="minorHAnsi" w:cs="Calibri"/>
        </w:rPr>
        <w:t>.</w:t>
      </w:r>
    </w:p>
    <w:p w:rsidR="00935B03" w:rsidRPr="002D7A10" w:rsidRDefault="00935B03" w:rsidP="009F4565">
      <w:pPr>
        <w:rPr>
          <w:rFonts w:asciiTheme="minorHAnsi" w:hAnsiTheme="minorHAnsi" w:cs="Calibri"/>
        </w:rPr>
      </w:pPr>
      <w:r w:rsidRPr="002D7A10">
        <w:rPr>
          <w:rFonts w:asciiTheme="minorHAnsi" w:hAnsiTheme="minorHAnsi" w:cs="Calibri"/>
        </w:rPr>
        <w:t>Minister odňal právo celkovo 83 študijným programom, z toho 21 na prvom stupni, 28 na druhom stupni a 34 na treťom stupni</w:t>
      </w:r>
      <w:r w:rsidR="00684F9A" w:rsidRPr="002D7A10">
        <w:rPr>
          <w:rFonts w:asciiTheme="minorHAnsi" w:hAnsiTheme="minorHAnsi" w:cs="Calibri"/>
        </w:rPr>
        <w:t xml:space="preserve"> štúdia v dennej forme</w:t>
      </w:r>
      <w:r w:rsidRPr="002D7A10">
        <w:rPr>
          <w:rFonts w:asciiTheme="minorHAnsi" w:hAnsiTheme="minorHAnsi" w:cs="Calibri"/>
        </w:rPr>
        <w:t>. Právo bolo odňaté z dôvodu, že STU nepodala žiadosť o ich akreditáciu v rámci komplexnej akreditácie. Namiesto toho fakulty predkladali žiadosti o akreditáciu nových študijných programov.</w:t>
      </w:r>
    </w:p>
    <w:p w:rsidR="00935B03" w:rsidRPr="002D7A10" w:rsidRDefault="00935B03" w:rsidP="009F4565">
      <w:pPr>
        <w:rPr>
          <w:rFonts w:asciiTheme="minorHAnsi" w:hAnsiTheme="minorHAnsi" w:cs="Calibri"/>
        </w:rPr>
      </w:pPr>
      <w:r w:rsidRPr="002D7A10">
        <w:rPr>
          <w:rFonts w:asciiTheme="minorHAnsi" w:hAnsiTheme="minorHAnsi" w:cs="Calibri"/>
        </w:rPr>
        <w:t xml:space="preserve">Minister pozastavil právo celkovo 3 študijným programom uskutočňovaným v štátnom jazyku, z toho 1 na prvom stupni, 1 na druhom stupni a 1 na treťom stupni štúdia v dennej forme štúdia a zamietol žiadosť o akreditáciu celkovo 10 študijných programov uskutočňovaným v štátnom jazyku, z toho 2 na druhom stupni a 8 na treťom stupni štúdia (3 v dennej forme a 5 v externej forme). </w:t>
      </w:r>
    </w:p>
    <w:p w:rsidR="00935B03" w:rsidRPr="002D7A10" w:rsidRDefault="00935B03" w:rsidP="009F4565">
      <w:pPr>
        <w:rPr>
          <w:rFonts w:asciiTheme="minorHAnsi" w:hAnsiTheme="minorHAnsi" w:cs="Calibri"/>
        </w:rPr>
      </w:pPr>
      <w:r w:rsidRPr="002D7A10">
        <w:rPr>
          <w:rFonts w:asciiTheme="minorHAnsi" w:hAnsiTheme="minorHAnsi" w:cs="Calibri"/>
        </w:rPr>
        <w:t xml:space="preserve">Sumárny prehľad priznaných práv uskutočňovať študijné programy na všetkých stupňoch štúdia v dennej a externej forme štúdia na jednotlivých súčastiach STU v rámci komplexnej akreditácie uvádza </w:t>
      </w:r>
      <w:r w:rsidR="00684F9A" w:rsidRPr="002D7A10">
        <w:rPr>
          <w:rFonts w:asciiTheme="minorHAnsi" w:hAnsiTheme="minorHAnsi" w:cs="Calibri"/>
        </w:rPr>
        <w:t>t</w:t>
      </w:r>
      <w:r w:rsidRPr="002D7A10">
        <w:rPr>
          <w:rFonts w:asciiTheme="minorHAnsi" w:hAnsiTheme="minorHAnsi" w:cs="Calibri"/>
        </w:rPr>
        <w:t xml:space="preserve">abuľka č. </w:t>
      </w:r>
      <w:r w:rsidR="00C81F7D" w:rsidRPr="002D7A10">
        <w:rPr>
          <w:rFonts w:asciiTheme="minorHAnsi" w:hAnsiTheme="minorHAnsi" w:cs="Calibri"/>
        </w:rPr>
        <w:t>3.</w:t>
      </w:r>
      <w:r w:rsidRPr="002D7A10">
        <w:rPr>
          <w:rFonts w:asciiTheme="minorHAnsi" w:hAnsiTheme="minorHAnsi" w:cs="Calibri"/>
        </w:rPr>
        <w:t>3.</w:t>
      </w:r>
    </w:p>
    <w:p w:rsidR="00935B03" w:rsidRPr="002D7A10" w:rsidRDefault="00935B03" w:rsidP="00935B03">
      <w:pPr>
        <w:rPr>
          <w:rFonts w:asciiTheme="minorHAnsi" w:hAnsiTheme="minorHAnsi" w:cs="Calibri"/>
        </w:rPr>
        <w:sectPr w:rsidR="00935B03" w:rsidRPr="002D7A10" w:rsidSect="00B63321">
          <w:headerReference w:type="default" r:id="rId11"/>
          <w:footerReference w:type="default" r:id="rId12"/>
          <w:type w:val="continuous"/>
          <w:pgSz w:w="11906" w:h="16838"/>
          <w:pgMar w:top="1560" w:right="991" w:bottom="851" w:left="1417" w:header="850" w:footer="545" w:gutter="0"/>
          <w:pgNumType w:start="1"/>
          <w:cols w:space="708"/>
          <w:docGrid w:linePitch="326"/>
        </w:sectPr>
      </w:pPr>
    </w:p>
    <w:p w:rsidR="00E756F2" w:rsidRPr="00E756F2" w:rsidRDefault="00E756F2" w:rsidP="00E756F2">
      <w:pPr>
        <w:rPr>
          <w:rFonts w:asciiTheme="minorHAnsi" w:hAnsiTheme="minorHAnsi" w:cs="Calibri"/>
          <w:b/>
          <w:sz w:val="20"/>
          <w:szCs w:val="20"/>
        </w:rPr>
      </w:pPr>
      <w:r w:rsidRPr="00E756F2">
        <w:rPr>
          <w:rFonts w:asciiTheme="minorHAnsi" w:hAnsiTheme="minorHAnsi" w:cs="Calibri"/>
          <w:b/>
          <w:sz w:val="20"/>
          <w:szCs w:val="20"/>
        </w:rPr>
        <w:lastRenderedPageBreak/>
        <w:t>Tabuľka č. 3.3:</w:t>
      </w:r>
      <w:r w:rsidRPr="00E756F2">
        <w:rPr>
          <w:rFonts w:asciiTheme="minorHAnsi" w:hAnsiTheme="minorHAnsi"/>
          <w:b/>
          <w:sz w:val="20"/>
          <w:szCs w:val="20"/>
        </w:rPr>
        <w:t xml:space="preserve"> </w:t>
      </w:r>
      <w:r w:rsidR="001A30EC">
        <w:rPr>
          <w:rFonts w:asciiTheme="minorHAnsi" w:hAnsiTheme="minorHAnsi" w:cs="Calibri"/>
          <w:b/>
          <w:sz w:val="20"/>
          <w:szCs w:val="20"/>
        </w:rPr>
        <w:t xml:space="preserve">Prehľad študijných programov, </w:t>
      </w:r>
      <w:r w:rsidRPr="00E756F2">
        <w:rPr>
          <w:rFonts w:asciiTheme="minorHAnsi" w:hAnsiTheme="minorHAnsi" w:cs="Calibri"/>
          <w:b/>
          <w:sz w:val="20"/>
          <w:szCs w:val="20"/>
        </w:rPr>
        <w:t xml:space="preserve">ktorým boli priznané práva v rámci komplexnej akreditácie </w:t>
      </w:r>
    </w:p>
    <w:p w:rsidR="001A30EC" w:rsidRPr="001A30EC" w:rsidRDefault="001A30EC" w:rsidP="001A30EC">
      <w:pPr>
        <w:rPr>
          <w:rFonts w:asciiTheme="majorHAnsi" w:hAnsiTheme="majorHAnsi" w:cs="Calibri"/>
          <w:sz w:val="20"/>
          <w:szCs w:val="20"/>
        </w:rPr>
      </w:pPr>
    </w:p>
    <w:tbl>
      <w:tblPr>
        <w:tblW w:w="15026" w:type="dxa"/>
        <w:tblInd w:w="-497" w:type="dxa"/>
        <w:tblLayout w:type="fixed"/>
        <w:tblCellMar>
          <w:left w:w="70" w:type="dxa"/>
          <w:right w:w="70" w:type="dxa"/>
        </w:tblCellMar>
        <w:tblLook w:val="04A0" w:firstRow="1" w:lastRow="0" w:firstColumn="1" w:lastColumn="0" w:noHBand="0" w:noVBand="1"/>
      </w:tblPr>
      <w:tblGrid>
        <w:gridCol w:w="1484"/>
        <w:gridCol w:w="456"/>
        <w:gridCol w:w="457"/>
        <w:gridCol w:w="456"/>
        <w:gridCol w:w="457"/>
        <w:gridCol w:w="456"/>
        <w:gridCol w:w="457"/>
        <w:gridCol w:w="456"/>
        <w:gridCol w:w="457"/>
        <w:gridCol w:w="457"/>
        <w:gridCol w:w="456"/>
        <w:gridCol w:w="457"/>
        <w:gridCol w:w="456"/>
        <w:gridCol w:w="457"/>
        <w:gridCol w:w="456"/>
        <w:gridCol w:w="457"/>
        <w:gridCol w:w="457"/>
        <w:gridCol w:w="620"/>
        <w:gridCol w:w="620"/>
        <w:gridCol w:w="620"/>
        <w:gridCol w:w="620"/>
        <w:gridCol w:w="620"/>
        <w:gridCol w:w="620"/>
        <w:gridCol w:w="620"/>
        <w:gridCol w:w="621"/>
        <w:gridCol w:w="1276"/>
      </w:tblGrid>
      <w:tr w:rsidR="001A30EC" w:rsidRPr="001A30EC" w:rsidTr="00BE11C4">
        <w:trPr>
          <w:trHeight w:val="315"/>
        </w:trPr>
        <w:tc>
          <w:tcPr>
            <w:tcW w:w="1484" w:type="dxa"/>
            <w:vMerge w:val="restart"/>
            <w:tcBorders>
              <w:top w:val="double" w:sz="6" w:space="0" w:color="auto"/>
              <w:left w:val="double" w:sz="6" w:space="0" w:color="auto"/>
              <w:bottom w:val="double" w:sz="6" w:space="0" w:color="000000"/>
              <w:right w:val="double" w:sz="6" w:space="0" w:color="auto"/>
            </w:tcBorders>
            <w:shd w:val="clear" w:color="auto" w:fill="auto"/>
            <w:vAlign w:val="bottom"/>
            <w:hideMark/>
          </w:tcPr>
          <w:p w:rsidR="001A30EC" w:rsidRPr="001A30EC" w:rsidRDefault="001A30EC" w:rsidP="00550C14">
            <w:pP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Fakulta</w:t>
            </w:r>
          </w:p>
        </w:tc>
        <w:tc>
          <w:tcPr>
            <w:tcW w:w="13542" w:type="dxa"/>
            <w:gridSpan w:val="25"/>
            <w:tcBorders>
              <w:top w:val="double" w:sz="6" w:space="0" w:color="auto"/>
              <w:left w:val="nil"/>
              <w:bottom w:val="single" w:sz="4" w:space="0" w:color="auto"/>
              <w:right w:val="double" w:sz="6" w:space="0" w:color="000000"/>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Študijné programy po komplexnej akreditácii</w:t>
            </w:r>
          </w:p>
        </w:tc>
      </w:tr>
      <w:tr w:rsidR="001A30EC" w:rsidRPr="001A30EC" w:rsidTr="00BE11C4">
        <w:trPr>
          <w:trHeight w:val="315"/>
        </w:trPr>
        <w:tc>
          <w:tcPr>
            <w:tcW w:w="1484" w:type="dxa"/>
            <w:vMerge/>
            <w:tcBorders>
              <w:top w:val="double" w:sz="6" w:space="0" w:color="auto"/>
              <w:left w:val="double" w:sz="6" w:space="0" w:color="auto"/>
              <w:bottom w:val="double" w:sz="6" w:space="0" w:color="000000"/>
              <w:right w:val="double" w:sz="6" w:space="0" w:color="auto"/>
            </w:tcBorders>
            <w:vAlign w:val="center"/>
            <w:hideMark/>
          </w:tcPr>
          <w:p w:rsidR="001A30EC" w:rsidRPr="001A30EC" w:rsidRDefault="001A30EC" w:rsidP="00550C14">
            <w:pPr>
              <w:rPr>
                <w:rFonts w:asciiTheme="majorHAnsi" w:eastAsia="Times New Roman" w:hAnsiTheme="majorHAnsi" w:cs="Arial"/>
                <w:b/>
                <w:bCs/>
                <w:sz w:val="20"/>
                <w:szCs w:val="20"/>
                <w:lang w:eastAsia="sk-SK"/>
              </w:rPr>
            </w:pPr>
          </w:p>
        </w:tc>
        <w:tc>
          <w:tcPr>
            <w:tcW w:w="3652" w:type="dxa"/>
            <w:gridSpan w:val="8"/>
            <w:tcBorders>
              <w:top w:val="single" w:sz="4" w:space="0" w:color="auto"/>
              <w:left w:val="nil"/>
              <w:bottom w:val="single" w:sz="4" w:space="0" w:color="auto"/>
              <w:right w:val="nil"/>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len v dennej forme štúdia</w:t>
            </w:r>
          </w:p>
        </w:tc>
        <w:tc>
          <w:tcPr>
            <w:tcW w:w="1826" w:type="dxa"/>
            <w:gridSpan w:val="4"/>
            <w:tcBorders>
              <w:top w:val="single" w:sz="4" w:space="0" w:color="auto"/>
              <w:left w:val="single" w:sz="8" w:space="0" w:color="auto"/>
              <w:bottom w:val="single" w:sz="4" w:space="0" w:color="auto"/>
              <w:right w:val="nil"/>
            </w:tcBorders>
            <w:shd w:val="clear" w:color="auto" w:fill="auto"/>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 xml:space="preserve"> v dennej forme štúdia</w:t>
            </w:r>
          </w:p>
        </w:tc>
        <w:tc>
          <w:tcPr>
            <w:tcW w:w="1827" w:type="dxa"/>
            <w:gridSpan w:val="4"/>
            <w:tcBorders>
              <w:top w:val="single" w:sz="4" w:space="0" w:color="auto"/>
              <w:left w:val="single" w:sz="8" w:space="0" w:color="auto"/>
              <w:bottom w:val="single" w:sz="4" w:space="0" w:color="auto"/>
              <w:right w:val="nil"/>
            </w:tcBorders>
            <w:shd w:val="clear" w:color="auto" w:fill="auto"/>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v externej  forme štúdia</w:t>
            </w:r>
          </w:p>
        </w:tc>
        <w:tc>
          <w:tcPr>
            <w:tcW w:w="2480" w:type="dxa"/>
            <w:gridSpan w:val="4"/>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spolu denná forma</w:t>
            </w:r>
          </w:p>
        </w:tc>
        <w:tc>
          <w:tcPr>
            <w:tcW w:w="2481" w:type="dxa"/>
            <w:gridSpan w:val="4"/>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spolu denná a externá forma</w:t>
            </w:r>
          </w:p>
        </w:tc>
        <w:tc>
          <w:tcPr>
            <w:tcW w:w="1276" w:type="dxa"/>
            <w:vMerge w:val="restart"/>
            <w:tcBorders>
              <w:top w:val="nil"/>
              <w:left w:val="single" w:sz="8" w:space="0" w:color="auto"/>
              <w:bottom w:val="double" w:sz="6" w:space="0" w:color="auto"/>
              <w:right w:val="double" w:sz="6" w:space="0" w:color="auto"/>
            </w:tcBorders>
            <w:shd w:val="clear" w:color="000000" w:fill="F2F2F2"/>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študijné odbory*</w:t>
            </w:r>
          </w:p>
        </w:tc>
      </w:tr>
      <w:tr w:rsidR="001A30EC" w:rsidRPr="001A30EC" w:rsidTr="00BE11C4">
        <w:trPr>
          <w:trHeight w:val="315"/>
        </w:trPr>
        <w:tc>
          <w:tcPr>
            <w:tcW w:w="1484" w:type="dxa"/>
            <w:vMerge/>
            <w:tcBorders>
              <w:top w:val="double" w:sz="6" w:space="0" w:color="auto"/>
              <w:left w:val="double" w:sz="6" w:space="0" w:color="auto"/>
              <w:bottom w:val="double" w:sz="6" w:space="0" w:color="000000"/>
              <w:right w:val="double" w:sz="6" w:space="0" w:color="auto"/>
            </w:tcBorders>
            <w:vAlign w:val="center"/>
            <w:hideMark/>
          </w:tcPr>
          <w:p w:rsidR="001A30EC" w:rsidRPr="001A30EC" w:rsidRDefault="001A30EC" w:rsidP="00550C14">
            <w:pPr>
              <w:rPr>
                <w:rFonts w:asciiTheme="majorHAnsi" w:eastAsia="Times New Roman" w:hAnsiTheme="majorHAnsi" w:cs="Arial"/>
                <w:b/>
                <w:bCs/>
                <w:sz w:val="20"/>
                <w:szCs w:val="20"/>
                <w:lang w:eastAsia="sk-SK"/>
              </w:rPr>
            </w:pPr>
          </w:p>
        </w:tc>
        <w:tc>
          <w:tcPr>
            <w:tcW w:w="182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I. stupeň</w:t>
            </w:r>
          </w:p>
        </w:tc>
        <w:tc>
          <w:tcPr>
            <w:tcW w:w="182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II. stupeň</w:t>
            </w:r>
          </w:p>
        </w:tc>
        <w:tc>
          <w:tcPr>
            <w:tcW w:w="182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III. stupeň</w:t>
            </w:r>
          </w:p>
        </w:tc>
        <w:tc>
          <w:tcPr>
            <w:tcW w:w="182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III. stupeň</w:t>
            </w:r>
          </w:p>
        </w:tc>
        <w:tc>
          <w:tcPr>
            <w:tcW w:w="2480" w:type="dxa"/>
            <w:gridSpan w:val="4"/>
            <w:vMerge/>
            <w:tcBorders>
              <w:top w:val="single" w:sz="4" w:space="0" w:color="auto"/>
              <w:left w:val="single" w:sz="8" w:space="0" w:color="auto"/>
              <w:bottom w:val="single" w:sz="4" w:space="0" w:color="000000"/>
              <w:right w:val="single" w:sz="8" w:space="0" w:color="000000"/>
            </w:tcBorders>
            <w:vAlign w:val="center"/>
            <w:hideMark/>
          </w:tcPr>
          <w:p w:rsidR="001A30EC" w:rsidRPr="001A30EC" w:rsidRDefault="001A30EC" w:rsidP="00550C14">
            <w:pPr>
              <w:rPr>
                <w:rFonts w:asciiTheme="majorHAnsi" w:eastAsia="Times New Roman" w:hAnsiTheme="majorHAnsi" w:cs="Arial"/>
                <w:sz w:val="20"/>
                <w:szCs w:val="20"/>
                <w:lang w:eastAsia="sk-SK"/>
              </w:rPr>
            </w:pPr>
          </w:p>
        </w:tc>
        <w:tc>
          <w:tcPr>
            <w:tcW w:w="2481" w:type="dxa"/>
            <w:gridSpan w:val="4"/>
            <w:vMerge/>
            <w:tcBorders>
              <w:top w:val="single" w:sz="4" w:space="0" w:color="auto"/>
              <w:left w:val="single" w:sz="8" w:space="0" w:color="auto"/>
              <w:bottom w:val="single" w:sz="4" w:space="0" w:color="000000"/>
              <w:right w:val="single" w:sz="8" w:space="0" w:color="000000"/>
            </w:tcBorders>
            <w:vAlign w:val="center"/>
            <w:hideMark/>
          </w:tcPr>
          <w:p w:rsidR="001A30EC" w:rsidRPr="001A30EC" w:rsidRDefault="001A30EC" w:rsidP="00550C14">
            <w:pPr>
              <w:rPr>
                <w:rFonts w:asciiTheme="majorHAnsi" w:eastAsia="Times New Roman" w:hAnsiTheme="majorHAnsi" w:cs="Arial"/>
                <w:sz w:val="20"/>
                <w:szCs w:val="20"/>
                <w:lang w:eastAsia="sk-SK"/>
              </w:rPr>
            </w:pPr>
          </w:p>
        </w:tc>
        <w:tc>
          <w:tcPr>
            <w:tcW w:w="1276" w:type="dxa"/>
            <w:vMerge/>
            <w:tcBorders>
              <w:top w:val="nil"/>
              <w:left w:val="single" w:sz="8" w:space="0" w:color="auto"/>
              <w:bottom w:val="double" w:sz="6" w:space="0" w:color="auto"/>
              <w:right w:val="double" w:sz="6" w:space="0" w:color="auto"/>
            </w:tcBorders>
            <w:vAlign w:val="center"/>
            <w:hideMark/>
          </w:tcPr>
          <w:p w:rsidR="001A30EC" w:rsidRPr="001A30EC" w:rsidRDefault="001A30EC" w:rsidP="00550C14">
            <w:pPr>
              <w:rPr>
                <w:rFonts w:asciiTheme="majorHAnsi" w:eastAsia="Times New Roman" w:hAnsiTheme="majorHAnsi" w:cs="Arial"/>
                <w:sz w:val="20"/>
                <w:szCs w:val="20"/>
                <w:lang w:eastAsia="sk-SK"/>
              </w:rPr>
            </w:pPr>
          </w:p>
        </w:tc>
      </w:tr>
      <w:tr w:rsidR="001A30EC" w:rsidRPr="001A30EC" w:rsidTr="00BE11C4">
        <w:trPr>
          <w:trHeight w:val="330"/>
        </w:trPr>
        <w:tc>
          <w:tcPr>
            <w:tcW w:w="1484" w:type="dxa"/>
            <w:vMerge/>
            <w:tcBorders>
              <w:top w:val="double" w:sz="6" w:space="0" w:color="auto"/>
              <w:left w:val="double" w:sz="6" w:space="0" w:color="auto"/>
              <w:bottom w:val="double" w:sz="6" w:space="0" w:color="000000"/>
              <w:right w:val="double" w:sz="6" w:space="0" w:color="auto"/>
            </w:tcBorders>
            <w:vAlign w:val="center"/>
            <w:hideMark/>
          </w:tcPr>
          <w:p w:rsidR="001A30EC" w:rsidRPr="001A30EC" w:rsidRDefault="001A30EC" w:rsidP="00550C14">
            <w:pPr>
              <w:rPr>
                <w:rFonts w:asciiTheme="majorHAnsi" w:eastAsia="Times New Roman" w:hAnsiTheme="majorHAnsi" w:cs="Arial"/>
                <w:b/>
                <w:bCs/>
                <w:sz w:val="20"/>
                <w:szCs w:val="20"/>
                <w:lang w:eastAsia="sk-SK"/>
              </w:rPr>
            </w:pPr>
          </w:p>
        </w:tc>
        <w:tc>
          <w:tcPr>
            <w:tcW w:w="456" w:type="dxa"/>
            <w:tcBorders>
              <w:top w:val="nil"/>
              <w:left w:val="nil"/>
              <w:bottom w:val="double" w:sz="6" w:space="0" w:color="auto"/>
              <w:right w:val="single" w:sz="4"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E</w:t>
            </w:r>
          </w:p>
        </w:tc>
        <w:tc>
          <w:tcPr>
            <w:tcW w:w="457" w:type="dxa"/>
            <w:tcBorders>
              <w:top w:val="nil"/>
              <w:left w:val="nil"/>
              <w:bottom w:val="double" w:sz="6" w:space="0" w:color="auto"/>
              <w:right w:val="single" w:sz="4"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N</w:t>
            </w:r>
          </w:p>
        </w:tc>
        <w:tc>
          <w:tcPr>
            <w:tcW w:w="456" w:type="dxa"/>
            <w:tcBorders>
              <w:top w:val="nil"/>
              <w:left w:val="nil"/>
              <w:bottom w:val="double" w:sz="6" w:space="0" w:color="auto"/>
              <w:right w:val="single" w:sz="4" w:space="0" w:color="auto"/>
            </w:tcBorders>
            <w:shd w:val="clear" w:color="000000" w:fill="F2F2F2"/>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Σ</w:t>
            </w:r>
            <w:r w:rsidRPr="001A30EC">
              <w:rPr>
                <w:rFonts w:asciiTheme="majorHAnsi" w:eastAsia="Times New Roman" w:hAnsiTheme="majorHAnsi" w:cs="Arial"/>
                <w:sz w:val="20"/>
                <w:szCs w:val="20"/>
                <w:vertAlign w:val="subscript"/>
                <w:lang w:eastAsia="sk-SK"/>
              </w:rPr>
              <w:t>SJ</w:t>
            </w:r>
          </w:p>
        </w:tc>
        <w:tc>
          <w:tcPr>
            <w:tcW w:w="457" w:type="dxa"/>
            <w:tcBorders>
              <w:top w:val="nil"/>
              <w:left w:val="nil"/>
              <w:bottom w:val="double" w:sz="6" w:space="0" w:color="auto"/>
              <w:right w:val="single" w:sz="8"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AJ</w:t>
            </w:r>
          </w:p>
        </w:tc>
        <w:tc>
          <w:tcPr>
            <w:tcW w:w="456" w:type="dxa"/>
            <w:tcBorders>
              <w:top w:val="nil"/>
              <w:left w:val="nil"/>
              <w:bottom w:val="double" w:sz="6" w:space="0" w:color="auto"/>
              <w:right w:val="single" w:sz="4"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E</w:t>
            </w:r>
          </w:p>
        </w:tc>
        <w:tc>
          <w:tcPr>
            <w:tcW w:w="457" w:type="dxa"/>
            <w:tcBorders>
              <w:top w:val="nil"/>
              <w:left w:val="nil"/>
              <w:bottom w:val="double" w:sz="6" w:space="0" w:color="auto"/>
              <w:right w:val="single" w:sz="4"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N</w:t>
            </w:r>
          </w:p>
        </w:tc>
        <w:tc>
          <w:tcPr>
            <w:tcW w:w="456" w:type="dxa"/>
            <w:tcBorders>
              <w:top w:val="nil"/>
              <w:left w:val="nil"/>
              <w:bottom w:val="double" w:sz="6" w:space="0" w:color="auto"/>
              <w:right w:val="single" w:sz="4" w:space="0" w:color="auto"/>
            </w:tcBorders>
            <w:shd w:val="clear" w:color="000000" w:fill="F2F2F2"/>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Σ</w:t>
            </w:r>
            <w:r w:rsidRPr="001A30EC">
              <w:rPr>
                <w:rFonts w:asciiTheme="majorHAnsi" w:eastAsia="Times New Roman" w:hAnsiTheme="majorHAnsi" w:cs="Arial"/>
                <w:sz w:val="20"/>
                <w:szCs w:val="20"/>
                <w:vertAlign w:val="subscript"/>
                <w:lang w:eastAsia="sk-SK"/>
              </w:rPr>
              <w:t>SJ</w:t>
            </w:r>
          </w:p>
        </w:tc>
        <w:tc>
          <w:tcPr>
            <w:tcW w:w="457" w:type="dxa"/>
            <w:tcBorders>
              <w:top w:val="nil"/>
              <w:left w:val="nil"/>
              <w:bottom w:val="double" w:sz="6" w:space="0" w:color="auto"/>
              <w:right w:val="single" w:sz="8"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AJ</w:t>
            </w:r>
          </w:p>
        </w:tc>
        <w:tc>
          <w:tcPr>
            <w:tcW w:w="457" w:type="dxa"/>
            <w:tcBorders>
              <w:top w:val="nil"/>
              <w:left w:val="nil"/>
              <w:bottom w:val="double" w:sz="6" w:space="0" w:color="auto"/>
              <w:right w:val="single" w:sz="4"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E</w:t>
            </w:r>
          </w:p>
        </w:tc>
        <w:tc>
          <w:tcPr>
            <w:tcW w:w="456" w:type="dxa"/>
            <w:tcBorders>
              <w:top w:val="nil"/>
              <w:left w:val="nil"/>
              <w:bottom w:val="double" w:sz="6" w:space="0" w:color="auto"/>
              <w:right w:val="single" w:sz="4"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N</w:t>
            </w:r>
          </w:p>
        </w:tc>
        <w:tc>
          <w:tcPr>
            <w:tcW w:w="457" w:type="dxa"/>
            <w:tcBorders>
              <w:top w:val="nil"/>
              <w:left w:val="nil"/>
              <w:bottom w:val="double" w:sz="6" w:space="0" w:color="auto"/>
              <w:right w:val="single" w:sz="4" w:space="0" w:color="auto"/>
            </w:tcBorders>
            <w:shd w:val="clear" w:color="000000" w:fill="F2F2F2"/>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Σ</w:t>
            </w:r>
            <w:r w:rsidRPr="001A30EC">
              <w:rPr>
                <w:rFonts w:asciiTheme="majorHAnsi" w:eastAsia="Times New Roman" w:hAnsiTheme="majorHAnsi" w:cs="Arial"/>
                <w:sz w:val="20"/>
                <w:szCs w:val="20"/>
                <w:vertAlign w:val="subscript"/>
                <w:lang w:eastAsia="sk-SK"/>
              </w:rPr>
              <w:t>SJ</w:t>
            </w:r>
          </w:p>
        </w:tc>
        <w:tc>
          <w:tcPr>
            <w:tcW w:w="456" w:type="dxa"/>
            <w:tcBorders>
              <w:top w:val="nil"/>
              <w:left w:val="nil"/>
              <w:bottom w:val="double" w:sz="6" w:space="0" w:color="auto"/>
              <w:right w:val="single" w:sz="8"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AJ</w:t>
            </w:r>
          </w:p>
        </w:tc>
        <w:tc>
          <w:tcPr>
            <w:tcW w:w="457" w:type="dxa"/>
            <w:tcBorders>
              <w:top w:val="nil"/>
              <w:left w:val="nil"/>
              <w:bottom w:val="double" w:sz="6" w:space="0" w:color="auto"/>
              <w:right w:val="single" w:sz="4"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E</w:t>
            </w:r>
          </w:p>
        </w:tc>
        <w:tc>
          <w:tcPr>
            <w:tcW w:w="456" w:type="dxa"/>
            <w:tcBorders>
              <w:top w:val="nil"/>
              <w:left w:val="nil"/>
              <w:bottom w:val="double" w:sz="6" w:space="0" w:color="auto"/>
              <w:right w:val="single" w:sz="4"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N</w:t>
            </w:r>
          </w:p>
        </w:tc>
        <w:tc>
          <w:tcPr>
            <w:tcW w:w="457" w:type="dxa"/>
            <w:tcBorders>
              <w:top w:val="nil"/>
              <w:left w:val="nil"/>
              <w:bottom w:val="double" w:sz="6" w:space="0" w:color="auto"/>
              <w:right w:val="single" w:sz="4" w:space="0" w:color="auto"/>
            </w:tcBorders>
            <w:shd w:val="clear" w:color="000000" w:fill="F2F2F2"/>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Σ</w:t>
            </w:r>
            <w:r w:rsidRPr="001A30EC">
              <w:rPr>
                <w:rFonts w:asciiTheme="majorHAnsi" w:eastAsia="Times New Roman" w:hAnsiTheme="majorHAnsi" w:cs="Arial"/>
                <w:sz w:val="20"/>
                <w:szCs w:val="20"/>
                <w:vertAlign w:val="subscript"/>
                <w:lang w:eastAsia="sk-SK"/>
              </w:rPr>
              <w:t>SJ</w:t>
            </w:r>
          </w:p>
        </w:tc>
        <w:tc>
          <w:tcPr>
            <w:tcW w:w="457" w:type="dxa"/>
            <w:tcBorders>
              <w:top w:val="nil"/>
              <w:left w:val="nil"/>
              <w:bottom w:val="double" w:sz="6" w:space="0" w:color="auto"/>
              <w:right w:val="single" w:sz="8"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AJ</w:t>
            </w:r>
          </w:p>
        </w:tc>
        <w:tc>
          <w:tcPr>
            <w:tcW w:w="620" w:type="dxa"/>
            <w:tcBorders>
              <w:top w:val="nil"/>
              <w:left w:val="nil"/>
              <w:bottom w:val="double" w:sz="6" w:space="0" w:color="auto"/>
              <w:right w:val="single" w:sz="4"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E</w:t>
            </w:r>
          </w:p>
        </w:tc>
        <w:tc>
          <w:tcPr>
            <w:tcW w:w="620" w:type="dxa"/>
            <w:tcBorders>
              <w:top w:val="nil"/>
              <w:left w:val="nil"/>
              <w:bottom w:val="double" w:sz="6" w:space="0" w:color="auto"/>
              <w:right w:val="single" w:sz="4"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N</w:t>
            </w:r>
          </w:p>
        </w:tc>
        <w:tc>
          <w:tcPr>
            <w:tcW w:w="620" w:type="dxa"/>
            <w:tcBorders>
              <w:top w:val="nil"/>
              <w:left w:val="nil"/>
              <w:bottom w:val="double" w:sz="6" w:space="0" w:color="auto"/>
              <w:right w:val="single" w:sz="4" w:space="0" w:color="auto"/>
            </w:tcBorders>
            <w:shd w:val="clear" w:color="000000" w:fill="F2F2F2"/>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Σ</w:t>
            </w:r>
            <w:r w:rsidRPr="001A30EC">
              <w:rPr>
                <w:rFonts w:asciiTheme="majorHAnsi" w:eastAsia="Times New Roman" w:hAnsiTheme="majorHAnsi" w:cs="Arial"/>
                <w:sz w:val="20"/>
                <w:szCs w:val="20"/>
                <w:vertAlign w:val="subscript"/>
                <w:lang w:eastAsia="sk-SK"/>
              </w:rPr>
              <w:t>SJ</w:t>
            </w:r>
          </w:p>
        </w:tc>
        <w:tc>
          <w:tcPr>
            <w:tcW w:w="620" w:type="dxa"/>
            <w:tcBorders>
              <w:top w:val="nil"/>
              <w:left w:val="nil"/>
              <w:bottom w:val="double" w:sz="6" w:space="0" w:color="auto"/>
              <w:right w:val="single" w:sz="8"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AJ</w:t>
            </w:r>
          </w:p>
        </w:tc>
        <w:tc>
          <w:tcPr>
            <w:tcW w:w="620" w:type="dxa"/>
            <w:tcBorders>
              <w:top w:val="nil"/>
              <w:left w:val="nil"/>
              <w:bottom w:val="double" w:sz="6" w:space="0" w:color="auto"/>
              <w:right w:val="single" w:sz="4"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E</w:t>
            </w:r>
          </w:p>
        </w:tc>
        <w:tc>
          <w:tcPr>
            <w:tcW w:w="620" w:type="dxa"/>
            <w:tcBorders>
              <w:top w:val="nil"/>
              <w:left w:val="nil"/>
              <w:bottom w:val="double" w:sz="6" w:space="0" w:color="auto"/>
              <w:right w:val="single" w:sz="4"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N</w:t>
            </w:r>
          </w:p>
        </w:tc>
        <w:tc>
          <w:tcPr>
            <w:tcW w:w="620" w:type="dxa"/>
            <w:tcBorders>
              <w:top w:val="nil"/>
              <w:left w:val="nil"/>
              <w:bottom w:val="double" w:sz="6" w:space="0" w:color="auto"/>
              <w:right w:val="single" w:sz="4" w:space="0" w:color="auto"/>
            </w:tcBorders>
            <w:shd w:val="clear" w:color="000000" w:fill="F2F2F2"/>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Σ</w:t>
            </w:r>
            <w:r w:rsidRPr="001A30EC">
              <w:rPr>
                <w:rFonts w:asciiTheme="majorHAnsi" w:eastAsia="Times New Roman" w:hAnsiTheme="majorHAnsi" w:cs="Arial"/>
                <w:sz w:val="20"/>
                <w:szCs w:val="20"/>
                <w:vertAlign w:val="subscript"/>
                <w:lang w:eastAsia="sk-SK"/>
              </w:rPr>
              <w:t>SJ</w:t>
            </w:r>
          </w:p>
        </w:tc>
        <w:tc>
          <w:tcPr>
            <w:tcW w:w="621" w:type="dxa"/>
            <w:tcBorders>
              <w:top w:val="nil"/>
              <w:left w:val="nil"/>
              <w:bottom w:val="double" w:sz="6" w:space="0" w:color="auto"/>
              <w:right w:val="single" w:sz="8" w:space="0" w:color="auto"/>
            </w:tcBorders>
            <w:shd w:val="clear" w:color="auto" w:fill="auto"/>
            <w:noWrap/>
            <w:vAlign w:val="bottom"/>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AJ</w:t>
            </w:r>
          </w:p>
        </w:tc>
        <w:tc>
          <w:tcPr>
            <w:tcW w:w="1276" w:type="dxa"/>
            <w:vMerge/>
            <w:tcBorders>
              <w:top w:val="nil"/>
              <w:left w:val="single" w:sz="8" w:space="0" w:color="auto"/>
              <w:bottom w:val="double" w:sz="6" w:space="0" w:color="auto"/>
              <w:right w:val="double" w:sz="6" w:space="0" w:color="auto"/>
            </w:tcBorders>
            <w:vAlign w:val="center"/>
            <w:hideMark/>
          </w:tcPr>
          <w:p w:rsidR="001A30EC" w:rsidRPr="001A30EC" w:rsidRDefault="001A30EC" w:rsidP="00550C14">
            <w:pPr>
              <w:rPr>
                <w:rFonts w:asciiTheme="majorHAnsi" w:eastAsia="Times New Roman" w:hAnsiTheme="majorHAnsi" w:cs="Arial"/>
                <w:sz w:val="20"/>
                <w:szCs w:val="20"/>
                <w:lang w:eastAsia="sk-SK"/>
              </w:rPr>
            </w:pPr>
          </w:p>
        </w:tc>
      </w:tr>
      <w:tr w:rsidR="001A30EC" w:rsidRPr="001A30EC" w:rsidTr="00BE11C4">
        <w:trPr>
          <w:trHeight w:val="315"/>
        </w:trPr>
        <w:tc>
          <w:tcPr>
            <w:tcW w:w="1484" w:type="dxa"/>
            <w:tcBorders>
              <w:top w:val="nil"/>
              <w:left w:val="double" w:sz="6" w:space="0" w:color="auto"/>
              <w:bottom w:val="single" w:sz="4" w:space="0" w:color="auto"/>
              <w:right w:val="double" w:sz="6" w:space="0" w:color="auto"/>
            </w:tcBorders>
            <w:shd w:val="clear" w:color="auto" w:fill="auto"/>
            <w:noWrap/>
            <w:vAlign w:val="bottom"/>
            <w:hideMark/>
          </w:tcPr>
          <w:p w:rsidR="001A30EC" w:rsidRPr="001A30EC" w:rsidRDefault="001A30EC" w:rsidP="00550C14">
            <w:pP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SvF</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7</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4</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11</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10</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13</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5</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8</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9</w:t>
            </w:r>
          </w:p>
        </w:tc>
        <w:tc>
          <w:tcPr>
            <w:tcW w:w="456"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9</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8</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9</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9</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25</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8</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33</w:t>
            </w:r>
          </w:p>
        </w:tc>
        <w:tc>
          <w:tcPr>
            <w:tcW w:w="620"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17</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33</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9</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42</w:t>
            </w:r>
          </w:p>
        </w:tc>
        <w:tc>
          <w:tcPr>
            <w:tcW w:w="621"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26</w:t>
            </w:r>
          </w:p>
        </w:tc>
        <w:tc>
          <w:tcPr>
            <w:tcW w:w="1276" w:type="dxa"/>
            <w:tcBorders>
              <w:top w:val="nil"/>
              <w:left w:val="nil"/>
              <w:bottom w:val="single" w:sz="4" w:space="0" w:color="auto"/>
              <w:right w:val="double" w:sz="6"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10</w:t>
            </w:r>
          </w:p>
        </w:tc>
      </w:tr>
      <w:tr w:rsidR="001A30EC" w:rsidRPr="001A30EC" w:rsidTr="00BE11C4">
        <w:trPr>
          <w:trHeight w:val="300"/>
        </w:trPr>
        <w:tc>
          <w:tcPr>
            <w:tcW w:w="1484" w:type="dxa"/>
            <w:tcBorders>
              <w:top w:val="nil"/>
              <w:left w:val="double" w:sz="6" w:space="0" w:color="auto"/>
              <w:bottom w:val="single" w:sz="4" w:space="0" w:color="auto"/>
              <w:right w:val="double" w:sz="6" w:space="0" w:color="auto"/>
            </w:tcBorders>
            <w:shd w:val="clear" w:color="auto" w:fill="auto"/>
            <w:noWrap/>
            <w:vAlign w:val="bottom"/>
            <w:hideMark/>
          </w:tcPr>
          <w:p w:rsidR="001A30EC" w:rsidRPr="001A30EC" w:rsidRDefault="001A30EC" w:rsidP="00550C14">
            <w:pP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SjF</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4</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7</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4</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4</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8</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6</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9</w:t>
            </w:r>
          </w:p>
        </w:tc>
        <w:tc>
          <w:tcPr>
            <w:tcW w:w="456"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9</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9</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13</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11</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24</w:t>
            </w:r>
          </w:p>
        </w:tc>
        <w:tc>
          <w:tcPr>
            <w:tcW w:w="620"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6</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13</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20</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33</w:t>
            </w:r>
          </w:p>
        </w:tc>
        <w:tc>
          <w:tcPr>
            <w:tcW w:w="621"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9</w:t>
            </w:r>
          </w:p>
        </w:tc>
        <w:tc>
          <w:tcPr>
            <w:tcW w:w="1276" w:type="dxa"/>
            <w:tcBorders>
              <w:top w:val="nil"/>
              <w:left w:val="nil"/>
              <w:bottom w:val="single" w:sz="4" w:space="0" w:color="auto"/>
              <w:right w:val="double" w:sz="6"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11</w:t>
            </w:r>
          </w:p>
        </w:tc>
      </w:tr>
      <w:tr w:rsidR="001A30EC" w:rsidRPr="001A30EC" w:rsidTr="00BE11C4">
        <w:trPr>
          <w:trHeight w:val="300"/>
        </w:trPr>
        <w:tc>
          <w:tcPr>
            <w:tcW w:w="1484" w:type="dxa"/>
            <w:tcBorders>
              <w:top w:val="nil"/>
              <w:left w:val="double" w:sz="6" w:space="0" w:color="auto"/>
              <w:bottom w:val="single" w:sz="4" w:space="0" w:color="auto"/>
              <w:right w:val="double" w:sz="6" w:space="0" w:color="auto"/>
            </w:tcBorders>
            <w:shd w:val="clear" w:color="auto" w:fill="auto"/>
            <w:noWrap/>
            <w:vAlign w:val="bottom"/>
            <w:hideMark/>
          </w:tcPr>
          <w:p w:rsidR="001A30EC" w:rsidRPr="001A30EC" w:rsidRDefault="001A30EC" w:rsidP="00550C14">
            <w:pP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FEI</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5</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8</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8</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6</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8</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8</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9</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10</w:t>
            </w:r>
          </w:p>
        </w:tc>
        <w:tc>
          <w:tcPr>
            <w:tcW w:w="456"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10</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9</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10</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10</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8</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18</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26</w:t>
            </w:r>
          </w:p>
        </w:tc>
        <w:tc>
          <w:tcPr>
            <w:tcW w:w="620"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26</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9</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27</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36</w:t>
            </w:r>
          </w:p>
        </w:tc>
        <w:tc>
          <w:tcPr>
            <w:tcW w:w="621"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36</w:t>
            </w:r>
          </w:p>
        </w:tc>
        <w:tc>
          <w:tcPr>
            <w:tcW w:w="1276" w:type="dxa"/>
            <w:tcBorders>
              <w:top w:val="nil"/>
              <w:left w:val="nil"/>
              <w:bottom w:val="single" w:sz="4" w:space="0" w:color="auto"/>
              <w:right w:val="double" w:sz="6"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12</w:t>
            </w:r>
          </w:p>
        </w:tc>
      </w:tr>
      <w:tr w:rsidR="001A30EC" w:rsidRPr="001A30EC" w:rsidTr="00BE11C4">
        <w:trPr>
          <w:trHeight w:val="300"/>
        </w:trPr>
        <w:tc>
          <w:tcPr>
            <w:tcW w:w="1484" w:type="dxa"/>
            <w:tcBorders>
              <w:top w:val="nil"/>
              <w:left w:val="double" w:sz="6" w:space="0" w:color="auto"/>
              <w:bottom w:val="single" w:sz="4" w:space="0" w:color="auto"/>
              <w:right w:val="double" w:sz="6" w:space="0" w:color="auto"/>
            </w:tcBorders>
            <w:shd w:val="clear" w:color="auto" w:fill="auto"/>
            <w:noWrap/>
            <w:vAlign w:val="bottom"/>
            <w:hideMark/>
          </w:tcPr>
          <w:p w:rsidR="001A30EC" w:rsidRPr="001A30EC" w:rsidRDefault="001A30EC" w:rsidP="00550C14">
            <w:pP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FCHPT</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5</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7</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7</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9</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12</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12</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16</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17</w:t>
            </w:r>
          </w:p>
        </w:tc>
        <w:tc>
          <w:tcPr>
            <w:tcW w:w="456"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17</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16</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17</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17</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30</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6</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36</w:t>
            </w:r>
          </w:p>
        </w:tc>
        <w:tc>
          <w:tcPr>
            <w:tcW w:w="620"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36</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46</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7</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53</w:t>
            </w:r>
          </w:p>
        </w:tc>
        <w:tc>
          <w:tcPr>
            <w:tcW w:w="621"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53</w:t>
            </w:r>
          </w:p>
        </w:tc>
        <w:tc>
          <w:tcPr>
            <w:tcW w:w="1276" w:type="dxa"/>
            <w:tcBorders>
              <w:top w:val="nil"/>
              <w:left w:val="nil"/>
              <w:bottom w:val="single" w:sz="4" w:space="0" w:color="auto"/>
              <w:right w:val="double" w:sz="6"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21</w:t>
            </w:r>
          </w:p>
        </w:tc>
      </w:tr>
      <w:tr w:rsidR="001A30EC" w:rsidRPr="001A30EC" w:rsidTr="00BE11C4">
        <w:trPr>
          <w:trHeight w:val="300"/>
        </w:trPr>
        <w:tc>
          <w:tcPr>
            <w:tcW w:w="1484" w:type="dxa"/>
            <w:tcBorders>
              <w:top w:val="nil"/>
              <w:left w:val="double" w:sz="6" w:space="0" w:color="auto"/>
              <w:bottom w:val="single" w:sz="4" w:space="0" w:color="auto"/>
              <w:right w:val="double" w:sz="6" w:space="0" w:color="auto"/>
            </w:tcBorders>
            <w:shd w:val="clear" w:color="auto" w:fill="auto"/>
            <w:noWrap/>
            <w:vAlign w:val="bottom"/>
            <w:hideMark/>
          </w:tcPr>
          <w:p w:rsidR="001A30EC" w:rsidRPr="001A30EC" w:rsidRDefault="001A30EC" w:rsidP="00550C14">
            <w:pP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FA</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3</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3</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3</w:t>
            </w:r>
          </w:p>
        </w:tc>
        <w:tc>
          <w:tcPr>
            <w:tcW w:w="456"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3</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7</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2</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9</w:t>
            </w:r>
          </w:p>
        </w:tc>
        <w:tc>
          <w:tcPr>
            <w:tcW w:w="620"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4</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7</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5</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12</w:t>
            </w:r>
          </w:p>
        </w:tc>
        <w:tc>
          <w:tcPr>
            <w:tcW w:w="621"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6</w:t>
            </w:r>
          </w:p>
        </w:tc>
        <w:tc>
          <w:tcPr>
            <w:tcW w:w="1276" w:type="dxa"/>
            <w:tcBorders>
              <w:top w:val="nil"/>
              <w:left w:val="nil"/>
              <w:bottom w:val="single" w:sz="4" w:space="0" w:color="auto"/>
              <w:right w:val="double" w:sz="6"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3</w:t>
            </w:r>
          </w:p>
        </w:tc>
      </w:tr>
      <w:tr w:rsidR="001A30EC" w:rsidRPr="001A30EC" w:rsidTr="00BE11C4">
        <w:trPr>
          <w:trHeight w:val="300"/>
        </w:trPr>
        <w:tc>
          <w:tcPr>
            <w:tcW w:w="1484" w:type="dxa"/>
            <w:tcBorders>
              <w:top w:val="nil"/>
              <w:left w:val="double" w:sz="6" w:space="0" w:color="auto"/>
              <w:bottom w:val="single" w:sz="4" w:space="0" w:color="auto"/>
              <w:right w:val="double" w:sz="6" w:space="0" w:color="auto"/>
            </w:tcBorders>
            <w:shd w:val="clear" w:color="auto" w:fill="auto"/>
            <w:noWrap/>
            <w:vAlign w:val="bottom"/>
            <w:hideMark/>
          </w:tcPr>
          <w:p w:rsidR="001A30EC" w:rsidRPr="001A30EC" w:rsidRDefault="001A30EC" w:rsidP="00550C14">
            <w:pP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MTF</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7</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10</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6</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4</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10</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7</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7</w:t>
            </w:r>
          </w:p>
        </w:tc>
        <w:tc>
          <w:tcPr>
            <w:tcW w:w="456"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6</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4</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7</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6</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13</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14</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27</w:t>
            </w:r>
          </w:p>
        </w:tc>
        <w:tc>
          <w:tcPr>
            <w:tcW w:w="620"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6</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16</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18</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34</w:t>
            </w:r>
          </w:p>
        </w:tc>
        <w:tc>
          <w:tcPr>
            <w:tcW w:w="621"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12</w:t>
            </w:r>
          </w:p>
        </w:tc>
        <w:tc>
          <w:tcPr>
            <w:tcW w:w="1276" w:type="dxa"/>
            <w:tcBorders>
              <w:top w:val="nil"/>
              <w:left w:val="nil"/>
              <w:bottom w:val="single" w:sz="4" w:space="0" w:color="auto"/>
              <w:right w:val="double" w:sz="6"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10</w:t>
            </w:r>
          </w:p>
        </w:tc>
      </w:tr>
      <w:tr w:rsidR="001A30EC" w:rsidRPr="001A30EC" w:rsidTr="00BE11C4">
        <w:trPr>
          <w:trHeight w:val="300"/>
        </w:trPr>
        <w:tc>
          <w:tcPr>
            <w:tcW w:w="1484" w:type="dxa"/>
            <w:tcBorders>
              <w:top w:val="nil"/>
              <w:left w:val="double" w:sz="6" w:space="0" w:color="auto"/>
              <w:bottom w:val="single" w:sz="4" w:space="0" w:color="auto"/>
              <w:right w:val="double" w:sz="6" w:space="0" w:color="auto"/>
            </w:tcBorders>
            <w:shd w:val="clear" w:color="auto" w:fill="auto"/>
            <w:noWrap/>
            <w:vAlign w:val="bottom"/>
            <w:hideMark/>
          </w:tcPr>
          <w:p w:rsidR="001A30EC" w:rsidRPr="001A30EC" w:rsidRDefault="001A30EC" w:rsidP="00550C14">
            <w:pP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FIIT</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4</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6</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4</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6"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4</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2</w:t>
            </w:r>
          </w:p>
        </w:tc>
        <w:tc>
          <w:tcPr>
            <w:tcW w:w="456"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w:t>
            </w:r>
          </w:p>
        </w:tc>
        <w:tc>
          <w:tcPr>
            <w:tcW w:w="457"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6"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w:t>
            </w:r>
          </w:p>
        </w:tc>
        <w:tc>
          <w:tcPr>
            <w:tcW w:w="457"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2</w:t>
            </w:r>
          </w:p>
        </w:tc>
        <w:tc>
          <w:tcPr>
            <w:tcW w:w="457"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9</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3</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12</w:t>
            </w:r>
          </w:p>
        </w:tc>
        <w:tc>
          <w:tcPr>
            <w:tcW w:w="620"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2</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9</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5</w:t>
            </w:r>
          </w:p>
        </w:tc>
        <w:tc>
          <w:tcPr>
            <w:tcW w:w="620" w:type="dxa"/>
            <w:tcBorders>
              <w:top w:val="nil"/>
              <w:left w:val="nil"/>
              <w:bottom w:val="single" w:sz="4"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14</w:t>
            </w:r>
          </w:p>
        </w:tc>
        <w:tc>
          <w:tcPr>
            <w:tcW w:w="621" w:type="dxa"/>
            <w:tcBorders>
              <w:top w:val="nil"/>
              <w:left w:val="nil"/>
              <w:bottom w:val="sing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4</w:t>
            </w:r>
          </w:p>
        </w:tc>
        <w:tc>
          <w:tcPr>
            <w:tcW w:w="1276" w:type="dxa"/>
            <w:tcBorders>
              <w:top w:val="nil"/>
              <w:left w:val="nil"/>
              <w:bottom w:val="single" w:sz="4" w:space="0" w:color="auto"/>
              <w:right w:val="double" w:sz="6"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5</w:t>
            </w:r>
          </w:p>
        </w:tc>
      </w:tr>
      <w:tr w:rsidR="001A30EC" w:rsidRPr="001A30EC" w:rsidTr="00BE11C4">
        <w:trPr>
          <w:trHeight w:val="315"/>
        </w:trPr>
        <w:tc>
          <w:tcPr>
            <w:tcW w:w="1484" w:type="dxa"/>
            <w:tcBorders>
              <w:top w:val="nil"/>
              <w:left w:val="double" w:sz="6" w:space="0" w:color="auto"/>
              <w:bottom w:val="double" w:sz="6" w:space="0" w:color="auto"/>
              <w:right w:val="double" w:sz="6" w:space="0" w:color="auto"/>
            </w:tcBorders>
            <w:shd w:val="clear" w:color="auto" w:fill="auto"/>
            <w:noWrap/>
            <w:vAlign w:val="bottom"/>
            <w:hideMark/>
          </w:tcPr>
          <w:p w:rsidR="001A30EC" w:rsidRPr="001A30EC" w:rsidRDefault="001A30EC" w:rsidP="00550C14">
            <w:pP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ÚM</w:t>
            </w:r>
          </w:p>
        </w:tc>
        <w:tc>
          <w:tcPr>
            <w:tcW w:w="456" w:type="dxa"/>
            <w:tcBorders>
              <w:top w:val="nil"/>
              <w:left w:val="nil"/>
              <w:bottom w:val="double" w:sz="6"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7" w:type="dxa"/>
            <w:tcBorders>
              <w:top w:val="nil"/>
              <w:left w:val="nil"/>
              <w:bottom w:val="double" w:sz="6"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6" w:type="dxa"/>
            <w:tcBorders>
              <w:top w:val="nil"/>
              <w:left w:val="nil"/>
              <w:bottom w:val="double" w:sz="6"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2</w:t>
            </w:r>
          </w:p>
        </w:tc>
        <w:tc>
          <w:tcPr>
            <w:tcW w:w="457" w:type="dxa"/>
            <w:tcBorders>
              <w:top w:val="nil"/>
              <w:left w:val="nil"/>
              <w:bottom w:val="double" w:sz="6"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w:t>
            </w:r>
          </w:p>
        </w:tc>
        <w:tc>
          <w:tcPr>
            <w:tcW w:w="456" w:type="dxa"/>
            <w:tcBorders>
              <w:top w:val="nil"/>
              <w:left w:val="nil"/>
              <w:bottom w:val="nil"/>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7" w:type="dxa"/>
            <w:tcBorders>
              <w:top w:val="nil"/>
              <w:left w:val="nil"/>
              <w:bottom w:val="nil"/>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6" w:type="dxa"/>
            <w:tcBorders>
              <w:top w:val="nil"/>
              <w:left w:val="nil"/>
              <w:bottom w:val="nil"/>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w:t>
            </w:r>
          </w:p>
        </w:tc>
        <w:tc>
          <w:tcPr>
            <w:tcW w:w="457" w:type="dxa"/>
            <w:tcBorders>
              <w:top w:val="nil"/>
              <w:left w:val="nil"/>
              <w:bottom w:val="double" w:sz="6"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7" w:type="dxa"/>
            <w:tcBorders>
              <w:top w:val="nil"/>
              <w:left w:val="nil"/>
              <w:bottom w:val="nil"/>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6" w:type="dxa"/>
            <w:tcBorders>
              <w:top w:val="nil"/>
              <w:left w:val="nil"/>
              <w:bottom w:val="nil"/>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7" w:type="dxa"/>
            <w:tcBorders>
              <w:top w:val="nil"/>
              <w:left w:val="nil"/>
              <w:bottom w:val="nil"/>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1</w:t>
            </w:r>
          </w:p>
        </w:tc>
        <w:tc>
          <w:tcPr>
            <w:tcW w:w="456" w:type="dxa"/>
            <w:tcBorders>
              <w:top w:val="nil"/>
              <w:left w:val="nil"/>
              <w:bottom w:val="double" w:sz="6"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w:t>
            </w:r>
          </w:p>
        </w:tc>
        <w:tc>
          <w:tcPr>
            <w:tcW w:w="457" w:type="dxa"/>
            <w:tcBorders>
              <w:top w:val="nil"/>
              <w:left w:val="nil"/>
              <w:bottom w:val="nil"/>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6" w:type="dxa"/>
            <w:tcBorders>
              <w:top w:val="nil"/>
              <w:left w:val="nil"/>
              <w:bottom w:val="nil"/>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457" w:type="dxa"/>
            <w:tcBorders>
              <w:top w:val="nil"/>
              <w:left w:val="nil"/>
              <w:bottom w:val="nil"/>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0</w:t>
            </w:r>
          </w:p>
        </w:tc>
        <w:tc>
          <w:tcPr>
            <w:tcW w:w="457" w:type="dxa"/>
            <w:tcBorders>
              <w:top w:val="nil"/>
              <w:left w:val="nil"/>
              <w:bottom w:val="double" w:sz="6"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0</w:t>
            </w:r>
          </w:p>
        </w:tc>
        <w:tc>
          <w:tcPr>
            <w:tcW w:w="620" w:type="dxa"/>
            <w:tcBorders>
              <w:top w:val="nil"/>
              <w:left w:val="nil"/>
              <w:bottom w:val="nil"/>
              <w:right w:val="single" w:sz="4" w:space="0" w:color="auto"/>
            </w:tcBorders>
            <w:shd w:val="clear" w:color="auto" w:fill="auto"/>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w:t>
            </w:r>
          </w:p>
        </w:tc>
        <w:tc>
          <w:tcPr>
            <w:tcW w:w="620" w:type="dxa"/>
            <w:tcBorders>
              <w:top w:val="nil"/>
              <w:left w:val="nil"/>
              <w:bottom w:val="single" w:sz="4" w:space="0" w:color="auto"/>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w:t>
            </w:r>
          </w:p>
        </w:tc>
        <w:tc>
          <w:tcPr>
            <w:tcW w:w="620" w:type="dxa"/>
            <w:tcBorders>
              <w:top w:val="nil"/>
              <w:left w:val="nil"/>
              <w:bottom w:val="nil"/>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4</w:t>
            </w:r>
          </w:p>
        </w:tc>
        <w:tc>
          <w:tcPr>
            <w:tcW w:w="620" w:type="dxa"/>
            <w:tcBorders>
              <w:top w:val="single" w:sz="4" w:space="0" w:color="auto"/>
              <w:left w:val="nil"/>
              <w:bottom w:val="double" w:sz="4"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4</w:t>
            </w:r>
          </w:p>
        </w:tc>
        <w:tc>
          <w:tcPr>
            <w:tcW w:w="620" w:type="dxa"/>
            <w:tcBorders>
              <w:top w:val="nil"/>
              <w:left w:val="nil"/>
              <w:bottom w:val="nil"/>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3</w:t>
            </w:r>
          </w:p>
        </w:tc>
        <w:tc>
          <w:tcPr>
            <w:tcW w:w="620" w:type="dxa"/>
            <w:tcBorders>
              <w:top w:val="nil"/>
              <w:left w:val="nil"/>
              <w:bottom w:val="nil"/>
              <w:right w:val="single" w:sz="4"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w:t>
            </w:r>
          </w:p>
        </w:tc>
        <w:tc>
          <w:tcPr>
            <w:tcW w:w="620" w:type="dxa"/>
            <w:tcBorders>
              <w:top w:val="nil"/>
              <w:left w:val="nil"/>
              <w:bottom w:val="nil"/>
              <w:right w:val="single" w:sz="4" w:space="0" w:color="auto"/>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4</w:t>
            </w:r>
          </w:p>
        </w:tc>
        <w:tc>
          <w:tcPr>
            <w:tcW w:w="621" w:type="dxa"/>
            <w:tcBorders>
              <w:top w:val="nil"/>
              <w:left w:val="nil"/>
              <w:bottom w:val="double" w:sz="6" w:space="0" w:color="auto"/>
              <w:right w:val="single" w:sz="8" w:space="0" w:color="auto"/>
            </w:tcBorders>
            <w:shd w:val="clear" w:color="auto" w:fill="auto"/>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4</w:t>
            </w:r>
          </w:p>
        </w:tc>
        <w:tc>
          <w:tcPr>
            <w:tcW w:w="1276" w:type="dxa"/>
            <w:tcBorders>
              <w:top w:val="nil"/>
              <w:left w:val="nil"/>
              <w:bottom w:val="nil"/>
              <w:right w:val="double" w:sz="6"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2</w:t>
            </w:r>
          </w:p>
        </w:tc>
      </w:tr>
      <w:tr w:rsidR="001A30EC" w:rsidRPr="001A30EC" w:rsidTr="00BE11C4">
        <w:trPr>
          <w:trHeight w:val="330"/>
        </w:trPr>
        <w:tc>
          <w:tcPr>
            <w:tcW w:w="1484" w:type="dxa"/>
            <w:tcBorders>
              <w:top w:val="nil"/>
              <w:left w:val="double" w:sz="6" w:space="0" w:color="auto"/>
              <w:bottom w:val="double" w:sz="6" w:space="0" w:color="auto"/>
              <w:right w:val="double" w:sz="6" w:space="0" w:color="auto"/>
            </w:tcBorders>
            <w:shd w:val="clear" w:color="auto" w:fill="auto"/>
            <w:noWrap/>
            <w:vAlign w:val="bottom"/>
            <w:hideMark/>
          </w:tcPr>
          <w:p w:rsidR="001A30EC" w:rsidRPr="001A30EC" w:rsidRDefault="001A30EC" w:rsidP="00550C14">
            <w:pP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STU</w:t>
            </w:r>
          </w:p>
        </w:tc>
        <w:tc>
          <w:tcPr>
            <w:tcW w:w="456" w:type="dxa"/>
            <w:tcBorders>
              <w:top w:val="nil"/>
              <w:left w:val="nil"/>
              <w:bottom w:val="double" w:sz="6"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33</w:t>
            </w:r>
          </w:p>
        </w:tc>
        <w:tc>
          <w:tcPr>
            <w:tcW w:w="457" w:type="dxa"/>
            <w:tcBorders>
              <w:top w:val="nil"/>
              <w:left w:val="nil"/>
              <w:bottom w:val="double" w:sz="6"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21</w:t>
            </w:r>
          </w:p>
        </w:tc>
        <w:tc>
          <w:tcPr>
            <w:tcW w:w="456" w:type="dxa"/>
            <w:tcBorders>
              <w:top w:val="nil"/>
              <w:left w:val="nil"/>
              <w:bottom w:val="double" w:sz="6"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54</w:t>
            </w:r>
          </w:p>
        </w:tc>
        <w:tc>
          <w:tcPr>
            <w:tcW w:w="457" w:type="dxa"/>
            <w:tcBorders>
              <w:top w:val="nil"/>
              <w:left w:val="nil"/>
              <w:bottom w:val="double" w:sz="6" w:space="0" w:color="auto"/>
              <w:right w:val="single" w:sz="8"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23</w:t>
            </w:r>
          </w:p>
        </w:tc>
        <w:tc>
          <w:tcPr>
            <w:tcW w:w="456" w:type="dxa"/>
            <w:tcBorders>
              <w:top w:val="double" w:sz="6" w:space="0" w:color="auto"/>
              <w:left w:val="nil"/>
              <w:bottom w:val="double" w:sz="6" w:space="0" w:color="auto"/>
              <w:right w:val="single" w:sz="4"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39</w:t>
            </w:r>
          </w:p>
        </w:tc>
        <w:tc>
          <w:tcPr>
            <w:tcW w:w="457" w:type="dxa"/>
            <w:tcBorders>
              <w:top w:val="double" w:sz="6" w:space="0" w:color="auto"/>
              <w:left w:val="nil"/>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20</w:t>
            </w:r>
          </w:p>
        </w:tc>
        <w:tc>
          <w:tcPr>
            <w:tcW w:w="456" w:type="dxa"/>
            <w:tcBorders>
              <w:top w:val="double" w:sz="6" w:space="0" w:color="auto"/>
              <w:left w:val="single" w:sz="4" w:space="0" w:color="auto"/>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59</w:t>
            </w:r>
          </w:p>
        </w:tc>
        <w:tc>
          <w:tcPr>
            <w:tcW w:w="457" w:type="dxa"/>
            <w:tcBorders>
              <w:top w:val="nil"/>
              <w:left w:val="single" w:sz="4" w:space="0" w:color="auto"/>
              <w:bottom w:val="double" w:sz="6" w:space="0" w:color="auto"/>
              <w:right w:val="single" w:sz="8"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28</w:t>
            </w:r>
          </w:p>
        </w:tc>
        <w:tc>
          <w:tcPr>
            <w:tcW w:w="457" w:type="dxa"/>
            <w:tcBorders>
              <w:top w:val="double" w:sz="6" w:space="0" w:color="auto"/>
              <w:left w:val="nil"/>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36</w:t>
            </w:r>
          </w:p>
        </w:tc>
        <w:tc>
          <w:tcPr>
            <w:tcW w:w="456" w:type="dxa"/>
            <w:tcBorders>
              <w:top w:val="double" w:sz="6" w:space="0" w:color="auto"/>
              <w:left w:val="single" w:sz="4" w:space="0" w:color="auto"/>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22</w:t>
            </w:r>
          </w:p>
        </w:tc>
        <w:tc>
          <w:tcPr>
            <w:tcW w:w="457" w:type="dxa"/>
            <w:tcBorders>
              <w:top w:val="double" w:sz="6" w:space="0" w:color="auto"/>
              <w:left w:val="single" w:sz="4" w:space="0" w:color="auto"/>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58</w:t>
            </w:r>
          </w:p>
        </w:tc>
        <w:tc>
          <w:tcPr>
            <w:tcW w:w="456" w:type="dxa"/>
            <w:tcBorders>
              <w:top w:val="nil"/>
              <w:left w:val="single" w:sz="4" w:space="0" w:color="auto"/>
              <w:bottom w:val="double" w:sz="6" w:space="0" w:color="auto"/>
              <w:right w:val="single" w:sz="8"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50</w:t>
            </w:r>
          </w:p>
        </w:tc>
        <w:tc>
          <w:tcPr>
            <w:tcW w:w="457" w:type="dxa"/>
            <w:tcBorders>
              <w:top w:val="double" w:sz="6" w:space="0" w:color="auto"/>
              <w:left w:val="nil"/>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28</w:t>
            </w:r>
          </w:p>
        </w:tc>
        <w:tc>
          <w:tcPr>
            <w:tcW w:w="456" w:type="dxa"/>
            <w:tcBorders>
              <w:top w:val="double" w:sz="6" w:space="0" w:color="auto"/>
              <w:left w:val="single" w:sz="4" w:space="0" w:color="auto"/>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29</w:t>
            </w:r>
          </w:p>
        </w:tc>
        <w:tc>
          <w:tcPr>
            <w:tcW w:w="457" w:type="dxa"/>
            <w:tcBorders>
              <w:top w:val="double" w:sz="6" w:space="0" w:color="auto"/>
              <w:left w:val="single" w:sz="4" w:space="0" w:color="auto"/>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57</w:t>
            </w:r>
          </w:p>
        </w:tc>
        <w:tc>
          <w:tcPr>
            <w:tcW w:w="457" w:type="dxa"/>
            <w:tcBorders>
              <w:top w:val="nil"/>
              <w:left w:val="single" w:sz="4" w:space="0" w:color="auto"/>
              <w:bottom w:val="double" w:sz="6" w:space="0" w:color="auto"/>
              <w:right w:val="single" w:sz="8"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49</w:t>
            </w:r>
          </w:p>
        </w:tc>
        <w:tc>
          <w:tcPr>
            <w:tcW w:w="620" w:type="dxa"/>
            <w:tcBorders>
              <w:top w:val="double" w:sz="6" w:space="0" w:color="auto"/>
              <w:left w:val="nil"/>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108</w:t>
            </w:r>
          </w:p>
        </w:tc>
        <w:tc>
          <w:tcPr>
            <w:tcW w:w="620" w:type="dxa"/>
            <w:tcBorders>
              <w:top w:val="double" w:sz="6" w:space="0" w:color="auto"/>
              <w:left w:val="single" w:sz="4" w:space="0" w:color="auto"/>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63</w:t>
            </w:r>
          </w:p>
        </w:tc>
        <w:tc>
          <w:tcPr>
            <w:tcW w:w="620" w:type="dxa"/>
            <w:tcBorders>
              <w:top w:val="double" w:sz="6" w:space="0" w:color="auto"/>
              <w:left w:val="single" w:sz="4" w:space="0" w:color="auto"/>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171</w:t>
            </w:r>
          </w:p>
        </w:tc>
        <w:tc>
          <w:tcPr>
            <w:tcW w:w="620" w:type="dxa"/>
            <w:tcBorders>
              <w:top w:val="double" w:sz="4" w:space="0" w:color="auto"/>
              <w:left w:val="single" w:sz="4" w:space="0" w:color="auto"/>
              <w:bottom w:val="double" w:sz="6" w:space="0" w:color="auto"/>
              <w:right w:val="single" w:sz="8" w:space="0" w:color="auto"/>
            </w:tcBorders>
            <w:shd w:val="clear" w:color="000000" w:fill="F2F2F2"/>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101</w:t>
            </w:r>
          </w:p>
        </w:tc>
        <w:tc>
          <w:tcPr>
            <w:tcW w:w="620" w:type="dxa"/>
            <w:tcBorders>
              <w:top w:val="double" w:sz="6" w:space="0" w:color="auto"/>
              <w:left w:val="nil"/>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136</w:t>
            </w:r>
          </w:p>
        </w:tc>
        <w:tc>
          <w:tcPr>
            <w:tcW w:w="620" w:type="dxa"/>
            <w:tcBorders>
              <w:top w:val="double" w:sz="6" w:space="0" w:color="auto"/>
              <w:left w:val="single" w:sz="4" w:space="0" w:color="auto"/>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92</w:t>
            </w:r>
          </w:p>
        </w:tc>
        <w:tc>
          <w:tcPr>
            <w:tcW w:w="620" w:type="dxa"/>
            <w:tcBorders>
              <w:top w:val="double" w:sz="6" w:space="0" w:color="auto"/>
              <w:left w:val="single" w:sz="4" w:space="0" w:color="auto"/>
              <w:bottom w:val="double" w:sz="6" w:space="0" w:color="auto"/>
              <w:right w:val="nil"/>
            </w:tcBorders>
            <w:shd w:val="clear" w:color="000000" w:fill="F2F2F2"/>
            <w:noWrap/>
            <w:vAlign w:val="center"/>
            <w:hideMark/>
          </w:tcPr>
          <w:p w:rsidR="001A30EC" w:rsidRPr="001A30EC" w:rsidRDefault="001A30EC" w:rsidP="00550C14">
            <w:pPr>
              <w:jc w:val="center"/>
              <w:rPr>
                <w:rFonts w:asciiTheme="majorHAnsi" w:hAnsiTheme="majorHAnsi"/>
                <w:b/>
                <w:sz w:val="20"/>
                <w:szCs w:val="20"/>
              </w:rPr>
            </w:pPr>
            <w:r w:rsidRPr="001A30EC">
              <w:rPr>
                <w:rFonts w:asciiTheme="majorHAnsi" w:hAnsiTheme="majorHAnsi"/>
                <w:b/>
                <w:sz w:val="20"/>
                <w:szCs w:val="20"/>
              </w:rPr>
              <w:t>228</w:t>
            </w:r>
          </w:p>
        </w:tc>
        <w:tc>
          <w:tcPr>
            <w:tcW w:w="621" w:type="dxa"/>
            <w:tcBorders>
              <w:top w:val="nil"/>
              <w:left w:val="single" w:sz="4" w:space="0" w:color="auto"/>
              <w:bottom w:val="double" w:sz="6" w:space="0" w:color="auto"/>
              <w:right w:val="single" w:sz="8" w:space="0" w:color="auto"/>
            </w:tcBorders>
            <w:shd w:val="clear" w:color="000000" w:fill="F2F2F2"/>
            <w:noWrap/>
            <w:vAlign w:val="center"/>
            <w:hideMark/>
          </w:tcPr>
          <w:p w:rsidR="001A30EC" w:rsidRPr="001A30EC" w:rsidRDefault="001A30EC" w:rsidP="00550C14">
            <w:pPr>
              <w:jc w:val="center"/>
              <w:rPr>
                <w:rFonts w:asciiTheme="majorHAnsi" w:hAnsiTheme="majorHAnsi"/>
                <w:sz w:val="20"/>
                <w:szCs w:val="20"/>
              </w:rPr>
            </w:pPr>
            <w:r w:rsidRPr="001A30EC">
              <w:rPr>
                <w:rFonts w:asciiTheme="majorHAnsi" w:hAnsiTheme="majorHAnsi"/>
                <w:sz w:val="20"/>
                <w:szCs w:val="20"/>
              </w:rPr>
              <w:t>150</w:t>
            </w:r>
          </w:p>
        </w:tc>
        <w:tc>
          <w:tcPr>
            <w:tcW w:w="1276" w:type="dxa"/>
            <w:tcBorders>
              <w:top w:val="double" w:sz="6" w:space="0" w:color="auto"/>
              <w:left w:val="nil"/>
              <w:bottom w:val="double" w:sz="6" w:space="0" w:color="auto"/>
              <w:right w:val="double" w:sz="6" w:space="0" w:color="auto"/>
            </w:tcBorders>
            <w:shd w:val="clear" w:color="000000" w:fill="F2F2F2"/>
            <w:noWrap/>
            <w:vAlign w:val="center"/>
            <w:hideMark/>
          </w:tcPr>
          <w:p w:rsidR="001A30EC" w:rsidRPr="001A30EC" w:rsidRDefault="001A30EC" w:rsidP="00550C14">
            <w:pPr>
              <w:jc w:val="center"/>
              <w:rPr>
                <w:rFonts w:asciiTheme="majorHAnsi" w:eastAsia="Times New Roman" w:hAnsiTheme="majorHAnsi" w:cs="Arial"/>
                <w:b/>
                <w:bCs/>
                <w:sz w:val="20"/>
                <w:szCs w:val="20"/>
                <w:lang w:eastAsia="sk-SK"/>
              </w:rPr>
            </w:pPr>
            <w:r w:rsidRPr="001A30EC">
              <w:rPr>
                <w:rFonts w:asciiTheme="majorHAnsi" w:eastAsia="Times New Roman" w:hAnsiTheme="majorHAnsi" w:cs="Arial"/>
                <w:b/>
                <w:bCs/>
                <w:sz w:val="20"/>
                <w:szCs w:val="20"/>
                <w:lang w:eastAsia="sk-SK"/>
              </w:rPr>
              <w:t>60</w:t>
            </w:r>
          </w:p>
        </w:tc>
      </w:tr>
    </w:tbl>
    <w:p w:rsidR="001A30EC" w:rsidRPr="001A30EC" w:rsidRDefault="001A30EC" w:rsidP="001A30EC">
      <w:pP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Stav k 9.11.2015</w:t>
      </w:r>
    </w:p>
    <w:p w:rsidR="001A30EC" w:rsidRPr="001A30EC" w:rsidRDefault="001A30EC" w:rsidP="001A30EC">
      <w:pPr>
        <w:rPr>
          <w:rFonts w:asciiTheme="majorHAnsi" w:hAnsiTheme="majorHAnsi" w:cs="Calibri"/>
          <w:b/>
          <w:sz w:val="20"/>
          <w:szCs w:val="20"/>
        </w:rPr>
      </w:pPr>
      <w:r w:rsidRPr="001A30EC">
        <w:rPr>
          <w:rFonts w:asciiTheme="majorHAnsi" w:eastAsia="Times New Roman" w:hAnsiTheme="majorHAnsi" w:cs="Arial"/>
          <w:b/>
          <w:sz w:val="20"/>
          <w:szCs w:val="20"/>
          <w:lang w:eastAsia="sk-SK"/>
        </w:rPr>
        <w:t>Vysvetlivky:</w:t>
      </w:r>
    </w:p>
    <w:p w:rsidR="001A30EC" w:rsidRPr="001A30EC" w:rsidRDefault="001A30EC" w:rsidP="001A30EC">
      <w:pP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E - existujúci študijný program (</w:t>
      </w:r>
      <w:proofErr w:type="spellStart"/>
      <w:r w:rsidRPr="001A30EC">
        <w:rPr>
          <w:rFonts w:asciiTheme="majorHAnsi" w:eastAsia="Times New Roman" w:hAnsiTheme="majorHAnsi" w:cs="Arial"/>
          <w:sz w:val="20"/>
          <w:szCs w:val="20"/>
          <w:lang w:eastAsia="sk-SK"/>
        </w:rPr>
        <w:t>reakreditácia</w:t>
      </w:r>
      <w:proofErr w:type="spellEnd"/>
      <w:r w:rsidRPr="001A30EC">
        <w:rPr>
          <w:rFonts w:asciiTheme="majorHAnsi" w:eastAsia="Times New Roman" w:hAnsiTheme="majorHAnsi" w:cs="Arial"/>
          <w:sz w:val="20"/>
          <w:szCs w:val="20"/>
          <w:lang w:eastAsia="sk-SK"/>
        </w:rPr>
        <w:t>)</w:t>
      </w:r>
    </w:p>
    <w:p w:rsidR="001A30EC" w:rsidRPr="001A30EC" w:rsidRDefault="001A30EC" w:rsidP="001A30EC">
      <w:pP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 xml:space="preserve">N - nový študijný program </w:t>
      </w:r>
    </w:p>
    <w:p w:rsidR="001A30EC" w:rsidRPr="001A30EC" w:rsidRDefault="001A30EC" w:rsidP="001A30EC">
      <w:pP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Σ</w:t>
      </w:r>
      <w:r w:rsidRPr="001A30EC">
        <w:rPr>
          <w:rFonts w:asciiTheme="majorHAnsi" w:eastAsia="Times New Roman" w:hAnsiTheme="majorHAnsi" w:cs="Arial"/>
          <w:sz w:val="20"/>
          <w:szCs w:val="20"/>
          <w:vertAlign w:val="subscript"/>
          <w:lang w:eastAsia="sk-SK"/>
        </w:rPr>
        <w:t>SJ</w:t>
      </w:r>
      <w:r w:rsidRPr="001A30EC">
        <w:rPr>
          <w:rFonts w:asciiTheme="majorHAnsi" w:eastAsia="Times New Roman" w:hAnsiTheme="majorHAnsi" w:cs="Arial"/>
          <w:sz w:val="20"/>
          <w:szCs w:val="20"/>
          <w:lang w:eastAsia="sk-SK"/>
        </w:rPr>
        <w:t xml:space="preserve"> - súčet existujúcich a nových študijných programov uskutočňovaných v slovenskom jazyku</w:t>
      </w:r>
    </w:p>
    <w:p w:rsidR="001A30EC" w:rsidRPr="001A30EC" w:rsidRDefault="001A30EC" w:rsidP="001A30EC">
      <w:pP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AJ - študijný program uskutočňovaný v anglickom jazyku</w:t>
      </w:r>
    </w:p>
    <w:p w:rsidR="001A30EC" w:rsidRPr="001A30EC" w:rsidRDefault="001A30EC" w:rsidP="001A30EC">
      <w:pPr>
        <w:rPr>
          <w:rFonts w:asciiTheme="majorHAnsi" w:eastAsia="Times New Roman" w:hAnsiTheme="majorHAnsi" w:cs="Arial"/>
          <w:sz w:val="20"/>
          <w:szCs w:val="20"/>
          <w:lang w:eastAsia="sk-SK"/>
        </w:rPr>
      </w:pPr>
      <w:r w:rsidRPr="001A30EC">
        <w:rPr>
          <w:rFonts w:asciiTheme="majorHAnsi" w:eastAsia="Times New Roman" w:hAnsiTheme="majorHAnsi" w:cs="Arial"/>
          <w:sz w:val="20"/>
          <w:szCs w:val="20"/>
          <w:lang w:eastAsia="sk-SK"/>
        </w:rPr>
        <w:t>*</w:t>
      </w:r>
      <w:r w:rsidRPr="001A30EC">
        <w:rPr>
          <w:rFonts w:asciiTheme="majorHAnsi" w:hAnsiTheme="majorHAnsi" w:cs="Arial"/>
          <w:sz w:val="20"/>
          <w:szCs w:val="20"/>
        </w:rPr>
        <w:t xml:space="preserve"> </w:t>
      </w:r>
      <w:r w:rsidRPr="001A30EC">
        <w:rPr>
          <w:rFonts w:asciiTheme="majorHAnsi" w:eastAsia="Times New Roman" w:hAnsiTheme="majorHAnsi" w:cs="Arial"/>
          <w:sz w:val="20"/>
          <w:szCs w:val="20"/>
          <w:lang w:eastAsia="sk-SK"/>
        </w:rPr>
        <w:t>V prípade, že študijný program sa uskutočňuje v kombinácii dvoch študijných odborov, započítané sú v rámci príslušnej fakulty obidva študijné odbory samostatne. V 11 študijných odboroch sú priznané práva na viac ako jednej fakulte.</w:t>
      </w:r>
    </w:p>
    <w:p w:rsidR="00024C6B" w:rsidRDefault="00024C6B" w:rsidP="00B51749">
      <w:pPr>
        <w:rPr>
          <w:rFonts w:asciiTheme="minorHAnsi" w:hAnsiTheme="minorHAnsi"/>
          <w:color w:val="FF0000"/>
        </w:rPr>
        <w:sectPr w:rsidR="00024C6B" w:rsidSect="00024C6B">
          <w:headerReference w:type="default" r:id="rId13"/>
          <w:footerReference w:type="default" r:id="rId14"/>
          <w:pgSz w:w="16840" w:h="11900" w:orient="landscape"/>
          <w:pgMar w:top="1797" w:right="2126" w:bottom="1797" w:left="1276" w:header="709" w:footer="709" w:gutter="0"/>
          <w:cols w:space="708"/>
          <w:docGrid w:linePitch="360"/>
        </w:sectPr>
      </w:pPr>
    </w:p>
    <w:p w:rsidR="00024C6B" w:rsidRDefault="00024C6B" w:rsidP="00B51749">
      <w:pPr>
        <w:rPr>
          <w:rFonts w:asciiTheme="minorHAnsi" w:hAnsiTheme="minorHAnsi"/>
          <w:color w:val="FF0000"/>
        </w:rPr>
      </w:pPr>
    </w:p>
    <w:p w:rsidR="00024C6B" w:rsidRDefault="00024C6B" w:rsidP="00B51749">
      <w:pPr>
        <w:rPr>
          <w:rFonts w:asciiTheme="minorHAnsi" w:hAnsiTheme="minorHAnsi"/>
          <w:color w:val="FF0000"/>
        </w:rPr>
      </w:pPr>
    </w:p>
    <w:p w:rsidR="00024C6B" w:rsidRPr="002D7A10" w:rsidRDefault="00024C6B" w:rsidP="00B51749">
      <w:pPr>
        <w:rPr>
          <w:rFonts w:asciiTheme="minorHAnsi" w:hAnsiTheme="minorHAnsi"/>
          <w:color w:val="FF0000"/>
        </w:rPr>
      </w:pPr>
    </w:p>
    <w:p w:rsidR="00B51749" w:rsidRPr="002D7A10" w:rsidRDefault="00B51749" w:rsidP="00B51749">
      <w:pPr>
        <w:pStyle w:val="Nadpis2"/>
        <w:rPr>
          <w:rFonts w:asciiTheme="minorHAnsi" w:hAnsiTheme="minorHAnsi"/>
          <w:color w:val="auto"/>
          <w:sz w:val="24"/>
          <w:szCs w:val="24"/>
        </w:rPr>
      </w:pPr>
      <w:bookmarkStart w:id="7" w:name="_Toc448261550"/>
      <w:r w:rsidRPr="002D7A10">
        <w:rPr>
          <w:rFonts w:asciiTheme="minorHAnsi" w:hAnsiTheme="minorHAnsi"/>
          <w:color w:val="auto"/>
          <w:sz w:val="24"/>
          <w:szCs w:val="24"/>
        </w:rPr>
        <w:t>Počty a štruktúra študentov na STU</w:t>
      </w:r>
      <w:bookmarkEnd w:id="7"/>
    </w:p>
    <w:p w:rsidR="0031029A" w:rsidRDefault="0031029A" w:rsidP="00FF5C17">
      <w:pPr>
        <w:rPr>
          <w:rFonts w:asciiTheme="minorHAnsi" w:hAnsiTheme="minorHAnsi" w:cs="Calibri"/>
          <w:b/>
        </w:rPr>
      </w:pPr>
    </w:p>
    <w:p w:rsidR="0031029A" w:rsidRDefault="00FF5C17" w:rsidP="00755BF6">
      <w:pPr>
        <w:rPr>
          <w:rFonts w:asciiTheme="minorHAnsi" w:hAnsiTheme="minorHAnsi" w:cs="Calibri"/>
        </w:rPr>
      </w:pPr>
      <w:r w:rsidRPr="002D7A10">
        <w:rPr>
          <w:rFonts w:asciiTheme="minorHAnsi" w:hAnsiTheme="minorHAnsi" w:cs="Calibri"/>
          <w:b/>
        </w:rPr>
        <w:t>STU mala v akademickom roku 2014/2015 celkovo 15 403 študentov</w:t>
      </w:r>
      <w:r w:rsidRPr="002D7A10">
        <w:rPr>
          <w:rFonts w:asciiTheme="minorHAnsi" w:hAnsiTheme="minorHAnsi" w:cs="Calibri"/>
        </w:rPr>
        <w:t xml:space="preserve">; 9 936 na prvom stupni, 4 239 na druhom stupni a 1 228 na treťom stupni štúdia (stav k 31.10.2014). Prehľad o počtoch a štruktúre študentov uvádza </w:t>
      </w:r>
      <w:r w:rsidR="00A870A4">
        <w:rPr>
          <w:rFonts w:asciiTheme="minorHAnsi" w:hAnsiTheme="minorHAnsi" w:cs="Calibri"/>
        </w:rPr>
        <w:t>t</w:t>
      </w:r>
      <w:r w:rsidRPr="002D7A10">
        <w:rPr>
          <w:rFonts w:asciiTheme="minorHAnsi" w:hAnsiTheme="minorHAnsi" w:cs="Calibri"/>
        </w:rPr>
        <w:t xml:space="preserve">abuľka č. </w:t>
      </w:r>
      <w:r w:rsidR="009309F8" w:rsidRPr="002D7A10">
        <w:rPr>
          <w:rFonts w:asciiTheme="minorHAnsi" w:hAnsiTheme="minorHAnsi" w:cs="Calibri"/>
        </w:rPr>
        <w:t>3.</w:t>
      </w:r>
      <w:r w:rsidRPr="002D7A10">
        <w:rPr>
          <w:rFonts w:asciiTheme="minorHAnsi" w:hAnsiTheme="minorHAnsi" w:cs="Calibri"/>
        </w:rPr>
        <w:t>4.</w:t>
      </w:r>
    </w:p>
    <w:p w:rsidR="00FF5C17" w:rsidRPr="002D7A10" w:rsidRDefault="0031029A" w:rsidP="0032657C">
      <w:pPr>
        <w:spacing w:after="200" w:line="276" w:lineRule="auto"/>
        <w:jc w:val="left"/>
        <w:rPr>
          <w:rFonts w:asciiTheme="minorHAnsi" w:hAnsiTheme="minorHAnsi" w:cs="Calibri"/>
        </w:rPr>
      </w:pPr>
      <w:r w:rsidRPr="002D7A10">
        <w:rPr>
          <w:rFonts w:asciiTheme="minorHAnsi" w:hAnsiTheme="minorHAnsi" w:cs="Calibri"/>
        </w:rPr>
        <w:t xml:space="preserve">Porovnanie celkového počtu študentov na vybraných vysokých školách v Slovenskej republike za posledných päť rokov je </w:t>
      </w:r>
      <w:r w:rsidR="0032657C">
        <w:rPr>
          <w:rFonts w:asciiTheme="minorHAnsi" w:hAnsiTheme="minorHAnsi" w:cs="Calibri"/>
        </w:rPr>
        <w:t>znázornené v  grafe č. 3.2</w:t>
      </w:r>
    </w:p>
    <w:p w:rsidR="00FF5C17" w:rsidRPr="001A30EC" w:rsidRDefault="00FF5C17" w:rsidP="00FF5C17">
      <w:pPr>
        <w:rPr>
          <w:rFonts w:asciiTheme="minorHAnsi" w:hAnsiTheme="minorHAnsi" w:cs="Calibri"/>
          <w:b/>
          <w:sz w:val="20"/>
          <w:szCs w:val="20"/>
        </w:rPr>
      </w:pPr>
      <w:r w:rsidRPr="001A30EC">
        <w:rPr>
          <w:rFonts w:asciiTheme="minorHAnsi" w:hAnsiTheme="minorHAnsi" w:cs="Calibri"/>
          <w:b/>
          <w:sz w:val="20"/>
          <w:szCs w:val="20"/>
        </w:rPr>
        <w:t xml:space="preserve">Tabuľka č. </w:t>
      </w:r>
      <w:r w:rsidR="009309F8" w:rsidRPr="001A30EC">
        <w:rPr>
          <w:rFonts w:asciiTheme="minorHAnsi" w:hAnsiTheme="minorHAnsi" w:cs="Calibri"/>
          <w:b/>
          <w:sz w:val="20"/>
          <w:szCs w:val="20"/>
        </w:rPr>
        <w:t>3.</w:t>
      </w:r>
      <w:r w:rsidRPr="001A30EC">
        <w:rPr>
          <w:rFonts w:asciiTheme="minorHAnsi" w:hAnsiTheme="minorHAnsi" w:cs="Calibri"/>
          <w:b/>
          <w:sz w:val="20"/>
          <w:szCs w:val="20"/>
        </w:rPr>
        <w:t>4: Počet študentov STU v akad. roku 2014/2015 k 31.10.2014</w:t>
      </w:r>
    </w:p>
    <w:tbl>
      <w:tblPr>
        <w:tblW w:w="9319" w:type="dxa"/>
        <w:tblInd w:w="55" w:type="dxa"/>
        <w:tblLayout w:type="fixed"/>
        <w:tblCellMar>
          <w:left w:w="70" w:type="dxa"/>
          <w:right w:w="70" w:type="dxa"/>
        </w:tblCellMar>
        <w:tblLook w:val="04A0" w:firstRow="1" w:lastRow="0" w:firstColumn="1" w:lastColumn="0" w:noHBand="0" w:noVBand="1"/>
      </w:tblPr>
      <w:tblGrid>
        <w:gridCol w:w="960"/>
        <w:gridCol w:w="1102"/>
        <w:gridCol w:w="1103"/>
        <w:gridCol w:w="1103"/>
        <w:gridCol w:w="966"/>
        <w:gridCol w:w="966"/>
        <w:gridCol w:w="966"/>
        <w:gridCol w:w="955"/>
        <w:gridCol w:w="1198"/>
      </w:tblGrid>
      <w:tr w:rsidR="00FF5C17" w:rsidRPr="001A30EC" w:rsidTr="00CE307D">
        <w:trPr>
          <w:trHeight w:val="2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F5C17" w:rsidRPr="001A30EC" w:rsidRDefault="00FF5C17" w:rsidP="00CE307D">
            <w:pP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Fakulta</w:t>
            </w:r>
          </w:p>
        </w:tc>
        <w:tc>
          <w:tcPr>
            <w:tcW w:w="835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Študenti na STU</w:t>
            </w:r>
          </w:p>
        </w:tc>
      </w:tr>
      <w:tr w:rsidR="00FF5C17" w:rsidRPr="001A30EC" w:rsidTr="00CE307D">
        <w:trPr>
          <w:trHeight w:val="2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F5C17" w:rsidRPr="001A30EC" w:rsidRDefault="00FF5C17" w:rsidP="00CE307D">
            <w:pPr>
              <w:rPr>
                <w:rFonts w:asciiTheme="minorHAnsi" w:eastAsia="Times New Roman" w:hAnsiTheme="minorHAnsi" w:cs="Arial"/>
                <w:sz w:val="20"/>
                <w:szCs w:val="20"/>
                <w:lang w:eastAsia="sk-SK"/>
              </w:rPr>
            </w:pPr>
          </w:p>
        </w:tc>
        <w:tc>
          <w:tcPr>
            <w:tcW w:w="3308" w:type="dxa"/>
            <w:gridSpan w:val="3"/>
            <w:tcBorders>
              <w:top w:val="single" w:sz="4" w:space="0" w:color="auto"/>
              <w:left w:val="nil"/>
              <w:bottom w:val="single" w:sz="4" w:space="0" w:color="auto"/>
              <w:right w:val="single" w:sz="8" w:space="0" w:color="000000"/>
            </w:tcBorders>
            <w:shd w:val="clear" w:color="auto" w:fill="auto"/>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Denné štúdium</w:t>
            </w:r>
          </w:p>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(Slováci + cudzinci)</w:t>
            </w:r>
          </w:p>
        </w:tc>
        <w:tc>
          <w:tcPr>
            <w:tcW w:w="2898" w:type="dxa"/>
            <w:gridSpan w:val="3"/>
            <w:tcBorders>
              <w:top w:val="single" w:sz="4" w:space="0" w:color="auto"/>
              <w:left w:val="nil"/>
              <w:bottom w:val="single" w:sz="4" w:space="0" w:color="auto"/>
              <w:right w:val="nil"/>
            </w:tcBorders>
            <w:shd w:val="clear" w:color="auto" w:fill="auto"/>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Externé štúdium</w:t>
            </w:r>
          </w:p>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(Slováci + cudzinci)</w:t>
            </w:r>
          </w:p>
        </w:tc>
        <w:tc>
          <w:tcPr>
            <w:tcW w:w="955" w:type="dxa"/>
            <w:tcBorders>
              <w:top w:val="nil"/>
              <w:left w:val="double" w:sz="6" w:space="0" w:color="auto"/>
              <w:bottom w:val="single" w:sz="4" w:space="0" w:color="auto"/>
              <w:right w:val="double" w:sz="6" w:space="0" w:color="auto"/>
            </w:tcBorders>
            <w:shd w:val="clear" w:color="auto" w:fill="auto"/>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Cudzinci všetky stupne</w:t>
            </w:r>
          </w:p>
        </w:tc>
        <w:tc>
          <w:tcPr>
            <w:tcW w:w="1198" w:type="dxa"/>
            <w:tcBorders>
              <w:top w:val="nil"/>
              <w:left w:val="nil"/>
              <w:bottom w:val="nil"/>
              <w:right w:val="single" w:sz="4" w:space="0" w:color="auto"/>
            </w:tcBorders>
            <w:shd w:val="clear" w:color="auto" w:fill="auto"/>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STU celkom (Slováci</w:t>
            </w:r>
          </w:p>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 xml:space="preserve"> + cudzinci)</w:t>
            </w:r>
          </w:p>
        </w:tc>
      </w:tr>
      <w:tr w:rsidR="00FF5C17" w:rsidRPr="001A30EC" w:rsidTr="00CE307D">
        <w:trPr>
          <w:trHeight w:val="2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F5C17" w:rsidRPr="001A30EC" w:rsidRDefault="00FF5C17" w:rsidP="00CE307D">
            <w:pPr>
              <w:rPr>
                <w:rFonts w:asciiTheme="minorHAnsi" w:eastAsia="Times New Roman" w:hAnsiTheme="minorHAnsi" w:cs="Arial"/>
                <w:sz w:val="20"/>
                <w:szCs w:val="20"/>
                <w:lang w:eastAsia="sk-SK"/>
              </w:rPr>
            </w:pPr>
          </w:p>
        </w:tc>
        <w:tc>
          <w:tcPr>
            <w:tcW w:w="1102" w:type="dxa"/>
            <w:tcBorders>
              <w:top w:val="nil"/>
              <w:left w:val="nil"/>
              <w:bottom w:val="single" w:sz="4" w:space="0" w:color="auto"/>
              <w:right w:val="single" w:sz="4" w:space="0" w:color="auto"/>
            </w:tcBorders>
            <w:shd w:val="clear" w:color="auto" w:fill="auto"/>
            <w:noWrap/>
            <w:vAlign w:val="bottom"/>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I.</w:t>
            </w:r>
          </w:p>
        </w:tc>
        <w:tc>
          <w:tcPr>
            <w:tcW w:w="1103" w:type="dxa"/>
            <w:tcBorders>
              <w:top w:val="nil"/>
              <w:left w:val="nil"/>
              <w:bottom w:val="single" w:sz="4" w:space="0" w:color="auto"/>
              <w:right w:val="single" w:sz="4" w:space="0" w:color="auto"/>
            </w:tcBorders>
            <w:shd w:val="clear" w:color="auto" w:fill="auto"/>
            <w:noWrap/>
            <w:vAlign w:val="bottom"/>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II.</w:t>
            </w:r>
          </w:p>
        </w:tc>
        <w:tc>
          <w:tcPr>
            <w:tcW w:w="1103" w:type="dxa"/>
            <w:tcBorders>
              <w:top w:val="nil"/>
              <w:left w:val="nil"/>
              <w:bottom w:val="single" w:sz="4" w:space="0" w:color="auto"/>
              <w:right w:val="single" w:sz="8" w:space="0" w:color="auto"/>
            </w:tcBorders>
            <w:shd w:val="clear" w:color="auto" w:fill="auto"/>
            <w:noWrap/>
            <w:vAlign w:val="bottom"/>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III.</w:t>
            </w:r>
          </w:p>
        </w:tc>
        <w:tc>
          <w:tcPr>
            <w:tcW w:w="966" w:type="dxa"/>
            <w:tcBorders>
              <w:top w:val="nil"/>
              <w:left w:val="nil"/>
              <w:bottom w:val="single" w:sz="4" w:space="0" w:color="auto"/>
              <w:right w:val="single" w:sz="4" w:space="0" w:color="auto"/>
            </w:tcBorders>
            <w:shd w:val="clear" w:color="auto" w:fill="auto"/>
            <w:noWrap/>
            <w:vAlign w:val="bottom"/>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I.</w:t>
            </w:r>
          </w:p>
        </w:tc>
        <w:tc>
          <w:tcPr>
            <w:tcW w:w="966" w:type="dxa"/>
            <w:tcBorders>
              <w:top w:val="nil"/>
              <w:left w:val="nil"/>
              <w:bottom w:val="single" w:sz="4" w:space="0" w:color="auto"/>
              <w:right w:val="single" w:sz="4" w:space="0" w:color="auto"/>
            </w:tcBorders>
            <w:shd w:val="clear" w:color="auto" w:fill="auto"/>
            <w:noWrap/>
            <w:vAlign w:val="bottom"/>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II.</w:t>
            </w:r>
          </w:p>
        </w:tc>
        <w:tc>
          <w:tcPr>
            <w:tcW w:w="966" w:type="dxa"/>
            <w:tcBorders>
              <w:top w:val="nil"/>
              <w:left w:val="nil"/>
              <w:bottom w:val="single" w:sz="4" w:space="0" w:color="auto"/>
              <w:right w:val="double" w:sz="6" w:space="0" w:color="auto"/>
            </w:tcBorders>
            <w:shd w:val="clear" w:color="auto" w:fill="auto"/>
            <w:noWrap/>
            <w:vAlign w:val="bottom"/>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III.</w:t>
            </w:r>
          </w:p>
        </w:tc>
        <w:tc>
          <w:tcPr>
            <w:tcW w:w="955" w:type="dxa"/>
            <w:tcBorders>
              <w:top w:val="nil"/>
              <w:left w:val="nil"/>
              <w:bottom w:val="single" w:sz="4" w:space="0" w:color="auto"/>
              <w:right w:val="double" w:sz="6"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D+E</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D+E</w:t>
            </w:r>
          </w:p>
        </w:tc>
      </w:tr>
      <w:tr w:rsidR="00FF5C17" w:rsidRPr="001A30EC"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5C17" w:rsidRPr="001A30EC" w:rsidRDefault="00FF5C17" w:rsidP="00CE307D">
            <w:pP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SvF</w:t>
            </w:r>
          </w:p>
        </w:tc>
        <w:tc>
          <w:tcPr>
            <w:tcW w:w="1102"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2 200</w:t>
            </w:r>
          </w:p>
        </w:tc>
        <w:tc>
          <w:tcPr>
            <w:tcW w:w="1103"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1 068</w:t>
            </w:r>
          </w:p>
        </w:tc>
        <w:tc>
          <w:tcPr>
            <w:tcW w:w="1103" w:type="dxa"/>
            <w:tcBorders>
              <w:top w:val="nil"/>
              <w:left w:val="nil"/>
              <w:bottom w:val="single" w:sz="4" w:space="0" w:color="auto"/>
              <w:right w:val="single" w:sz="8"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229</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nil"/>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48</w:t>
            </w:r>
          </w:p>
        </w:tc>
        <w:tc>
          <w:tcPr>
            <w:tcW w:w="955" w:type="dxa"/>
            <w:tcBorders>
              <w:top w:val="nil"/>
              <w:left w:val="double" w:sz="6" w:space="0" w:color="auto"/>
              <w:bottom w:val="single" w:sz="4" w:space="0" w:color="auto"/>
              <w:right w:val="double" w:sz="6"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73</w:t>
            </w:r>
          </w:p>
        </w:tc>
        <w:tc>
          <w:tcPr>
            <w:tcW w:w="1198" w:type="dxa"/>
            <w:tcBorders>
              <w:top w:val="nil"/>
              <w:left w:val="nil"/>
              <w:bottom w:val="single" w:sz="4" w:space="0" w:color="auto"/>
              <w:right w:val="single" w:sz="4" w:space="0" w:color="auto"/>
            </w:tcBorders>
            <w:shd w:val="clear" w:color="000000" w:fill="D9D9D9"/>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3 545</w:t>
            </w:r>
          </w:p>
        </w:tc>
      </w:tr>
      <w:tr w:rsidR="00FF5C17" w:rsidRPr="001A30EC"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5C17" w:rsidRPr="001A30EC" w:rsidRDefault="00FF5C17" w:rsidP="00CE307D">
            <w:pP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SjF</w:t>
            </w:r>
          </w:p>
        </w:tc>
        <w:tc>
          <w:tcPr>
            <w:tcW w:w="1102"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770</w:t>
            </w:r>
          </w:p>
        </w:tc>
        <w:tc>
          <w:tcPr>
            <w:tcW w:w="1103"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468</w:t>
            </w:r>
          </w:p>
        </w:tc>
        <w:tc>
          <w:tcPr>
            <w:tcW w:w="1103" w:type="dxa"/>
            <w:tcBorders>
              <w:top w:val="nil"/>
              <w:left w:val="nil"/>
              <w:bottom w:val="single" w:sz="4" w:space="0" w:color="auto"/>
              <w:right w:val="single" w:sz="8"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70</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7</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nil"/>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51</w:t>
            </w:r>
          </w:p>
        </w:tc>
        <w:tc>
          <w:tcPr>
            <w:tcW w:w="955" w:type="dxa"/>
            <w:tcBorders>
              <w:top w:val="nil"/>
              <w:left w:val="double" w:sz="6" w:space="0" w:color="auto"/>
              <w:bottom w:val="single" w:sz="4" w:space="0" w:color="auto"/>
              <w:right w:val="double" w:sz="6"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28</w:t>
            </w:r>
          </w:p>
        </w:tc>
        <w:tc>
          <w:tcPr>
            <w:tcW w:w="1198" w:type="dxa"/>
            <w:tcBorders>
              <w:top w:val="nil"/>
              <w:left w:val="nil"/>
              <w:bottom w:val="single" w:sz="4" w:space="0" w:color="auto"/>
              <w:right w:val="single" w:sz="4" w:space="0" w:color="auto"/>
            </w:tcBorders>
            <w:shd w:val="clear" w:color="000000" w:fill="D9D9D9"/>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1 366</w:t>
            </w:r>
          </w:p>
        </w:tc>
      </w:tr>
      <w:tr w:rsidR="00FF5C17" w:rsidRPr="001A30EC"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5C17" w:rsidRPr="001A30EC" w:rsidRDefault="00FF5C17" w:rsidP="00CE307D">
            <w:pP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FEI</w:t>
            </w:r>
          </w:p>
        </w:tc>
        <w:tc>
          <w:tcPr>
            <w:tcW w:w="1102"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1 526</w:t>
            </w:r>
          </w:p>
        </w:tc>
        <w:tc>
          <w:tcPr>
            <w:tcW w:w="1103"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561</w:t>
            </w:r>
          </w:p>
        </w:tc>
        <w:tc>
          <w:tcPr>
            <w:tcW w:w="1103" w:type="dxa"/>
            <w:tcBorders>
              <w:top w:val="nil"/>
              <w:left w:val="nil"/>
              <w:bottom w:val="single" w:sz="4" w:space="0" w:color="auto"/>
              <w:right w:val="single" w:sz="8"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139</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nil"/>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120</w:t>
            </w:r>
          </w:p>
        </w:tc>
        <w:tc>
          <w:tcPr>
            <w:tcW w:w="955" w:type="dxa"/>
            <w:tcBorders>
              <w:top w:val="nil"/>
              <w:left w:val="double" w:sz="6" w:space="0" w:color="auto"/>
              <w:bottom w:val="single" w:sz="4" w:space="0" w:color="auto"/>
              <w:right w:val="double" w:sz="6"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77</w:t>
            </w:r>
          </w:p>
        </w:tc>
        <w:tc>
          <w:tcPr>
            <w:tcW w:w="1198" w:type="dxa"/>
            <w:tcBorders>
              <w:top w:val="nil"/>
              <w:left w:val="nil"/>
              <w:bottom w:val="single" w:sz="4" w:space="0" w:color="auto"/>
              <w:right w:val="single" w:sz="4" w:space="0" w:color="auto"/>
            </w:tcBorders>
            <w:shd w:val="clear" w:color="000000" w:fill="D9D9D9"/>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2 346</w:t>
            </w:r>
          </w:p>
        </w:tc>
      </w:tr>
      <w:tr w:rsidR="00FF5C17" w:rsidRPr="001A30EC"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5C17" w:rsidRPr="001A30EC" w:rsidRDefault="00FF5C17" w:rsidP="00CE307D">
            <w:pP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FCHPT</w:t>
            </w:r>
          </w:p>
        </w:tc>
        <w:tc>
          <w:tcPr>
            <w:tcW w:w="1102"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1 689</w:t>
            </w:r>
          </w:p>
        </w:tc>
        <w:tc>
          <w:tcPr>
            <w:tcW w:w="1103"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411</w:t>
            </w:r>
          </w:p>
        </w:tc>
        <w:tc>
          <w:tcPr>
            <w:tcW w:w="1103" w:type="dxa"/>
            <w:tcBorders>
              <w:top w:val="nil"/>
              <w:left w:val="nil"/>
              <w:bottom w:val="single" w:sz="4" w:space="0" w:color="auto"/>
              <w:right w:val="single" w:sz="8"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185</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nil"/>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34</w:t>
            </w:r>
          </w:p>
        </w:tc>
        <w:tc>
          <w:tcPr>
            <w:tcW w:w="955" w:type="dxa"/>
            <w:tcBorders>
              <w:top w:val="nil"/>
              <w:left w:val="double" w:sz="6" w:space="0" w:color="auto"/>
              <w:bottom w:val="single" w:sz="4" w:space="0" w:color="auto"/>
              <w:right w:val="double" w:sz="6"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35</w:t>
            </w:r>
          </w:p>
        </w:tc>
        <w:tc>
          <w:tcPr>
            <w:tcW w:w="1198" w:type="dxa"/>
            <w:tcBorders>
              <w:top w:val="nil"/>
              <w:left w:val="nil"/>
              <w:bottom w:val="single" w:sz="4" w:space="0" w:color="auto"/>
              <w:right w:val="single" w:sz="4" w:space="0" w:color="auto"/>
            </w:tcBorders>
            <w:shd w:val="clear" w:color="000000" w:fill="D9D9D9"/>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2 319</w:t>
            </w:r>
          </w:p>
        </w:tc>
      </w:tr>
      <w:tr w:rsidR="00FF5C17" w:rsidRPr="001A30EC"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5C17" w:rsidRPr="001A30EC" w:rsidRDefault="00FF5C17" w:rsidP="00CE307D">
            <w:pP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FA</w:t>
            </w:r>
          </w:p>
        </w:tc>
        <w:tc>
          <w:tcPr>
            <w:tcW w:w="1102"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722</w:t>
            </w:r>
          </w:p>
        </w:tc>
        <w:tc>
          <w:tcPr>
            <w:tcW w:w="1103"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374</w:t>
            </w:r>
          </w:p>
        </w:tc>
        <w:tc>
          <w:tcPr>
            <w:tcW w:w="1103" w:type="dxa"/>
            <w:tcBorders>
              <w:top w:val="nil"/>
              <w:left w:val="nil"/>
              <w:bottom w:val="single" w:sz="4" w:space="0" w:color="auto"/>
              <w:right w:val="single" w:sz="8"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72</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nil"/>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34</w:t>
            </w:r>
          </w:p>
        </w:tc>
        <w:tc>
          <w:tcPr>
            <w:tcW w:w="955" w:type="dxa"/>
            <w:tcBorders>
              <w:top w:val="nil"/>
              <w:left w:val="double" w:sz="6" w:space="0" w:color="auto"/>
              <w:bottom w:val="single" w:sz="4" w:space="0" w:color="auto"/>
              <w:right w:val="double" w:sz="6"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32</w:t>
            </w:r>
          </w:p>
        </w:tc>
        <w:tc>
          <w:tcPr>
            <w:tcW w:w="1198" w:type="dxa"/>
            <w:tcBorders>
              <w:top w:val="nil"/>
              <w:left w:val="nil"/>
              <w:bottom w:val="single" w:sz="4" w:space="0" w:color="auto"/>
              <w:right w:val="single" w:sz="4" w:space="0" w:color="auto"/>
            </w:tcBorders>
            <w:shd w:val="clear" w:color="000000" w:fill="D9D9D9"/>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1 202</w:t>
            </w:r>
          </w:p>
        </w:tc>
      </w:tr>
      <w:tr w:rsidR="00FF5C17" w:rsidRPr="001A30EC"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5C17" w:rsidRPr="001A30EC" w:rsidRDefault="00FF5C17" w:rsidP="00CE307D">
            <w:pP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MTF</w:t>
            </w:r>
          </w:p>
        </w:tc>
        <w:tc>
          <w:tcPr>
            <w:tcW w:w="1102"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1 911</w:t>
            </w:r>
          </w:p>
        </w:tc>
        <w:tc>
          <w:tcPr>
            <w:tcW w:w="1103"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1 009</w:t>
            </w:r>
          </w:p>
        </w:tc>
        <w:tc>
          <w:tcPr>
            <w:tcW w:w="1103" w:type="dxa"/>
            <w:tcBorders>
              <w:top w:val="nil"/>
              <w:left w:val="nil"/>
              <w:bottom w:val="single" w:sz="4" w:space="0" w:color="auto"/>
              <w:right w:val="single" w:sz="8"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88</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nil"/>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49</w:t>
            </w:r>
          </w:p>
        </w:tc>
        <w:tc>
          <w:tcPr>
            <w:tcW w:w="955" w:type="dxa"/>
            <w:tcBorders>
              <w:top w:val="nil"/>
              <w:left w:val="double" w:sz="6" w:space="0" w:color="auto"/>
              <w:bottom w:val="single" w:sz="4" w:space="0" w:color="auto"/>
              <w:right w:val="double" w:sz="6"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21</w:t>
            </w:r>
          </w:p>
        </w:tc>
        <w:tc>
          <w:tcPr>
            <w:tcW w:w="1198" w:type="dxa"/>
            <w:tcBorders>
              <w:top w:val="nil"/>
              <w:left w:val="nil"/>
              <w:bottom w:val="single" w:sz="4" w:space="0" w:color="auto"/>
              <w:right w:val="single" w:sz="4" w:space="0" w:color="auto"/>
            </w:tcBorders>
            <w:shd w:val="clear" w:color="000000" w:fill="D9D9D9"/>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3 057</w:t>
            </w:r>
          </w:p>
        </w:tc>
      </w:tr>
      <w:tr w:rsidR="00FF5C17" w:rsidRPr="001A30EC"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5C17" w:rsidRPr="001A30EC" w:rsidRDefault="00FF5C17" w:rsidP="00CE307D">
            <w:pP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FIIT</w:t>
            </w:r>
          </w:p>
        </w:tc>
        <w:tc>
          <w:tcPr>
            <w:tcW w:w="1102"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1 011</w:t>
            </w:r>
          </w:p>
        </w:tc>
        <w:tc>
          <w:tcPr>
            <w:tcW w:w="1103"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296</w:t>
            </w:r>
          </w:p>
        </w:tc>
        <w:tc>
          <w:tcPr>
            <w:tcW w:w="1103" w:type="dxa"/>
            <w:tcBorders>
              <w:top w:val="nil"/>
              <w:left w:val="nil"/>
              <w:bottom w:val="single" w:sz="4" w:space="0" w:color="auto"/>
              <w:right w:val="single" w:sz="8"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52</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nil"/>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9</w:t>
            </w:r>
          </w:p>
        </w:tc>
        <w:tc>
          <w:tcPr>
            <w:tcW w:w="955" w:type="dxa"/>
            <w:tcBorders>
              <w:top w:val="nil"/>
              <w:left w:val="double" w:sz="6" w:space="0" w:color="auto"/>
              <w:bottom w:val="single" w:sz="4" w:space="0" w:color="auto"/>
              <w:right w:val="double" w:sz="6"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24</w:t>
            </w:r>
          </w:p>
        </w:tc>
        <w:tc>
          <w:tcPr>
            <w:tcW w:w="1198" w:type="dxa"/>
            <w:tcBorders>
              <w:top w:val="nil"/>
              <w:left w:val="nil"/>
              <w:bottom w:val="single" w:sz="4" w:space="0" w:color="auto"/>
              <w:right w:val="single" w:sz="4" w:space="0" w:color="auto"/>
            </w:tcBorders>
            <w:shd w:val="clear" w:color="000000" w:fill="D9D9D9"/>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1 368</w:t>
            </w:r>
          </w:p>
        </w:tc>
      </w:tr>
      <w:tr w:rsidR="00FF5C17" w:rsidRPr="001A30EC"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5C17" w:rsidRPr="001A30EC" w:rsidRDefault="00FF5C17" w:rsidP="00CE307D">
            <w:pP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ÚM</w:t>
            </w:r>
          </w:p>
        </w:tc>
        <w:tc>
          <w:tcPr>
            <w:tcW w:w="1102"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100</w:t>
            </w:r>
          </w:p>
        </w:tc>
        <w:tc>
          <w:tcPr>
            <w:tcW w:w="1103"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52</w:t>
            </w:r>
          </w:p>
        </w:tc>
        <w:tc>
          <w:tcPr>
            <w:tcW w:w="1103" w:type="dxa"/>
            <w:tcBorders>
              <w:top w:val="nil"/>
              <w:left w:val="nil"/>
              <w:bottom w:val="single" w:sz="4" w:space="0" w:color="auto"/>
              <w:right w:val="single" w:sz="8"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16</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0</w:t>
            </w:r>
          </w:p>
        </w:tc>
        <w:tc>
          <w:tcPr>
            <w:tcW w:w="966" w:type="dxa"/>
            <w:tcBorders>
              <w:top w:val="nil"/>
              <w:left w:val="nil"/>
              <w:bottom w:val="single" w:sz="4" w:space="0" w:color="auto"/>
              <w:right w:val="nil"/>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32</w:t>
            </w:r>
          </w:p>
        </w:tc>
        <w:tc>
          <w:tcPr>
            <w:tcW w:w="955" w:type="dxa"/>
            <w:tcBorders>
              <w:top w:val="nil"/>
              <w:left w:val="double" w:sz="6" w:space="0" w:color="auto"/>
              <w:bottom w:val="single" w:sz="4" w:space="0" w:color="auto"/>
              <w:right w:val="double" w:sz="6"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sz w:val="20"/>
                <w:szCs w:val="20"/>
                <w:lang w:eastAsia="sk-SK"/>
              </w:rPr>
            </w:pPr>
            <w:r w:rsidRPr="001A30EC">
              <w:rPr>
                <w:rFonts w:asciiTheme="minorHAnsi" w:eastAsia="Times New Roman" w:hAnsiTheme="minorHAnsi" w:cs="Arial"/>
                <w:sz w:val="20"/>
                <w:szCs w:val="20"/>
                <w:lang w:eastAsia="sk-SK"/>
              </w:rPr>
              <w:t>6</w:t>
            </w:r>
          </w:p>
        </w:tc>
        <w:tc>
          <w:tcPr>
            <w:tcW w:w="1198" w:type="dxa"/>
            <w:tcBorders>
              <w:top w:val="nil"/>
              <w:left w:val="nil"/>
              <w:bottom w:val="single" w:sz="4" w:space="0" w:color="auto"/>
              <w:right w:val="single" w:sz="4" w:space="0" w:color="auto"/>
            </w:tcBorders>
            <w:shd w:val="clear" w:color="000000" w:fill="D9D9D9"/>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200</w:t>
            </w:r>
          </w:p>
        </w:tc>
      </w:tr>
      <w:tr w:rsidR="00FF5C17" w:rsidRPr="001A30EC"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5C17" w:rsidRPr="001A30EC" w:rsidRDefault="00FF5C17" w:rsidP="00CE307D">
            <w:pP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STU</w:t>
            </w:r>
          </w:p>
        </w:tc>
        <w:tc>
          <w:tcPr>
            <w:tcW w:w="1102"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9 929</w:t>
            </w:r>
          </w:p>
        </w:tc>
        <w:tc>
          <w:tcPr>
            <w:tcW w:w="1103"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4 239</w:t>
            </w:r>
          </w:p>
        </w:tc>
        <w:tc>
          <w:tcPr>
            <w:tcW w:w="1103" w:type="dxa"/>
            <w:tcBorders>
              <w:top w:val="nil"/>
              <w:left w:val="nil"/>
              <w:bottom w:val="single" w:sz="4" w:space="0" w:color="auto"/>
              <w:right w:val="single" w:sz="8"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851</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7</w:t>
            </w:r>
          </w:p>
        </w:tc>
        <w:tc>
          <w:tcPr>
            <w:tcW w:w="966" w:type="dxa"/>
            <w:tcBorders>
              <w:top w:val="nil"/>
              <w:left w:val="nil"/>
              <w:bottom w:val="single" w:sz="4" w:space="0" w:color="auto"/>
              <w:right w:val="single" w:sz="4"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0</w:t>
            </w:r>
          </w:p>
        </w:tc>
        <w:tc>
          <w:tcPr>
            <w:tcW w:w="966" w:type="dxa"/>
            <w:tcBorders>
              <w:top w:val="nil"/>
              <w:left w:val="nil"/>
              <w:bottom w:val="single" w:sz="4" w:space="0" w:color="auto"/>
              <w:right w:val="nil"/>
            </w:tcBorders>
            <w:shd w:val="clear" w:color="auto" w:fill="auto"/>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377</w:t>
            </w:r>
          </w:p>
        </w:tc>
        <w:tc>
          <w:tcPr>
            <w:tcW w:w="955" w:type="dxa"/>
            <w:tcBorders>
              <w:top w:val="nil"/>
              <w:left w:val="double" w:sz="6" w:space="0" w:color="auto"/>
              <w:bottom w:val="single" w:sz="4" w:space="0" w:color="auto"/>
              <w:right w:val="double" w:sz="6" w:space="0" w:color="auto"/>
            </w:tcBorders>
            <w:shd w:val="clear" w:color="auto" w:fill="auto"/>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296</w:t>
            </w:r>
          </w:p>
        </w:tc>
        <w:tc>
          <w:tcPr>
            <w:tcW w:w="1198" w:type="dxa"/>
            <w:tcBorders>
              <w:top w:val="nil"/>
              <w:left w:val="nil"/>
              <w:bottom w:val="single" w:sz="4" w:space="0" w:color="auto"/>
              <w:right w:val="single" w:sz="4" w:space="0" w:color="auto"/>
            </w:tcBorders>
            <w:shd w:val="clear" w:color="000000" w:fill="D9D9D9"/>
            <w:noWrap/>
            <w:vAlign w:val="center"/>
            <w:hideMark/>
          </w:tcPr>
          <w:p w:rsidR="00FF5C17" w:rsidRPr="001A30EC" w:rsidRDefault="00FF5C17" w:rsidP="00CE307D">
            <w:pPr>
              <w:jc w:val="center"/>
              <w:rPr>
                <w:rFonts w:asciiTheme="minorHAnsi" w:eastAsia="Times New Roman" w:hAnsiTheme="minorHAnsi" w:cs="Arial"/>
                <w:b/>
                <w:bCs/>
                <w:sz w:val="20"/>
                <w:szCs w:val="20"/>
                <w:lang w:eastAsia="sk-SK"/>
              </w:rPr>
            </w:pPr>
            <w:r w:rsidRPr="001A30EC">
              <w:rPr>
                <w:rFonts w:asciiTheme="minorHAnsi" w:eastAsia="Times New Roman" w:hAnsiTheme="minorHAnsi" w:cs="Arial"/>
                <w:b/>
                <w:bCs/>
                <w:sz w:val="20"/>
                <w:szCs w:val="20"/>
                <w:lang w:eastAsia="sk-SK"/>
              </w:rPr>
              <w:t>15 403</w:t>
            </w:r>
          </w:p>
        </w:tc>
      </w:tr>
    </w:tbl>
    <w:p w:rsidR="00684F9A" w:rsidRDefault="00684F9A" w:rsidP="00FF5C17">
      <w:pPr>
        <w:rPr>
          <w:rFonts w:asciiTheme="minorHAnsi" w:hAnsiTheme="minorHAnsi" w:cs="Calibri"/>
          <w:sz w:val="20"/>
          <w:szCs w:val="20"/>
        </w:rPr>
      </w:pPr>
    </w:p>
    <w:p w:rsidR="0032657C" w:rsidRPr="002D7A10" w:rsidRDefault="0032657C" w:rsidP="00FF5C17">
      <w:pPr>
        <w:rPr>
          <w:rFonts w:asciiTheme="minorHAnsi" w:hAnsiTheme="minorHAnsi" w:cs="Calibri"/>
        </w:rPr>
      </w:pPr>
    </w:p>
    <w:p w:rsidR="00FF5C17" w:rsidRPr="00C57780" w:rsidRDefault="00FF5C17" w:rsidP="00D86284">
      <w:pPr>
        <w:jc w:val="left"/>
        <w:rPr>
          <w:rFonts w:asciiTheme="minorHAnsi" w:hAnsiTheme="minorHAnsi" w:cs="Calibri"/>
          <w:sz w:val="20"/>
          <w:szCs w:val="20"/>
        </w:rPr>
      </w:pPr>
      <w:r w:rsidRPr="00C57780">
        <w:rPr>
          <w:rFonts w:asciiTheme="minorHAnsi" w:hAnsiTheme="minorHAnsi" w:cs="Calibri"/>
          <w:b/>
          <w:bCs/>
          <w:sz w:val="20"/>
          <w:szCs w:val="20"/>
        </w:rPr>
        <w:lastRenderedPageBreak/>
        <w:t xml:space="preserve">Graf č. </w:t>
      </w:r>
      <w:r w:rsidR="009309F8" w:rsidRPr="00C57780">
        <w:rPr>
          <w:rFonts w:asciiTheme="minorHAnsi" w:hAnsiTheme="minorHAnsi" w:cs="Calibri"/>
          <w:b/>
          <w:bCs/>
          <w:sz w:val="20"/>
          <w:szCs w:val="20"/>
        </w:rPr>
        <w:t>3.</w:t>
      </w:r>
      <w:r w:rsidRPr="00C57780">
        <w:rPr>
          <w:rFonts w:asciiTheme="minorHAnsi" w:hAnsiTheme="minorHAnsi" w:cs="Calibri"/>
          <w:b/>
          <w:bCs/>
          <w:sz w:val="20"/>
          <w:szCs w:val="20"/>
        </w:rPr>
        <w:t>2: Porovnanie celkového počtu študentov na vybraných vysokých školách v SR za posledných päť rokov</w:t>
      </w:r>
      <w:r w:rsidRPr="00C57780">
        <w:rPr>
          <w:rFonts w:asciiTheme="minorHAnsi" w:hAnsiTheme="minorHAnsi"/>
          <w:noProof/>
          <w:sz w:val="20"/>
          <w:szCs w:val="20"/>
          <w:lang w:eastAsia="sk-SK"/>
        </w:rPr>
        <w:drawing>
          <wp:inline distT="0" distB="0" distL="0" distR="0" wp14:anchorId="2A7AD245" wp14:editId="44E167A6">
            <wp:extent cx="5476875" cy="3362325"/>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5C17" w:rsidRPr="00C57780" w:rsidRDefault="00FF5C17" w:rsidP="00FF5C17">
      <w:pPr>
        <w:rPr>
          <w:rFonts w:asciiTheme="minorHAnsi" w:hAnsiTheme="minorHAnsi" w:cs="Calibri"/>
          <w:sz w:val="20"/>
          <w:szCs w:val="20"/>
        </w:rPr>
      </w:pPr>
      <w:r w:rsidRPr="00C57780">
        <w:rPr>
          <w:rFonts w:asciiTheme="minorHAnsi" w:hAnsiTheme="minorHAnsi" w:cs="Calibri"/>
          <w:sz w:val="20"/>
          <w:szCs w:val="20"/>
        </w:rPr>
        <w:t xml:space="preserve">Zdroj: Štatistické ročenky CVTI (UIPŠ), </w:t>
      </w:r>
      <w:hyperlink r:id="rId16" w:history="1">
        <w:r w:rsidRPr="00C57780">
          <w:rPr>
            <w:rStyle w:val="Hypertextovprepojenie"/>
            <w:rFonts w:asciiTheme="minorHAnsi" w:hAnsiTheme="minorHAnsi" w:cs="Calibri"/>
            <w:sz w:val="20"/>
            <w:szCs w:val="20"/>
          </w:rPr>
          <w:t>www.uips.sk</w:t>
        </w:r>
      </w:hyperlink>
    </w:p>
    <w:p w:rsidR="00FF5C17" w:rsidRPr="00C57780" w:rsidRDefault="00FF5C17" w:rsidP="00FF5C17">
      <w:pPr>
        <w:rPr>
          <w:rFonts w:asciiTheme="minorHAnsi" w:hAnsiTheme="minorHAnsi" w:cs="Calibri"/>
          <w:sz w:val="20"/>
          <w:szCs w:val="20"/>
        </w:rPr>
      </w:pPr>
      <w:r w:rsidRPr="00C57780">
        <w:rPr>
          <w:rFonts w:asciiTheme="minorHAnsi" w:hAnsiTheme="minorHAnsi" w:cs="Calibri"/>
          <w:sz w:val="20"/>
          <w:szCs w:val="20"/>
        </w:rPr>
        <w:t>Vysvetlivky:</w:t>
      </w:r>
      <w:r w:rsidRPr="00C57780">
        <w:rPr>
          <w:rFonts w:asciiTheme="minorHAnsi" w:hAnsiTheme="minorHAnsi" w:cs="Calibri"/>
          <w:sz w:val="20"/>
          <w:szCs w:val="20"/>
        </w:rPr>
        <w:tab/>
      </w:r>
    </w:p>
    <w:p w:rsidR="00FF5C17" w:rsidRPr="00C57780" w:rsidRDefault="00FF5C17" w:rsidP="00FF5C17">
      <w:pPr>
        <w:rPr>
          <w:rFonts w:asciiTheme="minorHAnsi" w:hAnsiTheme="minorHAnsi" w:cs="Calibri"/>
          <w:sz w:val="20"/>
          <w:szCs w:val="20"/>
        </w:rPr>
      </w:pPr>
      <w:r w:rsidRPr="00C57780">
        <w:rPr>
          <w:rFonts w:asciiTheme="minorHAnsi" w:hAnsiTheme="minorHAnsi" w:cs="Calibri"/>
          <w:sz w:val="20"/>
          <w:szCs w:val="20"/>
        </w:rPr>
        <w:t>UK</w:t>
      </w:r>
      <w:r w:rsidRPr="00C57780">
        <w:rPr>
          <w:rFonts w:asciiTheme="minorHAnsi" w:hAnsiTheme="minorHAnsi" w:cs="Calibri"/>
          <w:sz w:val="20"/>
          <w:szCs w:val="20"/>
        </w:rPr>
        <w:tab/>
        <w:t xml:space="preserve">Univerzita Komenského v Bratislave </w:t>
      </w:r>
    </w:p>
    <w:p w:rsidR="00FF5C17" w:rsidRPr="00C57780" w:rsidRDefault="00FF5C17" w:rsidP="00FF5C17">
      <w:pPr>
        <w:rPr>
          <w:rFonts w:asciiTheme="minorHAnsi" w:hAnsiTheme="minorHAnsi" w:cs="Calibri"/>
          <w:sz w:val="20"/>
          <w:szCs w:val="20"/>
        </w:rPr>
      </w:pPr>
      <w:r w:rsidRPr="00C57780">
        <w:rPr>
          <w:rFonts w:asciiTheme="minorHAnsi" w:hAnsiTheme="minorHAnsi" w:cs="Calibri"/>
          <w:sz w:val="20"/>
          <w:szCs w:val="20"/>
        </w:rPr>
        <w:t>STU</w:t>
      </w:r>
      <w:r w:rsidRPr="00C57780">
        <w:rPr>
          <w:rFonts w:asciiTheme="minorHAnsi" w:hAnsiTheme="minorHAnsi" w:cs="Calibri"/>
          <w:sz w:val="20"/>
          <w:szCs w:val="20"/>
        </w:rPr>
        <w:tab/>
        <w:t>Slovenská technická univerzita v Bratislave</w:t>
      </w:r>
    </w:p>
    <w:p w:rsidR="00FF5C17" w:rsidRPr="00C57780" w:rsidRDefault="00FF5C17" w:rsidP="00FF5C17">
      <w:pPr>
        <w:rPr>
          <w:rFonts w:asciiTheme="minorHAnsi" w:hAnsiTheme="minorHAnsi" w:cs="Calibri"/>
          <w:sz w:val="20"/>
          <w:szCs w:val="20"/>
        </w:rPr>
      </w:pPr>
      <w:r w:rsidRPr="00C57780">
        <w:rPr>
          <w:rFonts w:asciiTheme="minorHAnsi" w:hAnsiTheme="minorHAnsi" w:cs="Calibri"/>
          <w:sz w:val="20"/>
          <w:szCs w:val="20"/>
        </w:rPr>
        <w:t>TU KE</w:t>
      </w:r>
      <w:r w:rsidRPr="00C57780">
        <w:rPr>
          <w:rFonts w:asciiTheme="minorHAnsi" w:hAnsiTheme="minorHAnsi" w:cs="Calibri"/>
          <w:sz w:val="20"/>
          <w:szCs w:val="20"/>
        </w:rPr>
        <w:tab/>
        <w:t>Technická univerzita v Košiciach</w:t>
      </w:r>
    </w:p>
    <w:p w:rsidR="00FF5C17" w:rsidRPr="00C57780" w:rsidRDefault="00FF5C17" w:rsidP="00FF5C17">
      <w:pPr>
        <w:rPr>
          <w:rFonts w:asciiTheme="minorHAnsi" w:hAnsiTheme="minorHAnsi" w:cs="Calibri"/>
          <w:sz w:val="20"/>
          <w:szCs w:val="20"/>
        </w:rPr>
      </w:pPr>
      <w:r w:rsidRPr="00C57780">
        <w:rPr>
          <w:rFonts w:asciiTheme="minorHAnsi" w:hAnsiTheme="minorHAnsi" w:cs="Calibri"/>
          <w:sz w:val="20"/>
          <w:szCs w:val="20"/>
        </w:rPr>
        <w:t xml:space="preserve">ŽU </w:t>
      </w:r>
      <w:r w:rsidRPr="00C57780">
        <w:rPr>
          <w:rFonts w:asciiTheme="minorHAnsi" w:hAnsiTheme="minorHAnsi" w:cs="Calibri"/>
          <w:sz w:val="20"/>
          <w:szCs w:val="20"/>
        </w:rPr>
        <w:tab/>
        <w:t>Žilinská univerzita v Žiline</w:t>
      </w:r>
    </w:p>
    <w:p w:rsidR="00FF5C17" w:rsidRPr="00C57780" w:rsidRDefault="00FF5C17" w:rsidP="00FF5C17">
      <w:pPr>
        <w:rPr>
          <w:rFonts w:asciiTheme="minorHAnsi" w:hAnsiTheme="minorHAnsi" w:cs="Calibri"/>
          <w:sz w:val="20"/>
          <w:szCs w:val="20"/>
        </w:rPr>
      </w:pPr>
      <w:r w:rsidRPr="00C57780">
        <w:rPr>
          <w:rFonts w:asciiTheme="minorHAnsi" w:hAnsiTheme="minorHAnsi" w:cs="Calibri"/>
          <w:sz w:val="20"/>
          <w:szCs w:val="20"/>
        </w:rPr>
        <w:t>SPU</w:t>
      </w:r>
      <w:r w:rsidRPr="00C57780">
        <w:rPr>
          <w:rFonts w:asciiTheme="minorHAnsi" w:hAnsiTheme="minorHAnsi" w:cs="Calibri"/>
          <w:sz w:val="20"/>
          <w:szCs w:val="20"/>
        </w:rPr>
        <w:tab/>
        <w:t>Slovenská poľnohospodárska univerzity v Nitre</w:t>
      </w:r>
    </w:p>
    <w:p w:rsidR="0032657C" w:rsidRDefault="00FF5C17" w:rsidP="00FF5C17">
      <w:pPr>
        <w:rPr>
          <w:rFonts w:asciiTheme="minorHAnsi" w:hAnsiTheme="minorHAnsi" w:cs="Calibri"/>
          <w:sz w:val="22"/>
          <w:szCs w:val="22"/>
        </w:rPr>
      </w:pPr>
      <w:r w:rsidRPr="00C57780">
        <w:rPr>
          <w:rFonts w:asciiTheme="minorHAnsi" w:hAnsiTheme="minorHAnsi" w:cs="Calibri"/>
          <w:sz w:val="20"/>
          <w:szCs w:val="20"/>
        </w:rPr>
        <w:t>TU ZV</w:t>
      </w:r>
      <w:r w:rsidRPr="00C57780">
        <w:rPr>
          <w:rFonts w:asciiTheme="minorHAnsi" w:hAnsiTheme="minorHAnsi" w:cs="Calibri"/>
          <w:sz w:val="20"/>
          <w:szCs w:val="20"/>
        </w:rPr>
        <w:tab/>
        <w:t>Technická univerzita vo Zvolene</w:t>
      </w:r>
      <w:r w:rsidRPr="00C57780">
        <w:rPr>
          <w:rFonts w:asciiTheme="minorHAnsi" w:hAnsiTheme="minorHAnsi" w:cs="Calibri"/>
          <w:sz w:val="22"/>
          <w:szCs w:val="22"/>
        </w:rPr>
        <w:t xml:space="preserve"> </w:t>
      </w:r>
    </w:p>
    <w:p w:rsidR="0032657C" w:rsidRDefault="0032657C" w:rsidP="00FF5C17">
      <w:pPr>
        <w:rPr>
          <w:rFonts w:asciiTheme="minorHAnsi" w:hAnsiTheme="minorHAnsi" w:cs="Calibri"/>
          <w:sz w:val="22"/>
          <w:szCs w:val="22"/>
        </w:rPr>
      </w:pPr>
    </w:p>
    <w:p w:rsidR="00FF5C17" w:rsidRPr="002D7A10" w:rsidRDefault="00FF5C17" w:rsidP="00FF5C17">
      <w:pPr>
        <w:rPr>
          <w:rFonts w:asciiTheme="minorHAnsi" w:hAnsiTheme="minorHAnsi" w:cs="Calibri"/>
        </w:rPr>
      </w:pPr>
      <w:r w:rsidRPr="002D7A10">
        <w:rPr>
          <w:rFonts w:asciiTheme="minorHAnsi" w:hAnsiTheme="minorHAnsi" w:cs="Calibri"/>
        </w:rPr>
        <w:t>Vývoj počtu študentov STU v dennej a externej forme štúdia v jednotlivých stupňoch za posled</w:t>
      </w:r>
      <w:r w:rsidR="009309F8" w:rsidRPr="002D7A10">
        <w:rPr>
          <w:rFonts w:asciiTheme="minorHAnsi" w:hAnsiTheme="minorHAnsi" w:cs="Calibri"/>
        </w:rPr>
        <w:t>ných päť rokov je znázornený v tabuľkách č. 3.5 a 3.6 a g</w:t>
      </w:r>
      <w:r w:rsidRPr="002D7A10">
        <w:rPr>
          <w:rFonts w:asciiTheme="minorHAnsi" w:hAnsiTheme="minorHAnsi" w:cs="Calibri"/>
        </w:rPr>
        <w:t>rafoch č. 3</w:t>
      </w:r>
      <w:r w:rsidR="009309F8" w:rsidRPr="002D7A10">
        <w:rPr>
          <w:rFonts w:asciiTheme="minorHAnsi" w:hAnsiTheme="minorHAnsi" w:cs="Calibri"/>
        </w:rPr>
        <w:t>.3</w:t>
      </w:r>
      <w:r w:rsidRPr="002D7A10">
        <w:rPr>
          <w:rFonts w:asciiTheme="minorHAnsi" w:hAnsiTheme="minorHAnsi" w:cs="Calibri"/>
        </w:rPr>
        <w:t xml:space="preserve"> až </w:t>
      </w:r>
      <w:r w:rsidR="009309F8" w:rsidRPr="002D7A10">
        <w:rPr>
          <w:rFonts w:asciiTheme="minorHAnsi" w:hAnsiTheme="minorHAnsi" w:cs="Calibri"/>
        </w:rPr>
        <w:t>3.</w:t>
      </w:r>
      <w:r w:rsidRPr="002D7A10">
        <w:rPr>
          <w:rFonts w:asciiTheme="minorHAnsi" w:hAnsiTheme="minorHAnsi" w:cs="Calibri"/>
        </w:rPr>
        <w:t>5.</w:t>
      </w:r>
    </w:p>
    <w:p w:rsidR="00FF5C17" w:rsidRDefault="00FF5C17" w:rsidP="00FF5C17">
      <w:pPr>
        <w:rPr>
          <w:rFonts w:asciiTheme="minorHAnsi" w:hAnsiTheme="minorHAnsi" w:cs="Calibri"/>
          <w:sz w:val="20"/>
          <w:szCs w:val="20"/>
        </w:rPr>
      </w:pPr>
    </w:p>
    <w:p w:rsidR="00A870A4" w:rsidRPr="006F2C84" w:rsidRDefault="00A870A4" w:rsidP="00FF5C17">
      <w:pPr>
        <w:rPr>
          <w:rFonts w:asciiTheme="minorHAnsi" w:hAnsiTheme="minorHAnsi" w:cs="Calibri"/>
          <w:sz w:val="20"/>
          <w:szCs w:val="20"/>
        </w:rPr>
      </w:pPr>
    </w:p>
    <w:p w:rsidR="00FF5C17" w:rsidRPr="006F2C84" w:rsidRDefault="00FF5C17" w:rsidP="00FF5C17">
      <w:pPr>
        <w:rPr>
          <w:rFonts w:asciiTheme="minorHAnsi" w:hAnsiTheme="minorHAnsi" w:cs="Calibri"/>
          <w:bCs/>
          <w:sz w:val="20"/>
          <w:szCs w:val="20"/>
        </w:rPr>
      </w:pPr>
      <w:r w:rsidRPr="006F2C84">
        <w:rPr>
          <w:rFonts w:asciiTheme="minorHAnsi" w:hAnsiTheme="minorHAnsi" w:cs="Calibri"/>
          <w:b/>
          <w:bCs/>
          <w:sz w:val="20"/>
          <w:szCs w:val="20"/>
        </w:rPr>
        <w:lastRenderedPageBreak/>
        <w:t xml:space="preserve">Graf č. </w:t>
      </w:r>
      <w:r w:rsidR="009309F8" w:rsidRPr="006F2C84">
        <w:rPr>
          <w:rFonts w:asciiTheme="minorHAnsi" w:hAnsiTheme="minorHAnsi" w:cs="Calibri"/>
          <w:b/>
          <w:bCs/>
          <w:sz w:val="20"/>
          <w:szCs w:val="20"/>
        </w:rPr>
        <w:t>3.</w:t>
      </w:r>
      <w:r w:rsidRPr="006F2C84">
        <w:rPr>
          <w:rFonts w:asciiTheme="minorHAnsi" w:hAnsiTheme="minorHAnsi" w:cs="Calibri"/>
          <w:b/>
          <w:bCs/>
          <w:sz w:val="20"/>
          <w:szCs w:val="20"/>
        </w:rPr>
        <w:t>3: Porovnanie počtu študentov STU na jednotlivých stupňoc</w:t>
      </w:r>
      <w:r w:rsidR="00A870A4">
        <w:rPr>
          <w:rFonts w:asciiTheme="minorHAnsi" w:hAnsiTheme="minorHAnsi" w:cs="Calibri"/>
          <w:b/>
          <w:bCs/>
          <w:sz w:val="20"/>
          <w:szCs w:val="20"/>
        </w:rPr>
        <w:t>h štúdia za posledných 5 rokov</w:t>
      </w:r>
      <w:r w:rsidRPr="006F2C84">
        <w:rPr>
          <w:rFonts w:asciiTheme="minorHAnsi" w:hAnsiTheme="minorHAnsi" w:cs="Calibri"/>
          <w:b/>
          <w:bCs/>
          <w:sz w:val="20"/>
          <w:szCs w:val="20"/>
        </w:rPr>
        <w:t xml:space="preserve"> </w:t>
      </w:r>
      <w:r w:rsidRPr="006F2C84">
        <w:rPr>
          <w:rFonts w:asciiTheme="minorHAnsi" w:hAnsiTheme="minorHAnsi"/>
          <w:noProof/>
          <w:sz w:val="20"/>
          <w:szCs w:val="20"/>
          <w:lang w:eastAsia="sk-SK"/>
        </w:rPr>
        <w:drawing>
          <wp:inline distT="0" distB="0" distL="0" distR="0" wp14:anchorId="16522931" wp14:editId="69030721">
            <wp:extent cx="4552950" cy="280035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5C17" w:rsidRPr="006F2C84" w:rsidRDefault="00FF5C17" w:rsidP="00FF5C17">
      <w:pPr>
        <w:rPr>
          <w:rFonts w:asciiTheme="minorHAnsi" w:hAnsiTheme="minorHAnsi" w:cs="Calibri"/>
          <w:sz w:val="20"/>
          <w:szCs w:val="20"/>
        </w:rPr>
      </w:pPr>
    </w:p>
    <w:p w:rsidR="00FF5C17" w:rsidRPr="006F2C84" w:rsidRDefault="00FF5C17" w:rsidP="00FF5C17">
      <w:pPr>
        <w:rPr>
          <w:rFonts w:asciiTheme="minorHAnsi" w:hAnsiTheme="minorHAnsi" w:cs="Calibri"/>
          <w:b/>
          <w:sz w:val="20"/>
          <w:szCs w:val="20"/>
        </w:rPr>
      </w:pPr>
      <w:r w:rsidRPr="006F2C84">
        <w:rPr>
          <w:rFonts w:asciiTheme="minorHAnsi" w:hAnsiTheme="minorHAnsi" w:cs="Calibri"/>
          <w:b/>
          <w:sz w:val="20"/>
          <w:szCs w:val="20"/>
        </w:rPr>
        <w:t xml:space="preserve">Tabuľka č. </w:t>
      </w:r>
      <w:r w:rsidR="009309F8" w:rsidRPr="006F2C84">
        <w:rPr>
          <w:rFonts w:asciiTheme="minorHAnsi" w:hAnsiTheme="minorHAnsi" w:cs="Calibri"/>
          <w:b/>
          <w:sz w:val="20"/>
          <w:szCs w:val="20"/>
        </w:rPr>
        <w:t>3.</w:t>
      </w:r>
      <w:r w:rsidRPr="006F2C84">
        <w:rPr>
          <w:rFonts w:asciiTheme="minorHAnsi" w:hAnsiTheme="minorHAnsi" w:cs="Calibri"/>
          <w:b/>
          <w:sz w:val="20"/>
          <w:szCs w:val="20"/>
        </w:rPr>
        <w:t>5: Vývoj počtu študentov STU v dennej forme štúdia za posledných päť rokov</w:t>
      </w:r>
    </w:p>
    <w:tbl>
      <w:tblPr>
        <w:tblW w:w="7680" w:type="dxa"/>
        <w:tblInd w:w="55" w:type="dxa"/>
        <w:tblCellMar>
          <w:left w:w="70" w:type="dxa"/>
          <w:right w:w="70" w:type="dxa"/>
        </w:tblCellMar>
        <w:tblLook w:val="04A0" w:firstRow="1" w:lastRow="0" w:firstColumn="1" w:lastColumn="0" w:noHBand="0" w:noVBand="1"/>
      </w:tblPr>
      <w:tblGrid>
        <w:gridCol w:w="1280"/>
        <w:gridCol w:w="1280"/>
        <w:gridCol w:w="1280"/>
        <w:gridCol w:w="1280"/>
        <w:gridCol w:w="1280"/>
        <w:gridCol w:w="1280"/>
      </w:tblGrid>
      <w:tr w:rsidR="00FF5C17" w:rsidRPr="006F2C84" w:rsidTr="00CE307D">
        <w:trPr>
          <w:trHeight w:val="31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Stupeň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2010/2011</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2011/2012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2012/2013</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2013/2014</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2014/2015</w:t>
            </w:r>
          </w:p>
        </w:tc>
      </w:tr>
      <w:tr w:rsidR="00FF5C17" w:rsidRPr="006F2C84" w:rsidTr="00CE307D">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color w:val="000000"/>
                <w:sz w:val="20"/>
                <w:szCs w:val="20"/>
                <w:lang w:eastAsia="sk-SK"/>
              </w:rPr>
            </w:pPr>
            <w:r w:rsidRPr="006F2C84">
              <w:rPr>
                <w:rFonts w:asciiTheme="minorHAnsi" w:eastAsia="Times New Roman" w:hAnsiTheme="minorHAnsi" w:cs="Arial"/>
                <w:color w:val="000000"/>
                <w:sz w:val="20"/>
                <w:szCs w:val="20"/>
                <w:lang w:eastAsia="sk-SK"/>
              </w:rPr>
              <w:t>I. stupeň</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10 508</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10 573</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10 780</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10 582</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9 929</w:t>
            </w:r>
          </w:p>
        </w:tc>
      </w:tr>
      <w:tr w:rsidR="00FF5C17" w:rsidRPr="006F2C84" w:rsidTr="00CE307D">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color w:val="000000"/>
                <w:sz w:val="20"/>
                <w:szCs w:val="20"/>
                <w:lang w:eastAsia="sk-SK"/>
              </w:rPr>
            </w:pPr>
            <w:r w:rsidRPr="006F2C84">
              <w:rPr>
                <w:rFonts w:asciiTheme="minorHAnsi" w:eastAsia="Times New Roman" w:hAnsiTheme="minorHAnsi" w:cs="Arial"/>
                <w:color w:val="000000"/>
                <w:sz w:val="20"/>
                <w:szCs w:val="20"/>
                <w:lang w:eastAsia="sk-SK"/>
              </w:rPr>
              <w:t>II. stupeň</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5 424</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5 197</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4 640</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4 419</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4 239</w:t>
            </w:r>
          </w:p>
        </w:tc>
      </w:tr>
      <w:tr w:rsidR="00FF5C17" w:rsidRPr="006F2C84" w:rsidTr="00CE307D">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color w:val="000000"/>
                <w:sz w:val="20"/>
                <w:szCs w:val="20"/>
                <w:lang w:eastAsia="sk-SK"/>
              </w:rPr>
            </w:pPr>
            <w:r w:rsidRPr="006F2C84">
              <w:rPr>
                <w:rFonts w:asciiTheme="minorHAnsi" w:eastAsia="Times New Roman" w:hAnsiTheme="minorHAnsi" w:cs="Arial"/>
                <w:color w:val="000000"/>
                <w:sz w:val="20"/>
                <w:szCs w:val="20"/>
                <w:lang w:eastAsia="sk-SK"/>
              </w:rPr>
              <w:t>III. stupeň</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1 156</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1 198</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1 093</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957</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6F2C84" w:rsidRDefault="00FF5C17" w:rsidP="00CE307D">
            <w:pPr>
              <w:jc w:val="center"/>
              <w:rPr>
                <w:rFonts w:asciiTheme="minorHAnsi" w:eastAsia="Times New Roman" w:hAnsiTheme="minorHAnsi" w:cs="Arial"/>
                <w:sz w:val="20"/>
                <w:szCs w:val="20"/>
                <w:lang w:eastAsia="sk-SK"/>
              </w:rPr>
            </w:pPr>
            <w:r w:rsidRPr="006F2C84">
              <w:rPr>
                <w:rFonts w:asciiTheme="minorHAnsi" w:eastAsia="Times New Roman" w:hAnsiTheme="minorHAnsi" w:cs="Arial"/>
                <w:sz w:val="20"/>
                <w:szCs w:val="20"/>
                <w:lang w:eastAsia="sk-SK"/>
              </w:rPr>
              <w:t>851</w:t>
            </w:r>
          </w:p>
        </w:tc>
      </w:tr>
      <w:tr w:rsidR="00FF5C17" w:rsidRPr="006F2C84" w:rsidTr="00CE307D">
        <w:trPr>
          <w:trHeight w:val="315"/>
        </w:trPr>
        <w:tc>
          <w:tcPr>
            <w:tcW w:w="12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F5C17" w:rsidRPr="006F2C84" w:rsidRDefault="00FF5C17" w:rsidP="00CE307D">
            <w:pPr>
              <w:jc w:val="center"/>
              <w:rPr>
                <w:rFonts w:asciiTheme="minorHAnsi" w:eastAsia="Times New Roman" w:hAnsiTheme="minorHAnsi" w:cs="Arial"/>
                <w:b/>
                <w:sz w:val="20"/>
                <w:szCs w:val="20"/>
                <w:lang w:eastAsia="sk-SK"/>
              </w:rPr>
            </w:pPr>
            <w:r w:rsidRPr="006F2C84">
              <w:rPr>
                <w:rFonts w:asciiTheme="minorHAnsi" w:eastAsia="Times New Roman" w:hAnsiTheme="minorHAnsi" w:cs="Arial"/>
                <w:b/>
                <w:sz w:val="20"/>
                <w:szCs w:val="20"/>
                <w:lang w:eastAsia="sk-SK"/>
              </w:rPr>
              <w:t>Spolu</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rsidR="00FF5C17" w:rsidRPr="006F2C84" w:rsidRDefault="00FF5C17" w:rsidP="00CE307D">
            <w:pPr>
              <w:jc w:val="center"/>
              <w:rPr>
                <w:rFonts w:asciiTheme="minorHAnsi" w:eastAsia="Times New Roman" w:hAnsiTheme="minorHAnsi" w:cs="Arial"/>
                <w:b/>
                <w:sz w:val="20"/>
                <w:szCs w:val="20"/>
                <w:lang w:eastAsia="sk-SK"/>
              </w:rPr>
            </w:pPr>
            <w:r w:rsidRPr="006F2C84">
              <w:rPr>
                <w:rFonts w:asciiTheme="minorHAnsi" w:eastAsia="Times New Roman" w:hAnsiTheme="minorHAnsi" w:cs="Arial"/>
                <w:b/>
                <w:sz w:val="20"/>
                <w:szCs w:val="20"/>
                <w:lang w:eastAsia="sk-SK"/>
              </w:rPr>
              <w:t>17 088</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rsidR="00FF5C17" w:rsidRPr="006F2C84" w:rsidRDefault="00FF5C17" w:rsidP="00CE307D">
            <w:pPr>
              <w:jc w:val="center"/>
              <w:rPr>
                <w:rFonts w:asciiTheme="minorHAnsi" w:eastAsia="Times New Roman" w:hAnsiTheme="minorHAnsi" w:cs="Arial"/>
                <w:b/>
                <w:sz w:val="20"/>
                <w:szCs w:val="20"/>
                <w:lang w:eastAsia="sk-SK"/>
              </w:rPr>
            </w:pPr>
            <w:r w:rsidRPr="006F2C84">
              <w:rPr>
                <w:rFonts w:asciiTheme="minorHAnsi" w:eastAsia="Times New Roman" w:hAnsiTheme="minorHAnsi" w:cs="Arial"/>
                <w:b/>
                <w:sz w:val="20"/>
                <w:szCs w:val="20"/>
                <w:lang w:eastAsia="sk-SK"/>
              </w:rPr>
              <w:t>16 968</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rsidR="00FF5C17" w:rsidRPr="006F2C84" w:rsidRDefault="00FF5C17" w:rsidP="00CE307D">
            <w:pPr>
              <w:jc w:val="center"/>
              <w:rPr>
                <w:rFonts w:asciiTheme="minorHAnsi" w:eastAsia="Times New Roman" w:hAnsiTheme="minorHAnsi" w:cs="Arial"/>
                <w:b/>
                <w:sz w:val="20"/>
                <w:szCs w:val="20"/>
                <w:lang w:eastAsia="sk-SK"/>
              </w:rPr>
            </w:pPr>
            <w:r w:rsidRPr="006F2C84">
              <w:rPr>
                <w:rFonts w:asciiTheme="minorHAnsi" w:eastAsia="Times New Roman" w:hAnsiTheme="minorHAnsi" w:cs="Arial"/>
                <w:b/>
                <w:sz w:val="20"/>
                <w:szCs w:val="20"/>
                <w:lang w:eastAsia="sk-SK"/>
              </w:rPr>
              <w:t>16 513</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rsidR="00FF5C17" w:rsidRPr="006F2C84" w:rsidRDefault="00FF5C17" w:rsidP="00CE307D">
            <w:pPr>
              <w:jc w:val="center"/>
              <w:rPr>
                <w:rFonts w:asciiTheme="minorHAnsi" w:eastAsia="Times New Roman" w:hAnsiTheme="minorHAnsi" w:cs="Arial"/>
                <w:b/>
                <w:sz w:val="20"/>
                <w:szCs w:val="20"/>
                <w:lang w:eastAsia="sk-SK"/>
              </w:rPr>
            </w:pPr>
            <w:r w:rsidRPr="006F2C84">
              <w:rPr>
                <w:rFonts w:asciiTheme="minorHAnsi" w:eastAsia="Times New Roman" w:hAnsiTheme="minorHAnsi" w:cs="Arial"/>
                <w:b/>
                <w:sz w:val="20"/>
                <w:szCs w:val="20"/>
                <w:lang w:eastAsia="sk-SK"/>
              </w:rPr>
              <w:t>15 958</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rsidR="00FF5C17" w:rsidRPr="006F2C84" w:rsidRDefault="00FF5C17" w:rsidP="00CE307D">
            <w:pPr>
              <w:jc w:val="center"/>
              <w:rPr>
                <w:rFonts w:asciiTheme="minorHAnsi" w:eastAsia="Times New Roman" w:hAnsiTheme="minorHAnsi" w:cs="Arial"/>
                <w:b/>
                <w:sz w:val="20"/>
                <w:szCs w:val="20"/>
                <w:lang w:eastAsia="sk-SK"/>
              </w:rPr>
            </w:pPr>
            <w:r w:rsidRPr="006F2C84">
              <w:rPr>
                <w:rFonts w:asciiTheme="minorHAnsi" w:eastAsia="Times New Roman" w:hAnsiTheme="minorHAnsi" w:cs="Arial"/>
                <w:b/>
                <w:sz w:val="20"/>
                <w:szCs w:val="20"/>
                <w:lang w:eastAsia="sk-SK"/>
              </w:rPr>
              <w:t>15 019</w:t>
            </w:r>
          </w:p>
        </w:tc>
      </w:tr>
    </w:tbl>
    <w:p w:rsidR="00FF5C17" w:rsidRPr="006F2C84" w:rsidRDefault="00FF5C17" w:rsidP="00FF5C17">
      <w:pPr>
        <w:rPr>
          <w:rFonts w:asciiTheme="minorHAnsi" w:hAnsiTheme="minorHAnsi" w:cs="Calibri"/>
          <w:b/>
          <w:sz w:val="20"/>
          <w:szCs w:val="20"/>
        </w:rPr>
      </w:pPr>
    </w:p>
    <w:p w:rsidR="00FF5C17" w:rsidRPr="006F2C84" w:rsidRDefault="00FF5C17" w:rsidP="00FF5C17">
      <w:pPr>
        <w:rPr>
          <w:rFonts w:asciiTheme="minorHAnsi" w:hAnsiTheme="minorHAnsi" w:cs="Calibri"/>
          <w:sz w:val="20"/>
          <w:szCs w:val="20"/>
        </w:rPr>
      </w:pPr>
    </w:p>
    <w:p w:rsidR="00FF5C17" w:rsidRPr="006F2C84" w:rsidRDefault="00FF5C17" w:rsidP="0032090B">
      <w:pPr>
        <w:jc w:val="left"/>
        <w:rPr>
          <w:rFonts w:asciiTheme="minorHAnsi" w:hAnsiTheme="minorHAnsi" w:cs="Calibri"/>
          <w:sz w:val="20"/>
          <w:szCs w:val="20"/>
        </w:rPr>
      </w:pPr>
      <w:r w:rsidRPr="006F2C84">
        <w:rPr>
          <w:rFonts w:asciiTheme="minorHAnsi" w:hAnsiTheme="minorHAnsi" w:cs="Calibri"/>
          <w:b/>
          <w:sz w:val="20"/>
          <w:szCs w:val="20"/>
        </w:rPr>
        <w:t xml:space="preserve">Graf č. </w:t>
      </w:r>
      <w:r w:rsidR="009309F8" w:rsidRPr="006F2C84">
        <w:rPr>
          <w:rFonts w:asciiTheme="minorHAnsi" w:hAnsiTheme="minorHAnsi" w:cs="Calibri"/>
          <w:b/>
          <w:sz w:val="20"/>
          <w:szCs w:val="20"/>
        </w:rPr>
        <w:t>3.</w:t>
      </w:r>
      <w:r w:rsidRPr="006F2C84">
        <w:rPr>
          <w:rFonts w:asciiTheme="minorHAnsi" w:hAnsiTheme="minorHAnsi" w:cs="Calibri"/>
          <w:b/>
          <w:sz w:val="20"/>
          <w:szCs w:val="20"/>
        </w:rPr>
        <w:t>4: Počet študentov dennej formy štúdia za posledných päť rokov</w:t>
      </w:r>
      <w:r w:rsidRPr="006F2C84">
        <w:rPr>
          <w:rFonts w:asciiTheme="minorHAnsi" w:hAnsiTheme="minorHAnsi"/>
          <w:noProof/>
          <w:sz w:val="20"/>
          <w:szCs w:val="20"/>
          <w:lang w:eastAsia="sk-SK"/>
        </w:rPr>
        <w:drawing>
          <wp:inline distT="0" distB="0" distL="0" distR="0" wp14:anchorId="34355E05" wp14:editId="7E64C845">
            <wp:extent cx="4557183" cy="2977092"/>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4F9A" w:rsidRPr="002D7A10" w:rsidRDefault="00684F9A" w:rsidP="00FF5C17">
      <w:pPr>
        <w:rPr>
          <w:rFonts w:asciiTheme="minorHAnsi" w:hAnsiTheme="minorHAnsi" w:cs="Calibri"/>
        </w:rPr>
      </w:pPr>
    </w:p>
    <w:p w:rsidR="00FF5C17" w:rsidRPr="002D7A10" w:rsidRDefault="00FF5C17" w:rsidP="00FF5C17">
      <w:pPr>
        <w:rPr>
          <w:rFonts w:asciiTheme="minorHAnsi" w:hAnsiTheme="minorHAnsi" w:cs="Calibri"/>
        </w:rPr>
      </w:pPr>
      <w:r w:rsidRPr="002D7A10">
        <w:rPr>
          <w:rFonts w:asciiTheme="minorHAnsi" w:hAnsiTheme="minorHAnsi" w:cs="Calibri"/>
        </w:rPr>
        <w:t xml:space="preserve">Z grafov je vidieť, že </w:t>
      </w:r>
      <w:r w:rsidRPr="002D7A10">
        <w:rPr>
          <w:rFonts w:asciiTheme="minorHAnsi" w:hAnsiTheme="minorHAnsi" w:cs="Calibri"/>
          <w:b/>
        </w:rPr>
        <w:t xml:space="preserve">denná forma je dlhodobo stabilná, </w:t>
      </w:r>
      <w:r w:rsidRPr="002D7A10">
        <w:rPr>
          <w:rFonts w:asciiTheme="minorHAnsi" w:hAnsiTheme="minorHAnsi" w:cs="Calibri"/>
        </w:rPr>
        <w:t xml:space="preserve">napriek tomu sa na každom stupni zaznamenal medziročný pokles študentov – </w:t>
      </w:r>
      <w:r w:rsidRPr="002D7A10">
        <w:rPr>
          <w:rFonts w:asciiTheme="minorHAnsi" w:hAnsiTheme="minorHAnsi" w:cs="Calibri"/>
          <w:b/>
        </w:rPr>
        <w:t>6 % na prvom stupni</w:t>
      </w:r>
      <w:r w:rsidRPr="002D7A10">
        <w:rPr>
          <w:rFonts w:asciiTheme="minorHAnsi" w:hAnsiTheme="minorHAnsi" w:cs="Calibri"/>
        </w:rPr>
        <w:t xml:space="preserve">, </w:t>
      </w:r>
      <w:r w:rsidRPr="002D7A10">
        <w:rPr>
          <w:rFonts w:asciiTheme="minorHAnsi" w:hAnsiTheme="minorHAnsi" w:cs="Calibri"/>
          <w:b/>
        </w:rPr>
        <w:t>4</w:t>
      </w:r>
      <w:r w:rsidRPr="002D7A10">
        <w:rPr>
          <w:rFonts w:asciiTheme="minorHAnsi" w:hAnsiTheme="minorHAnsi" w:cs="Calibri"/>
        </w:rPr>
        <w:t xml:space="preserve"> </w:t>
      </w:r>
      <w:r w:rsidRPr="002D7A10">
        <w:rPr>
          <w:rFonts w:asciiTheme="minorHAnsi" w:hAnsiTheme="minorHAnsi" w:cs="Calibri"/>
          <w:b/>
        </w:rPr>
        <w:t>% na druhom stupni</w:t>
      </w:r>
      <w:r w:rsidRPr="002D7A10">
        <w:rPr>
          <w:rFonts w:asciiTheme="minorHAnsi" w:hAnsiTheme="minorHAnsi" w:cs="Calibri"/>
        </w:rPr>
        <w:t xml:space="preserve"> a </w:t>
      </w:r>
      <w:r w:rsidRPr="002D7A10">
        <w:rPr>
          <w:rFonts w:asciiTheme="minorHAnsi" w:hAnsiTheme="minorHAnsi" w:cs="Calibri"/>
          <w:b/>
        </w:rPr>
        <w:t>11 % na treťom stupni</w:t>
      </w:r>
      <w:r w:rsidRPr="002D7A10">
        <w:rPr>
          <w:rFonts w:asciiTheme="minorHAnsi" w:hAnsiTheme="minorHAnsi" w:cs="Calibri"/>
        </w:rPr>
        <w:t xml:space="preserve"> štúdia.</w:t>
      </w:r>
    </w:p>
    <w:p w:rsidR="00FF5C17" w:rsidRPr="002D7A10" w:rsidRDefault="00FF5C17" w:rsidP="00FF5C17">
      <w:pPr>
        <w:spacing w:after="120"/>
        <w:rPr>
          <w:rFonts w:asciiTheme="minorHAnsi" w:hAnsiTheme="minorHAnsi" w:cs="Calibri"/>
        </w:rPr>
      </w:pPr>
      <w:r w:rsidRPr="002D7A10">
        <w:rPr>
          <w:rFonts w:asciiTheme="minorHAnsi" w:hAnsiTheme="minorHAnsi" w:cs="Calibri"/>
        </w:rPr>
        <w:lastRenderedPageBreak/>
        <w:t>Celkove je medziročný pokles študentov v dennej forme 5,9 %. Je to dôsledok celkového poklesu počtu študentov v súvislosti s klesajúcou demografickou krivkou v Slovenskej republike.</w:t>
      </w:r>
    </w:p>
    <w:p w:rsidR="00FF5C17" w:rsidRPr="002D7A10" w:rsidRDefault="00FF5C17" w:rsidP="00FF5C17">
      <w:pPr>
        <w:rPr>
          <w:rFonts w:asciiTheme="minorHAnsi" w:hAnsiTheme="minorHAnsi" w:cs="Calibri"/>
        </w:rPr>
      </w:pPr>
      <w:r w:rsidRPr="002D7A10">
        <w:rPr>
          <w:rFonts w:asciiTheme="minorHAnsi" w:hAnsiTheme="minorHAnsi" w:cs="Calibri"/>
        </w:rPr>
        <w:t>V  externej forme je zrejmý výrazný pokles počtu študentov na všetkých troch stupňoch štúdia. Celkovo sa znížil počet študentov v externej forme štúdia za posledných 5 rokov o 64 %, pričom v hodnotenom akad. roku evidujeme externých študentov v podstate len na treťom stupni štúdia.</w:t>
      </w:r>
    </w:p>
    <w:p w:rsidR="00FF5C17" w:rsidRPr="002D7A10" w:rsidRDefault="00FF5C17" w:rsidP="00FF5C17">
      <w:pPr>
        <w:rPr>
          <w:rFonts w:asciiTheme="minorHAnsi" w:hAnsiTheme="minorHAnsi" w:cs="Calibri"/>
        </w:rPr>
      </w:pPr>
    </w:p>
    <w:p w:rsidR="00FF5C17" w:rsidRPr="005B0938" w:rsidRDefault="00FF5C17" w:rsidP="00FF5C17">
      <w:pPr>
        <w:rPr>
          <w:rFonts w:asciiTheme="minorHAnsi" w:hAnsiTheme="minorHAnsi" w:cs="Calibri"/>
          <w:b/>
          <w:sz w:val="20"/>
          <w:szCs w:val="20"/>
        </w:rPr>
      </w:pPr>
      <w:r w:rsidRPr="005B0938">
        <w:rPr>
          <w:rFonts w:asciiTheme="minorHAnsi" w:hAnsiTheme="minorHAnsi" w:cs="Calibri"/>
          <w:b/>
          <w:sz w:val="20"/>
          <w:szCs w:val="20"/>
        </w:rPr>
        <w:t xml:space="preserve">Tabuľka č. </w:t>
      </w:r>
      <w:r w:rsidR="009309F8" w:rsidRPr="005B0938">
        <w:rPr>
          <w:rFonts w:asciiTheme="minorHAnsi" w:hAnsiTheme="minorHAnsi" w:cs="Calibri"/>
          <w:b/>
          <w:sz w:val="20"/>
          <w:szCs w:val="20"/>
        </w:rPr>
        <w:t>3.</w:t>
      </w:r>
      <w:r w:rsidRPr="005B0938">
        <w:rPr>
          <w:rFonts w:asciiTheme="minorHAnsi" w:hAnsiTheme="minorHAnsi" w:cs="Calibri"/>
          <w:b/>
          <w:sz w:val="20"/>
          <w:szCs w:val="20"/>
        </w:rPr>
        <w:t>6: Vývoj počtu študentov STU v externej forme štúdia za posledných päť rokov</w:t>
      </w:r>
    </w:p>
    <w:tbl>
      <w:tblPr>
        <w:tblW w:w="7680" w:type="dxa"/>
        <w:tblInd w:w="55" w:type="dxa"/>
        <w:tblCellMar>
          <w:left w:w="70" w:type="dxa"/>
          <w:right w:w="70" w:type="dxa"/>
        </w:tblCellMar>
        <w:tblLook w:val="04A0" w:firstRow="1" w:lastRow="0" w:firstColumn="1" w:lastColumn="0" w:noHBand="0" w:noVBand="1"/>
      </w:tblPr>
      <w:tblGrid>
        <w:gridCol w:w="1280"/>
        <w:gridCol w:w="1280"/>
        <w:gridCol w:w="1280"/>
        <w:gridCol w:w="1280"/>
        <w:gridCol w:w="1280"/>
        <w:gridCol w:w="1280"/>
      </w:tblGrid>
      <w:tr w:rsidR="00FF5C17" w:rsidRPr="005B0938" w:rsidTr="00CE307D">
        <w:trPr>
          <w:trHeight w:val="31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Stupeň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2010/2011</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2011/2012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2012/2013</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2013/2014</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2014/2015</w:t>
            </w:r>
          </w:p>
        </w:tc>
      </w:tr>
      <w:tr w:rsidR="00FF5C17" w:rsidRPr="005B0938" w:rsidTr="00CE307D">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color w:val="000000"/>
                <w:sz w:val="20"/>
                <w:szCs w:val="20"/>
                <w:lang w:eastAsia="sk-SK"/>
              </w:rPr>
            </w:pPr>
            <w:r w:rsidRPr="005B0938">
              <w:rPr>
                <w:rFonts w:asciiTheme="minorHAnsi" w:eastAsia="Times New Roman" w:hAnsiTheme="minorHAnsi" w:cs="Arial"/>
                <w:color w:val="000000"/>
                <w:sz w:val="20"/>
                <w:szCs w:val="20"/>
                <w:lang w:eastAsia="sk-SK"/>
              </w:rPr>
              <w:t>I. stupeň</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467</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252</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103</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37</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7</w:t>
            </w:r>
          </w:p>
        </w:tc>
      </w:tr>
      <w:tr w:rsidR="00FF5C17" w:rsidRPr="005B0938" w:rsidTr="00CE307D">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color w:val="000000"/>
                <w:sz w:val="20"/>
                <w:szCs w:val="20"/>
                <w:lang w:eastAsia="sk-SK"/>
              </w:rPr>
            </w:pPr>
            <w:r w:rsidRPr="005B0938">
              <w:rPr>
                <w:rFonts w:asciiTheme="minorHAnsi" w:eastAsia="Times New Roman" w:hAnsiTheme="minorHAnsi" w:cs="Arial"/>
                <w:color w:val="000000"/>
                <w:sz w:val="20"/>
                <w:szCs w:val="20"/>
                <w:lang w:eastAsia="sk-SK"/>
              </w:rPr>
              <w:t>II. stupeň</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3</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23</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0</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0</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0</w:t>
            </w:r>
          </w:p>
        </w:tc>
      </w:tr>
      <w:tr w:rsidR="00FF5C17" w:rsidRPr="005B0938" w:rsidTr="00CE307D">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color w:val="000000"/>
                <w:sz w:val="20"/>
                <w:szCs w:val="20"/>
                <w:lang w:eastAsia="sk-SK"/>
              </w:rPr>
            </w:pPr>
            <w:r w:rsidRPr="005B0938">
              <w:rPr>
                <w:rFonts w:asciiTheme="minorHAnsi" w:eastAsia="Times New Roman" w:hAnsiTheme="minorHAnsi" w:cs="Arial"/>
                <w:color w:val="000000"/>
                <w:sz w:val="20"/>
                <w:szCs w:val="20"/>
                <w:lang w:eastAsia="sk-SK"/>
              </w:rPr>
              <w:t>III. stupeň</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584</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493</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443</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407</w:t>
            </w:r>
          </w:p>
        </w:tc>
        <w:tc>
          <w:tcPr>
            <w:tcW w:w="1280" w:type="dxa"/>
            <w:tcBorders>
              <w:top w:val="nil"/>
              <w:left w:val="nil"/>
              <w:bottom w:val="single" w:sz="4" w:space="0" w:color="auto"/>
              <w:right w:val="single" w:sz="4" w:space="0" w:color="auto"/>
            </w:tcBorders>
            <w:shd w:val="clear" w:color="auto" w:fill="auto"/>
            <w:noWrap/>
            <w:vAlign w:val="bottom"/>
            <w:hideMark/>
          </w:tcPr>
          <w:p w:rsidR="00FF5C17" w:rsidRPr="005B0938" w:rsidRDefault="00FF5C17" w:rsidP="00CE307D">
            <w:pPr>
              <w:jc w:val="center"/>
              <w:rPr>
                <w:rFonts w:asciiTheme="minorHAnsi" w:eastAsia="Times New Roman" w:hAnsiTheme="minorHAnsi" w:cs="Arial"/>
                <w:sz w:val="20"/>
                <w:szCs w:val="20"/>
                <w:lang w:eastAsia="sk-SK"/>
              </w:rPr>
            </w:pPr>
            <w:r w:rsidRPr="005B0938">
              <w:rPr>
                <w:rFonts w:asciiTheme="minorHAnsi" w:eastAsia="Times New Roman" w:hAnsiTheme="minorHAnsi" w:cs="Arial"/>
                <w:sz w:val="20"/>
                <w:szCs w:val="20"/>
                <w:lang w:eastAsia="sk-SK"/>
              </w:rPr>
              <w:t>377</w:t>
            </w:r>
          </w:p>
        </w:tc>
      </w:tr>
      <w:tr w:rsidR="00FF5C17" w:rsidRPr="005B0938" w:rsidTr="00CE307D">
        <w:trPr>
          <w:trHeight w:val="315"/>
        </w:trPr>
        <w:tc>
          <w:tcPr>
            <w:tcW w:w="12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F5C17" w:rsidRPr="005B0938" w:rsidRDefault="00FF5C17" w:rsidP="00CE307D">
            <w:pPr>
              <w:jc w:val="center"/>
              <w:rPr>
                <w:rFonts w:asciiTheme="minorHAnsi" w:eastAsia="Times New Roman" w:hAnsiTheme="minorHAnsi" w:cs="Arial"/>
                <w:b/>
                <w:sz w:val="20"/>
                <w:szCs w:val="20"/>
                <w:lang w:eastAsia="sk-SK"/>
              </w:rPr>
            </w:pPr>
            <w:r w:rsidRPr="005B0938">
              <w:rPr>
                <w:rFonts w:asciiTheme="minorHAnsi" w:eastAsia="Times New Roman" w:hAnsiTheme="minorHAnsi" w:cs="Arial"/>
                <w:b/>
                <w:sz w:val="20"/>
                <w:szCs w:val="20"/>
                <w:lang w:eastAsia="sk-SK"/>
              </w:rPr>
              <w:t>Spolu</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rsidR="00FF5C17" w:rsidRPr="005B0938" w:rsidRDefault="00FF5C17" w:rsidP="00CE307D">
            <w:pPr>
              <w:jc w:val="center"/>
              <w:rPr>
                <w:rFonts w:asciiTheme="minorHAnsi" w:eastAsia="Times New Roman" w:hAnsiTheme="minorHAnsi" w:cs="Arial"/>
                <w:b/>
                <w:sz w:val="20"/>
                <w:szCs w:val="20"/>
                <w:lang w:eastAsia="sk-SK"/>
              </w:rPr>
            </w:pPr>
            <w:r w:rsidRPr="005B0938">
              <w:rPr>
                <w:rFonts w:asciiTheme="minorHAnsi" w:eastAsia="Times New Roman" w:hAnsiTheme="minorHAnsi" w:cs="Arial"/>
                <w:b/>
                <w:sz w:val="20"/>
                <w:szCs w:val="20"/>
                <w:lang w:eastAsia="sk-SK"/>
              </w:rPr>
              <w:t>1 054</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rsidR="00FF5C17" w:rsidRPr="005B0938" w:rsidRDefault="00FF5C17" w:rsidP="00CE307D">
            <w:pPr>
              <w:jc w:val="center"/>
              <w:rPr>
                <w:rFonts w:asciiTheme="minorHAnsi" w:eastAsia="Times New Roman" w:hAnsiTheme="minorHAnsi" w:cs="Arial"/>
                <w:b/>
                <w:sz w:val="20"/>
                <w:szCs w:val="20"/>
                <w:lang w:eastAsia="sk-SK"/>
              </w:rPr>
            </w:pPr>
            <w:r w:rsidRPr="005B0938">
              <w:rPr>
                <w:rFonts w:asciiTheme="minorHAnsi" w:eastAsia="Times New Roman" w:hAnsiTheme="minorHAnsi" w:cs="Arial"/>
                <w:b/>
                <w:sz w:val="20"/>
                <w:szCs w:val="20"/>
                <w:lang w:eastAsia="sk-SK"/>
              </w:rPr>
              <w:t>768</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rsidR="00FF5C17" w:rsidRPr="005B0938" w:rsidRDefault="00FF5C17" w:rsidP="00CE307D">
            <w:pPr>
              <w:jc w:val="center"/>
              <w:rPr>
                <w:rFonts w:asciiTheme="minorHAnsi" w:eastAsia="Times New Roman" w:hAnsiTheme="minorHAnsi" w:cs="Arial"/>
                <w:b/>
                <w:sz w:val="20"/>
                <w:szCs w:val="20"/>
                <w:lang w:eastAsia="sk-SK"/>
              </w:rPr>
            </w:pPr>
            <w:r w:rsidRPr="005B0938">
              <w:rPr>
                <w:rFonts w:asciiTheme="minorHAnsi" w:eastAsia="Times New Roman" w:hAnsiTheme="minorHAnsi" w:cs="Arial"/>
                <w:b/>
                <w:sz w:val="20"/>
                <w:szCs w:val="20"/>
                <w:lang w:eastAsia="sk-SK"/>
              </w:rPr>
              <w:t>546</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rsidR="00FF5C17" w:rsidRPr="005B0938" w:rsidRDefault="00FF5C17" w:rsidP="00CE307D">
            <w:pPr>
              <w:jc w:val="center"/>
              <w:rPr>
                <w:rFonts w:asciiTheme="minorHAnsi" w:eastAsia="Times New Roman" w:hAnsiTheme="minorHAnsi" w:cs="Arial"/>
                <w:b/>
                <w:sz w:val="20"/>
                <w:szCs w:val="20"/>
                <w:lang w:eastAsia="sk-SK"/>
              </w:rPr>
            </w:pPr>
            <w:r w:rsidRPr="005B0938">
              <w:rPr>
                <w:rFonts w:asciiTheme="minorHAnsi" w:eastAsia="Times New Roman" w:hAnsiTheme="minorHAnsi" w:cs="Arial"/>
                <w:b/>
                <w:sz w:val="20"/>
                <w:szCs w:val="20"/>
                <w:lang w:eastAsia="sk-SK"/>
              </w:rPr>
              <w:t>444</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rsidR="00FF5C17" w:rsidRPr="005B0938" w:rsidRDefault="00FF5C17" w:rsidP="00CE307D">
            <w:pPr>
              <w:jc w:val="center"/>
              <w:rPr>
                <w:rFonts w:asciiTheme="minorHAnsi" w:eastAsia="Times New Roman" w:hAnsiTheme="minorHAnsi" w:cs="Arial"/>
                <w:b/>
                <w:sz w:val="20"/>
                <w:szCs w:val="20"/>
                <w:lang w:eastAsia="sk-SK"/>
              </w:rPr>
            </w:pPr>
            <w:r w:rsidRPr="005B0938">
              <w:rPr>
                <w:rFonts w:asciiTheme="minorHAnsi" w:eastAsia="Times New Roman" w:hAnsiTheme="minorHAnsi" w:cs="Arial"/>
                <w:b/>
                <w:sz w:val="20"/>
                <w:szCs w:val="20"/>
                <w:lang w:eastAsia="sk-SK"/>
              </w:rPr>
              <w:t>384</w:t>
            </w:r>
          </w:p>
        </w:tc>
      </w:tr>
    </w:tbl>
    <w:p w:rsidR="00FF5C17" w:rsidRPr="005B0938" w:rsidRDefault="00FF5C17" w:rsidP="00FF5C17">
      <w:pPr>
        <w:rPr>
          <w:rFonts w:asciiTheme="minorHAnsi" w:hAnsiTheme="minorHAnsi" w:cs="Calibri"/>
          <w:sz w:val="20"/>
          <w:szCs w:val="20"/>
        </w:rPr>
      </w:pPr>
    </w:p>
    <w:p w:rsidR="00414FDD" w:rsidRPr="005B0938" w:rsidRDefault="00414FDD" w:rsidP="00FF5C17">
      <w:pPr>
        <w:rPr>
          <w:rFonts w:asciiTheme="minorHAnsi" w:hAnsiTheme="minorHAnsi" w:cs="Calibri"/>
          <w:b/>
          <w:sz w:val="20"/>
          <w:szCs w:val="20"/>
        </w:rPr>
      </w:pPr>
    </w:p>
    <w:p w:rsidR="00FF5C17" w:rsidRPr="005B0938" w:rsidRDefault="00FF5C17" w:rsidP="00FF5C17">
      <w:pPr>
        <w:rPr>
          <w:rFonts w:asciiTheme="minorHAnsi" w:hAnsiTheme="minorHAnsi" w:cs="Calibri"/>
          <w:b/>
          <w:sz w:val="20"/>
          <w:szCs w:val="20"/>
        </w:rPr>
      </w:pPr>
      <w:r w:rsidRPr="005B0938">
        <w:rPr>
          <w:rFonts w:asciiTheme="minorHAnsi" w:hAnsiTheme="minorHAnsi" w:cs="Calibri"/>
          <w:b/>
          <w:sz w:val="20"/>
          <w:szCs w:val="20"/>
        </w:rPr>
        <w:t xml:space="preserve">Graf č. </w:t>
      </w:r>
      <w:r w:rsidR="009309F8" w:rsidRPr="005B0938">
        <w:rPr>
          <w:rFonts w:asciiTheme="minorHAnsi" w:hAnsiTheme="minorHAnsi" w:cs="Calibri"/>
          <w:b/>
          <w:sz w:val="20"/>
          <w:szCs w:val="20"/>
        </w:rPr>
        <w:t>3.</w:t>
      </w:r>
      <w:r w:rsidRPr="005B0938">
        <w:rPr>
          <w:rFonts w:asciiTheme="minorHAnsi" w:hAnsiTheme="minorHAnsi" w:cs="Calibri"/>
          <w:b/>
          <w:sz w:val="20"/>
          <w:szCs w:val="20"/>
        </w:rPr>
        <w:t>5: Počet študentov externej formy štúdia za posledných päť rokov</w:t>
      </w:r>
    </w:p>
    <w:p w:rsidR="00FF5C17" w:rsidRPr="005B0938" w:rsidRDefault="00FF5C17" w:rsidP="00FF5C17">
      <w:pPr>
        <w:rPr>
          <w:rFonts w:asciiTheme="minorHAnsi" w:hAnsiTheme="minorHAnsi" w:cs="Calibri"/>
          <w:sz w:val="20"/>
          <w:szCs w:val="20"/>
        </w:rPr>
      </w:pPr>
      <w:r w:rsidRPr="005B0938">
        <w:rPr>
          <w:rFonts w:asciiTheme="minorHAnsi" w:hAnsiTheme="minorHAnsi"/>
          <w:noProof/>
          <w:sz w:val="20"/>
          <w:szCs w:val="20"/>
          <w:lang w:eastAsia="sk-SK"/>
        </w:rPr>
        <w:drawing>
          <wp:inline distT="0" distB="0" distL="0" distR="0" wp14:anchorId="7B63F2D4" wp14:editId="4467A148">
            <wp:extent cx="5019675" cy="291465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4FDD" w:rsidRPr="002D7A10" w:rsidRDefault="00414FDD" w:rsidP="00FF5C17">
      <w:pPr>
        <w:spacing w:after="120"/>
        <w:rPr>
          <w:rFonts w:asciiTheme="minorHAnsi" w:hAnsiTheme="minorHAnsi" w:cs="Calibri"/>
          <w:b/>
        </w:rPr>
      </w:pPr>
    </w:p>
    <w:p w:rsidR="00FF5C17" w:rsidRPr="002D7A10" w:rsidRDefault="00FF5C17" w:rsidP="0005714D">
      <w:pPr>
        <w:rPr>
          <w:rFonts w:asciiTheme="minorHAnsi" w:hAnsiTheme="minorHAnsi" w:cs="Calibri"/>
        </w:rPr>
      </w:pPr>
      <w:r w:rsidRPr="002D7A10">
        <w:rPr>
          <w:rFonts w:asciiTheme="minorHAnsi" w:hAnsiTheme="minorHAnsi" w:cs="Calibri"/>
          <w:b/>
        </w:rPr>
        <w:t>Pokles študentov v externej forme na prvom a druhom stupni štúdia je dôsledkom orientácie sa STU predovšetkým na dennú formu</w:t>
      </w:r>
      <w:r w:rsidRPr="002D7A10">
        <w:rPr>
          <w:rFonts w:asciiTheme="minorHAnsi" w:hAnsiTheme="minorHAnsi" w:cs="Calibri"/>
        </w:rPr>
        <w:t xml:space="preserve"> z dôvodu špecifických nárokov štúdia v technických odboroch na laboratórnu a seminárnu prácu, ktorej organizácia je pri veľkých počtoch externých študentov náročná. Okrem toho pokles študentov v externej forme štúdia je aj dôsledkom jeho spoplatňovania, od akad. roku 2011/2012 nariadeného zákonom.</w:t>
      </w:r>
    </w:p>
    <w:p w:rsidR="00FF5C17" w:rsidRPr="002D7A10" w:rsidRDefault="00FF5C17" w:rsidP="0005714D">
      <w:pPr>
        <w:rPr>
          <w:rFonts w:asciiTheme="minorHAnsi" w:hAnsiTheme="minorHAnsi" w:cs="Calibri"/>
        </w:rPr>
      </w:pPr>
      <w:r w:rsidRPr="002D7A10">
        <w:rPr>
          <w:rFonts w:asciiTheme="minorHAnsi" w:hAnsiTheme="minorHAnsi" w:cs="Calibri"/>
        </w:rPr>
        <w:t>Podrobnejší pohľad na štruktúru a počet študentov na STU v jednotlivých stupňoch a formách štúdia a pohľad na ich úbytok po prvých dvoch rokoch štúdia je uvedený v nasledovnom prehľade.</w:t>
      </w:r>
    </w:p>
    <w:p w:rsidR="00B51749" w:rsidRPr="002D7A10" w:rsidRDefault="00B51749" w:rsidP="00D038E7">
      <w:pPr>
        <w:spacing w:after="200" w:line="276" w:lineRule="auto"/>
        <w:jc w:val="left"/>
        <w:rPr>
          <w:rFonts w:asciiTheme="minorHAnsi" w:hAnsiTheme="minorHAnsi"/>
          <w:color w:val="FF0000"/>
        </w:rPr>
      </w:pPr>
    </w:p>
    <w:p w:rsidR="00B51749" w:rsidRPr="002D7A10" w:rsidRDefault="00B51749" w:rsidP="00B51749">
      <w:pPr>
        <w:pStyle w:val="Nadpis3"/>
        <w:rPr>
          <w:rFonts w:asciiTheme="minorHAnsi" w:hAnsiTheme="minorHAnsi"/>
          <w:color w:val="auto"/>
        </w:rPr>
      </w:pPr>
      <w:bookmarkStart w:id="8" w:name="_Toc448261551"/>
      <w:r w:rsidRPr="002D7A10">
        <w:rPr>
          <w:rFonts w:asciiTheme="minorHAnsi" w:hAnsiTheme="minorHAnsi"/>
          <w:color w:val="auto"/>
        </w:rPr>
        <w:lastRenderedPageBreak/>
        <w:t>Prvý stupeň štúdia – počet a úbytok študentov</w:t>
      </w:r>
      <w:bookmarkEnd w:id="8"/>
    </w:p>
    <w:p w:rsidR="00B51749" w:rsidRPr="002D7A10" w:rsidRDefault="00B51749" w:rsidP="00B51749">
      <w:pPr>
        <w:rPr>
          <w:rFonts w:asciiTheme="minorHAnsi" w:hAnsiTheme="minorHAnsi"/>
          <w:b/>
          <w:color w:val="FF0000"/>
          <w:lang w:eastAsia="cs-CZ"/>
        </w:rPr>
      </w:pPr>
    </w:p>
    <w:p w:rsidR="00A37553" w:rsidRPr="002D7A10" w:rsidRDefault="00A37553" w:rsidP="00A37553">
      <w:pPr>
        <w:spacing w:after="120"/>
        <w:rPr>
          <w:rFonts w:asciiTheme="minorHAnsi" w:hAnsiTheme="minorHAnsi" w:cs="Calibri"/>
        </w:rPr>
      </w:pPr>
      <w:r w:rsidRPr="002D7A10">
        <w:rPr>
          <w:rFonts w:asciiTheme="minorHAnsi" w:hAnsiTheme="minorHAnsi" w:cs="Calibri"/>
        </w:rPr>
        <w:t xml:space="preserve">Celkový </w:t>
      </w:r>
      <w:r w:rsidRPr="002D7A10">
        <w:rPr>
          <w:rFonts w:asciiTheme="minorHAnsi" w:hAnsiTheme="minorHAnsi" w:cs="Calibri"/>
          <w:b/>
        </w:rPr>
        <w:t>počet zapísaných študentov na prvom stupni</w:t>
      </w:r>
      <w:r w:rsidRPr="002D7A10">
        <w:rPr>
          <w:rFonts w:asciiTheme="minorHAnsi" w:hAnsiTheme="minorHAnsi" w:cs="Calibri"/>
        </w:rPr>
        <w:t xml:space="preserve"> </w:t>
      </w:r>
      <w:r w:rsidRPr="002D7A10">
        <w:rPr>
          <w:rFonts w:asciiTheme="minorHAnsi" w:hAnsiTheme="minorHAnsi" w:cs="Calibri"/>
          <w:b/>
        </w:rPr>
        <w:t>štúdia</w:t>
      </w:r>
      <w:r w:rsidRPr="002D7A10">
        <w:rPr>
          <w:rFonts w:asciiTheme="minorHAnsi" w:hAnsiTheme="minorHAnsi" w:cs="Calibri"/>
        </w:rPr>
        <w:t xml:space="preserve"> v dennej forme v akademickom roku 2014/2015 bol </w:t>
      </w:r>
      <w:r w:rsidRPr="002D7A10">
        <w:rPr>
          <w:rFonts w:asciiTheme="minorHAnsi" w:hAnsiTheme="minorHAnsi" w:cs="Calibri"/>
          <w:b/>
        </w:rPr>
        <w:t>9 929 študentov</w:t>
      </w:r>
      <w:r w:rsidR="009309F8" w:rsidRPr="002D7A10">
        <w:rPr>
          <w:rFonts w:asciiTheme="minorHAnsi" w:hAnsiTheme="minorHAnsi" w:cs="Calibri"/>
        </w:rPr>
        <w:t>. Z t</w:t>
      </w:r>
      <w:r w:rsidRPr="002D7A10">
        <w:rPr>
          <w:rFonts w:asciiTheme="minorHAnsi" w:hAnsiTheme="minorHAnsi" w:cs="Calibri"/>
        </w:rPr>
        <w:t xml:space="preserve">abuľky č. </w:t>
      </w:r>
      <w:r w:rsidR="009309F8" w:rsidRPr="002D7A10">
        <w:rPr>
          <w:rFonts w:asciiTheme="minorHAnsi" w:hAnsiTheme="minorHAnsi" w:cs="Calibri"/>
        </w:rPr>
        <w:t>3.</w:t>
      </w:r>
      <w:r w:rsidRPr="002D7A10">
        <w:rPr>
          <w:rFonts w:asciiTheme="minorHAnsi" w:hAnsiTheme="minorHAnsi" w:cs="Calibri"/>
        </w:rPr>
        <w:t xml:space="preserve">7 je možné vidieť úbytok študentov na prvom stupni po prvých dvoch rokoch štúdia. Je zrejmé, že prvý rok štúdia je pre študentov kritický z hľadiska ich úspešného zotrvania v štúdiu, pretože 45 % študentov v priemere za univerzitu nezvládlo prvý rok štúdia v akad. roku 2014/2015. Medzi najčastejšie príčiny úbytku študentov po prvom roku štúdia patria: </w:t>
      </w:r>
      <w:r w:rsidRPr="002D7A10">
        <w:rPr>
          <w:rFonts w:asciiTheme="minorHAnsi" w:hAnsiTheme="minorHAnsi" w:cs="Calibri"/>
          <w:b/>
        </w:rPr>
        <w:t>dlhodobo nedostatočná príprava na strednej škole na štúdium technického zamerania</w:t>
      </w:r>
      <w:r w:rsidRPr="002D7A10">
        <w:rPr>
          <w:rFonts w:asciiTheme="minorHAnsi" w:hAnsiTheme="minorHAnsi" w:cs="Calibri"/>
        </w:rPr>
        <w:t xml:space="preserve"> (</w:t>
      </w:r>
      <w:r w:rsidRPr="002D7A10">
        <w:rPr>
          <w:rFonts w:asciiTheme="minorHAnsi" w:hAnsiTheme="minorHAnsi" w:cs="Calibri"/>
          <w:b/>
        </w:rPr>
        <w:t>znižovanie rozsahu a úrovne hlavne prírodovedných predmetov</w:t>
      </w:r>
      <w:r w:rsidRPr="002D7A10">
        <w:rPr>
          <w:rFonts w:asciiTheme="minorHAnsi" w:hAnsiTheme="minorHAnsi" w:cs="Calibri"/>
        </w:rPr>
        <w:t xml:space="preserve">), zmena prostredia a systému vzdelávania na univerzite. </w:t>
      </w:r>
      <w:r w:rsidRPr="002D7A10">
        <w:rPr>
          <w:rFonts w:asciiTheme="minorHAnsi" w:hAnsiTheme="minorHAnsi" w:cs="Calibri"/>
          <w:b/>
        </w:rPr>
        <w:t>Významnú úlohu hrá aj fakt, že uchádzači sú prijímaní zväčša bez prijímacej skúšky.</w:t>
      </w:r>
      <w:r w:rsidRPr="002D7A10">
        <w:rPr>
          <w:rFonts w:asciiTheme="minorHAnsi" w:hAnsiTheme="minorHAnsi" w:cs="Calibri"/>
        </w:rPr>
        <w:t xml:space="preserve"> Zimný semester 1. ročníka tak predstavuje akési predĺženie prijímacieho konania, v ktorom si uchádzači overujú schopnosti a záujem o ďalšie štúdium. </w:t>
      </w:r>
    </w:p>
    <w:p w:rsidR="00A37553" w:rsidRPr="002D7A10" w:rsidRDefault="00A37553" w:rsidP="00A37553">
      <w:pPr>
        <w:rPr>
          <w:rFonts w:asciiTheme="minorHAnsi" w:hAnsiTheme="minorHAnsi" w:cs="Calibri"/>
        </w:rPr>
      </w:pPr>
      <w:r w:rsidRPr="002D7A10">
        <w:rPr>
          <w:rFonts w:asciiTheme="minorHAnsi" w:hAnsiTheme="minorHAnsi" w:cs="Calibri"/>
        </w:rPr>
        <w:t>Úbytok študentov po druhom roku štúdia je nižší – 26 %, ale veľmi často je príčinou neúspešné absolvovanie predmetov prenesených z prvého roku štúdia, čo len podčiarkuje kritickosť prvého roku štúdia na technickej univerzite.</w:t>
      </w:r>
    </w:p>
    <w:p w:rsidR="00A37553" w:rsidRPr="002D7A10" w:rsidRDefault="00A37553" w:rsidP="00A37553">
      <w:pPr>
        <w:rPr>
          <w:rFonts w:asciiTheme="minorHAnsi" w:hAnsiTheme="minorHAnsi" w:cs="Calibri"/>
        </w:rPr>
      </w:pPr>
      <w:r w:rsidRPr="002D7A10">
        <w:rPr>
          <w:rFonts w:asciiTheme="minorHAnsi" w:hAnsiTheme="minorHAnsi" w:cs="Calibri"/>
        </w:rPr>
        <w:t xml:space="preserve">V externej forme štúdia v ak. roku 2014/2015 bolo na prvom stupni celkovo 7 študentov a vzhľadom na to, že  táto forma štúdia dobieha, nebola predmetom hodnotenia. </w:t>
      </w:r>
    </w:p>
    <w:p w:rsidR="00A37553" w:rsidRPr="002D7A10" w:rsidRDefault="00A37553" w:rsidP="00A37553">
      <w:pPr>
        <w:rPr>
          <w:rFonts w:asciiTheme="minorHAnsi" w:hAnsiTheme="minorHAnsi" w:cs="Calibri"/>
          <w:b/>
        </w:rPr>
      </w:pPr>
    </w:p>
    <w:p w:rsidR="00A37553" w:rsidRPr="0031029A" w:rsidRDefault="00A37553" w:rsidP="00A37553">
      <w:pPr>
        <w:rPr>
          <w:rFonts w:asciiTheme="minorHAnsi" w:hAnsiTheme="minorHAnsi" w:cs="Calibri"/>
          <w:b/>
          <w:sz w:val="20"/>
          <w:szCs w:val="20"/>
        </w:rPr>
      </w:pPr>
      <w:r w:rsidRPr="0031029A">
        <w:rPr>
          <w:rFonts w:asciiTheme="minorHAnsi" w:hAnsiTheme="minorHAnsi" w:cs="Calibri"/>
          <w:b/>
          <w:sz w:val="20"/>
          <w:szCs w:val="20"/>
        </w:rPr>
        <w:t xml:space="preserve">Tabuľka č. </w:t>
      </w:r>
      <w:r w:rsidR="009309F8" w:rsidRPr="0031029A">
        <w:rPr>
          <w:rFonts w:asciiTheme="minorHAnsi" w:hAnsiTheme="minorHAnsi" w:cs="Calibri"/>
          <w:b/>
          <w:sz w:val="20"/>
          <w:szCs w:val="20"/>
        </w:rPr>
        <w:t>3.</w:t>
      </w:r>
      <w:r w:rsidRPr="0031029A">
        <w:rPr>
          <w:rFonts w:asciiTheme="minorHAnsi" w:hAnsiTheme="minorHAnsi" w:cs="Calibri"/>
          <w:b/>
          <w:sz w:val="20"/>
          <w:szCs w:val="20"/>
        </w:rPr>
        <w:t>7: Počet  a úbytok študentov prvého stupňa štúdia v dennej forme v akad. roku 2014/2015</w:t>
      </w:r>
    </w:p>
    <w:tbl>
      <w:tblPr>
        <w:tblW w:w="9513" w:type="dxa"/>
        <w:tblInd w:w="55" w:type="dxa"/>
        <w:tblCellMar>
          <w:left w:w="70" w:type="dxa"/>
          <w:right w:w="70" w:type="dxa"/>
        </w:tblCellMar>
        <w:tblLook w:val="04A0" w:firstRow="1" w:lastRow="0" w:firstColumn="1" w:lastColumn="0" w:noHBand="0" w:noVBand="1"/>
      </w:tblPr>
      <w:tblGrid>
        <w:gridCol w:w="818"/>
        <w:gridCol w:w="826"/>
        <w:gridCol w:w="816"/>
        <w:gridCol w:w="816"/>
        <w:gridCol w:w="1293"/>
        <w:gridCol w:w="1116"/>
        <w:gridCol w:w="1180"/>
        <w:gridCol w:w="820"/>
        <w:gridCol w:w="820"/>
        <w:gridCol w:w="1008"/>
      </w:tblGrid>
      <w:tr w:rsidR="00A37553" w:rsidRPr="0031029A" w:rsidTr="00CE307D">
        <w:trPr>
          <w:trHeight w:val="20"/>
        </w:trPr>
        <w:tc>
          <w:tcPr>
            <w:tcW w:w="8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37553" w:rsidRPr="0031029A" w:rsidRDefault="00A37553"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Fakulta</w:t>
            </w:r>
          </w:p>
        </w:tc>
        <w:tc>
          <w:tcPr>
            <w:tcW w:w="3751" w:type="dxa"/>
            <w:gridSpan w:val="4"/>
            <w:tcBorders>
              <w:top w:val="single" w:sz="4" w:space="0" w:color="auto"/>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1. ročník</w:t>
            </w:r>
          </w:p>
        </w:tc>
        <w:tc>
          <w:tcPr>
            <w:tcW w:w="2296" w:type="dxa"/>
            <w:gridSpan w:val="2"/>
            <w:tcBorders>
              <w:top w:val="single" w:sz="4" w:space="0" w:color="auto"/>
              <w:left w:val="nil"/>
              <w:bottom w:val="single" w:sz="4" w:space="0" w:color="auto"/>
              <w:right w:val="single" w:sz="4" w:space="0" w:color="000000"/>
            </w:tcBorders>
            <w:shd w:val="clear" w:color="000000" w:fill="FFFFFF"/>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2. ročník</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3. ročník zapísaní</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4. ročník zapísaní</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w:t>
            </w:r>
            <w:r w:rsidRPr="0031029A">
              <w:rPr>
                <w:rFonts w:asciiTheme="minorHAnsi" w:eastAsia="Times New Roman" w:hAnsiTheme="minorHAnsi" w:cs="Arial"/>
                <w:b/>
                <w:bCs/>
                <w:sz w:val="20"/>
                <w:szCs w:val="20"/>
                <w:vertAlign w:val="subscript"/>
                <w:lang w:eastAsia="sk-SK"/>
              </w:rPr>
              <w:t>Z</w:t>
            </w:r>
          </w:p>
        </w:tc>
      </w:tr>
      <w:tr w:rsidR="00A37553" w:rsidRPr="0031029A" w:rsidTr="00CE307D">
        <w:trPr>
          <w:trHeight w:val="20"/>
        </w:trPr>
        <w:tc>
          <w:tcPr>
            <w:tcW w:w="818" w:type="dxa"/>
            <w:vMerge/>
            <w:tcBorders>
              <w:top w:val="single" w:sz="4" w:space="0" w:color="auto"/>
              <w:left w:val="single" w:sz="4" w:space="0" w:color="auto"/>
              <w:bottom w:val="single" w:sz="4" w:space="0" w:color="000000"/>
              <w:right w:val="single" w:sz="4" w:space="0" w:color="auto"/>
            </w:tcBorders>
            <w:vAlign w:val="center"/>
            <w:hideMark/>
          </w:tcPr>
          <w:p w:rsidR="00A37553" w:rsidRPr="0031029A" w:rsidRDefault="00A37553" w:rsidP="00CE307D">
            <w:pPr>
              <w:rPr>
                <w:rFonts w:asciiTheme="minorHAnsi" w:eastAsia="Times New Roman" w:hAnsiTheme="minorHAnsi" w:cs="Arial"/>
                <w:b/>
                <w:bCs/>
                <w:sz w:val="20"/>
                <w:szCs w:val="20"/>
                <w:lang w:eastAsia="sk-SK"/>
              </w:rPr>
            </w:pPr>
          </w:p>
        </w:tc>
        <w:tc>
          <w:tcPr>
            <w:tcW w:w="8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 xml:space="preserve">Zapísaní </w:t>
            </w:r>
          </w:p>
        </w:tc>
        <w:tc>
          <w:tcPr>
            <w:tcW w:w="1632" w:type="dxa"/>
            <w:gridSpan w:val="2"/>
            <w:tcBorders>
              <w:top w:val="single" w:sz="4" w:space="0" w:color="auto"/>
              <w:left w:val="nil"/>
              <w:bottom w:val="nil"/>
              <w:right w:val="single" w:sz="4" w:space="0" w:color="000000"/>
            </w:tcBorders>
            <w:shd w:val="clear" w:color="auto" w:fill="auto"/>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 xml:space="preserve">úbytok </w:t>
            </w:r>
          </w:p>
        </w:tc>
        <w:tc>
          <w:tcPr>
            <w:tcW w:w="1293"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celkový úbytok po</w:t>
            </w:r>
          </w:p>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 xml:space="preserve">1. roč. </w:t>
            </w:r>
          </w:p>
        </w:tc>
        <w:tc>
          <w:tcPr>
            <w:tcW w:w="11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Zapísaní</w:t>
            </w:r>
          </w:p>
        </w:tc>
        <w:tc>
          <w:tcPr>
            <w:tcW w:w="1180"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Úbytok</w:t>
            </w:r>
          </w:p>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 xml:space="preserve">po 2. roč. </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A37553" w:rsidRPr="0031029A" w:rsidRDefault="00A37553" w:rsidP="00CE307D">
            <w:pPr>
              <w:rPr>
                <w:rFonts w:asciiTheme="minorHAnsi" w:eastAsia="Times New Roman" w:hAnsiTheme="minorHAnsi" w:cs="Arial"/>
                <w:b/>
                <w:bCs/>
                <w:sz w:val="20"/>
                <w:szCs w:val="20"/>
                <w:lang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A37553" w:rsidRPr="0031029A" w:rsidRDefault="00A37553" w:rsidP="00CE307D">
            <w:pPr>
              <w:rPr>
                <w:rFonts w:asciiTheme="minorHAnsi" w:eastAsia="Times New Roman" w:hAnsiTheme="minorHAnsi" w:cs="Arial"/>
                <w:b/>
                <w:bCs/>
                <w:sz w:val="20"/>
                <w:szCs w:val="20"/>
                <w:lang w:eastAsia="sk-SK"/>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A37553" w:rsidRPr="0031029A" w:rsidRDefault="00A37553" w:rsidP="00CE307D">
            <w:pPr>
              <w:rPr>
                <w:rFonts w:asciiTheme="minorHAnsi" w:eastAsia="Times New Roman" w:hAnsiTheme="minorHAnsi" w:cs="Arial"/>
                <w:b/>
                <w:bCs/>
                <w:sz w:val="20"/>
                <w:szCs w:val="20"/>
                <w:lang w:eastAsia="sk-SK"/>
              </w:rPr>
            </w:pPr>
          </w:p>
        </w:tc>
      </w:tr>
      <w:tr w:rsidR="00A37553" w:rsidRPr="0031029A" w:rsidTr="00CE307D">
        <w:trPr>
          <w:trHeight w:val="20"/>
        </w:trPr>
        <w:tc>
          <w:tcPr>
            <w:tcW w:w="818" w:type="dxa"/>
            <w:vMerge/>
            <w:tcBorders>
              <w:top w:val="single" w:sz="4" w:space="0" w:color="auto"/>
              <w:left w:val="single" w:sz="4" w:space="0" w:color="auto"/>
              <w:bottom w:val="single" w:sz="4" w:space="0" w:color="000000"/>
              <w:right w:val="single" w:sz="4" w:space="0" w:color="auto"/>
            </w:tcBorders>
            <w:vAlign w:val="center"/>
            <w:hideMark/>
          </w:tcPr>
          <w:p w:rsidR="00A37553" w:rsidRPr="0031029A" w:rsidRDefault="00A37553" w:rsidP="00CE307D">
            <w:pPr>
              <w:rPr>
                <w:rFonts w:asciiTheme="minorHAnsi" w:eastAsia="Times New Roman" w:hAnsiTheme="minorHAnsi" w:cs="Arial"/>
                <w:b/>
                <w:bCs/>
                <w:sz w:val="20"/>
                <w:szCs w:val="20"/>
                <w:lang w:eastAsia="sk-SK"/>
              </w:rPr>
            </w:pPr>
          </w:p>
        </w:tc>
        <w:tc>
          <w:tcPr>
            <w:tcW w:w="826" w:type="dxa"/>
            <w:vMerge/>
            <w:tcBorders>
              <w:top w:val="nil"/>
              <w:left w:val="single" w:sz="4" w:space="0" w:color="auto"/>
              <w:bottom w:val="single" w:sz="4" w:space="0" w:color="000000"/>
              <w:right w:val="single" w:sz="4" w:space="0" w:color="auto"/>
            </w:tcBorders>
            <w:vAlign w:val="center"/>
            <w:hideMark/>
          </w:tcPr>
          <w:p w:rsidR="00A37553" w:rsidRPr="0031029A" w:rsidRDefault="00A37553" w:rsidP="00CE307D">
            <w:pPr>
              <w:rPr>
                <w:rFonts w:asciiTheme="minorHAnsi" w:eastAsia="Times New Roman" w:hAnsiTheme="minorHAnsi" w:cs="Arial"/>
                <w:b/>
                <w:bCs/>
                <w:sz w:val="20"/>
                <w:szCs w:val="20"/>
                <w:lang w:eastAsia="sk-SK"/>
              </w:rPr>
            </w:pP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 xml:space="preserve">po ZS </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po LS</w:t>
            </w:r>
          </w:p>
        </w:tc>
        <w:tc>
          <w:tcPr>
            <w:tcW w:w="1293"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A37553" w:rsidRPr="0031029A" w:rsidRDefault="00A37553" w:rsidP="00CE307D">
            <w:pPr>
              <w:rPr>
                <w:rFonts w:asciiTheme="minorHAnsi" w:eastAsia="Times New Roman" w:hAnsiTheme="minorHAnsi" w:cs="Arial"/>
                <w:b/>
                <w:bCs/>
                <w:sz w:val="20"/>
                <w:szCs w:val="20"/>
                <w:lang w:eastAsia="sk-SK"/>
              </w:rPr>
            </w:pPr>
          </w:p>
        </w:tc>
        <w:tc>
          <w:tcPr>
            <w:tcW w:w="1116" w:type="dxa"/>
            <w:vMerge/>
            <w:tcBorders>
              <w:top w:val="nil"/>
              <w:left w:val="single" w:sz="4" w:space="0" w:color="auto"/>
              <w:bottom w:val="single" w:sz="4" w:space="0" w:color="000000"/>
              <w:right w:val="single" w:sz="4" w:space="0" w:color="auto"/>
            </w:tcBorders>
            <w:vAlign w:val="center"/>
            <w:hideMark/>
          </w:tcPr>
          <w:p w:rsidR="00A37553" w:rsidRPr="0031029A" w:rsidRDefault="00A37553" w:rsidP="00CE307D">
            <w:pPr>
              <w:rPr>
                <w:rFonts w:asciiTheme="minorHAnsi" w:eastAsia="Times New Roman" w:hAnsiTheme="minorHAnsi" w:cs="Arial"/>
                <w:b/>
                <w:bCs/>
                <w:sz w:val="20"/>
                <w:szCs w:val="20"/>
                <w:lang w:eastAsia="sk-SK"/>
              </w:rPr>
            </w:pPr>
          </w:p>
        </w:tc>
        <w:tc>
          <w:tcPr>
            <w:tcW w:w="118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A37553" w:rsidRPr="0031029A" w:rsidRDefault="00A37553" w:rsidP="00CE307D">
            <w:pPr>
              <w:rPr>
                <w:rFonts w:asciiTheme="minorHAnsi" w:eastAsia="Times New Roman" w:hAnsiTheme="minorHAnsi" w:cs="Arial"/>
                <w:b/>
                <w:bCs/>
                <w:sz w:val="20"/>
                <w:szCs w:val="20"/>
                <w:lang w:eastAsia="sk-SK"/>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A37553" w:rsidRPr="0031029A" w:rsidRDefault="00A37553" w:rsidP="00CE307D">
            <w:pPr>
              <w:rPr>
                <w:rFonts w:asciiTheme="minorHAnsi" w:eastAsia="Times New Roman" w:hAnsiTheme="minorHAnsi" w:cs="Arial"/>
                <w:b/>
                <w:bCs/>
                <w:sz w:val="20"/>
                <w:szCs w:val="20"/>
                <w:lang w:eastAsia="sk-SK"/>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A37553" w:rsidRPr="0031029A" w:rsidRDefault="00A37553" w:rsidP="00CE307D">
            <w:pPr>
              <w:rPr>
                <w:rFonts w:asciiTheme="minorHAnsi" w:eastAsia="Times New Roman" w:hAnsiTheme="minorHAnsi" w:cs="Arial"/>
                <w:b/>
                <w:bCs/>
                <w:sz w:val="20"/>
                <w:szCs w:val="20"/>
                <w:lang w:eastAsia="sk-SK"/>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A37553" w:rsidRPr="0031029A" w:rsidRDefault="00A37553" w:rsidP="00CE307D">
            <w:pPr>
              <w:rPr>
                <w:rFonts w:asciiTheme="minorHAnsi" w:eastAsia="Times New Roman" w:hAnsiTheme="minorHAnsi" w:cs="Arial"/>
                <w:b/>
                <w:bCs/>
                <w:sz w:val="20"/>
                <w:szCs w:val="20"/>
                <w:lang w:eastAsia="sk-SK"/>
              </w:rPr>
            </w:pPr>
          </w:p>
        </w:tc>
      </w:tr>
      <w:tr w:rsidR="00A37553" w:rsidRPr="0031029A" w:rsidTr="00CE307D">
        <w:trPr>
          <w:trHeight w:val="20"/>
        </w:trPr>
        <w:tc>
          <w:tcPr>
            <w:tcW w:w="818" w:type="dxa"/>
            <w:tcBorders>
              <w:top w:val="nil"/>
              <w:left w:val="single" w:sz="4" w:space="0" w:color="auto"/>
              <w:bottom w:val="single" w:sz="4" w:space="0" w:color="auto"/>
              <w:right w:val="single" w:sz="4" w:space="0" w:color="auto"/>
            </w:tcBorders>
            <w:shd w:val="clear" w:color="000000" w:fill="FFFFFF"/>
            <w:vAlign w:val="center"/>
            <w:hideMark/>
          </w:tcPr>
          <w:p w:rsidR="00A37553" w:rsidRPr="0031029A" w:rsidRDefault="00A37553"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SvF</w:t>
            </w:r>
          </w:p>
        </w:tc>
        <w:tc>
          <w:tcPr>
            <w:tcW w:w="826"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626</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26%</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11%</w:t>
            </w:r>
          </w:p>
        </w:tc>
        <w:tc>
          <w:tcPr>
            <w:tcW w:w="1293"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37%</w:t>
            </w:r>
          </w:p>
        </w:tc>
        <w:tc>
          <w:tcPr>
            <w:tcW w:w="1116"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516</w:t>
            </w:r>
          </w:p>
        </w:tc>
        <w:tc>
          <w:tcPr>
            <w:tcW w:w="1180"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29%</w:t>
            </w:r>
          </w:p>
        </w:tc>
        <w:tc>
          <w:tcPr>
            <w:tcW w:w="820"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705</w:t>
            </w:r>
          </w:p>
        </w:tc>
        <w:tc>
          <w:tcPr>
            <w:tcW w:w="820"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353</w:t>
            </w:r>
          </w:p>
        </w:tc>
        <w:tc>
          <w:tcPr>
            <w:tcW w:w="1008" w:type="dxa"/>
            <w:tcBorders>
              <w:top w:val="nil"/>
              <w:left w:val="nil"/>
              <w:bottom w:val="single" w:sz="4" w:space="0" w:color="auto"/>
              <w:right w:val="single" w:sz="8"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2 200</w:t>
            </w:r>
          </w:p>
        </w:tc>
      </w:tr>
      <w:tr w:rsidR="00A37553" w:rsidRPr="0031029A" w:rsidTr="00CE307D">
        <w:trPr>
          <w:trHeight w:val="20"/>
        </w:trPr>
        <w:tc>
          <w:tcPr>
            <w:tcW w:w="818" w:type="dxa"/>
            <w:tcBorders>
              <w:top w:val="nil"/>
              <w:left w:val="single" w:sz="4" w:space="0" w:color="auto"/>
              <w:bottom w:val="single" w:sz="4" w:space="0" w:color="auto"/>
              <w:right w:val="single" w:sz="4" w:space="0" w:color="auto"/>
            </w:tcBorders>
            <w:shd w:val="clear" w:color="000000" w:fill="FFFFFF"/>
            <w:vAlign w:val="center"/>
            <w:hideMark/>
          </w:tcPr>
          <w:p w:rsidR="00A37553" w:rsidRPr="0031029A" w:rsidRDefault="00A37553"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SjF</w:t>
            </w:r>
          </w:p>
        </w:tc>
        <w:tc>
          <w:tcPr>
            <w:tcW w:w="82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320</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46%</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w:t>
            </w:r>
          </w:p>
        </w:tc>
        <w:tc>
          <w:tcPr>
            <w:tcW w:w="1293"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51%</w:t>
            </w:r>
          </w:p>
        </w:tc>
        <w:tc>
          <w:tcPr>
            <w:tcW w:w="11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216</w:t>
            </w:r>
          </w:p>
        </w:tc>
        <w:tc>
          <w:tcPr>
            <w:tcW w:w="1180"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25%</w:t>
            </w:r>
          </w:p>
        </w:tc>
        <w:tc>
          <w:tcPr>
            <w:tcW w:w="820"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234</w:t>
            </w:r>
          </w:p>
        </w:tc>
        <w:tc>
          <w:tcPr>
            <w:tcW w:w="820"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1008" w:type="dxa"/>
            <w:tcBorders>
              <w:top w:val="nil"/>
              <w:left w:val="nil"/>
              <w:bottom w:val="single" w:sz="4" w:space="0" w:color="auto"/>
              <w:right w:val="single" w:sz="8"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770</w:t>
            </w:r>
          </w:p>
        </w:tc>
      </w:tr>
      <w:tr w:rsidR="00A37553" w:rsidRPr="0031029A" w:rsidTr="00CE307D">
        <w:trPr>
          <w:trHeight w:val="20"/>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A37553" w:rsidRPr="0031029A" w:rsidRDefault="00A37553"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FEI</w:t>
            </w:r>
          </w:p>
        </w:tc>
        <w:tc>
          <w:tcPr>
            <w:tcW w:w="82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665</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45%</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10%</w:t>
            </w:r>
          </w:p>
        </w:tc>
        <w:tc>
          <w:tcPr>
            <w:tcW w:w="1293"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55%</w:t>
            </w:r>
          </w:p>
        </w:tc>
        <w:tc>
          <w:tcPr>
            <w:tcW w:w="11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415</w:t>
            </w:r>
          </w:p>
        </w:tc>
        <w:tc>
          <w:tcPr>
            <w:tcW w:w="1180" w:type="dxa"/>
            <w:tcBorders>
              <w:top w:val="nil"/>
              <w:left w:val="nil"/>
              <w:bottom w:val="single" w:sz="4" w:space="0" w:color="auto"/>
              <w:right w:val="single" w:sz="4" w:space="0" w:color="auto"/>
            </w:tcBorders>
            <w:shd w:val="clear" w:color="auto" w:fill="D9D9D9" w:themeFill="background1" w:themeFillShade="D9"/>
            <w:noWrap/>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w:t>
            </w:r>
          </w:p>
        </w:tc>
        <w:tc>
          <w:tcPr>
            <w:tcW w:w="820"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446</w:t>
            </w:r>
          </w:p>
        </w:tc>
        <w:tc>
          <w:tcPr>
            <w:tcW w:w="820"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1008" w:type="dxa"/>
            <w:tcBorders>
              <w:top w:val="nil"/>
              <w:left w:val="nil"/>
              <w:bottom w:val="single" w:sz="4" w:space="0" w:color="auto"/>
              <w:right w:val="single" w:sz="8"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1 526</w:t>
            </w:r>
          </w:p>
        </w:tc>
      </w:tr>
      <w:tr w:rsidR="00A37553" w:rsidRPr="0031029A" w:rsidTr="00CE307D">
        <w:trPr>
          <w:trHeight w:val="20"/>
        </w:trPr>
        <w:tc>
          <w:tcPr>
            <w:tcW w:w="818" w:type="dxa"/>
            <w:tcBorders>
              <w:top w:val="nil"/>
              <w:left w:val="single" w:sz="4" w:space="0" w:color="auto"/>
              <w:bottom w:val="single" w:sz="4" w:space="0" w:color="auto"/>
              <w:right w:val="single" w:sz="4" w:space="0" w:color="auto"/>
            </w:tcBorders>
            <w:shd w:val="clear" w:color="000000" w:fill="FFFFFF"/>
            <w:vAlign w:val="center"/>
            <w:hideMark/>
          </w:tcPr>
          <w:p w:rsidR="00A37553" w:rsidRPr="0031029A" w:rsidRDefault="00A37553"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FCHPT</w:t>
            </w:r>
          </w:p>
        </w:tc>
        <w:tc>
          <w:tcPr>
            <w:tcW w:w="826"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729</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33%</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17%</w:t>
            </w:r>
          </w:p>
        </w:tc>
        <w:tc>
          <w:tcPr>
            <w:tcW w:w="1293"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50%</w:t>
            </w:r>
          </w:p>
        </w:tc>
        <w:tc>
          <w:tcPr>
            <w:tcW w:w="1116"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436</w:t>
            </w:r>
          </w:p>
        </w:tc>
        <w:tc>
          <w:tcPr>
            <w:tcW w:w="1180"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29%</w:t>
            </w:r>
          </w:p>
        </w:tc>
        <w:tc>
          <w:tcPr>
            <w:tcW w:w="820"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524</w:t>
            </w:r>
          </w:p>
        </w:tc>
        <w:tc>
          <w:tcPr>
            <w:tcW w:w="820"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1008" w:type="dxa"/>
            <w:tcBorders>
              <w:top w:val="nil"/>
              <w:left w:val="nil"/>
              <w:bottom w:val="single" w:sz="4" w:space="0" w:color="auto"/>
              <w:right w:val="single" w:sz="8"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1 689</w:t>
            </w:r>
          </w:p>
        </w:tc>
      </w:tr>
      <w:tr w:rsidR="00A37553" w:rsidRPr="0031029A" w:rsidTr="00CE307D">
        <w:trPr>
          <w:trHeight w:val="20"/>
        </w:trPr>
        <w:tc>
          <w:tcPr>
            <w:tcW w:w="818" w:type="dxa"/>
            <w:tcBorders>
              <w:top w:val="nil"/>
              <w:left w:val="single" w:sz="4" w:space="0" w:color="auto"/>
              <w:bottom w:val="single" w:sz="4" w:space="0" w:color="auto"/>
              <w:right w:val="single" w:sz="4" w:space="0" w:color="auto"/>
            </w:tcBorders>
            <w:shd w:val="clear" w:color="000000" w:fill="FFFFFF"/>
            <w:vAlign w:val="center"/>
            <w:hideMark/>
          </w:tcPr>
          <w:p w:rsidR="00A37553" w:rsidRPr="0031029A" w:rsidRDefault="00A37553"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FA</w:t>
            </w:r>
          </w:p>
        </w:tc>
        <w:tc>
          <w:tcPr>
            <w:tcW w:w="826"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216</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11%</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10%</w:t>
            </w:r>
          </w:p>
        </w:tc>
        <w:tc>
          <w:tcPr>
            <w:tcW w:w="1293"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21%</w:t>
            </w:r>
          </w:p>
        </w:tc>
        <w:tc>
          <w:tcPr>
            <w:tcW w:w="1116"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160</w:t>
            </w:r>
          </w:p>
        </w:tc>
        <w:tc>
          <w:tcPr>
            <w:tcW w:w="1180"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w:t>
            </w:r>
          </w:p>
        </w:tc>
        <w:tc>
          <w:tcPr>
            <w:tcW w:w="820"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158</w:t>
            </w:r>
          </w:p>
        </w:tc>
        <w:tc>
          <w:tcPr>
            <w:tcW w:w="820"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188</w:t>
            </w:r>
          </w:p>
        </w:tc>
        <w:tc>
          <w:tcPr>
            <w:tcW w:w="1008" w:type="dxa"/>
            <w:tcBorders>
              <w:top w:val="nil"/>
              <w:left w:val="nil"/>
              <w:bottom w:val="single" w:sz="4" w:space="0" w:color="auto"/>
              <w:right w:val="single" w:sz="8"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722</w:t>
            </w:r>
          </w:p>
        </w:tc>
      </w:tr>
      <w:tr w:rsidR="00A37553" w:rsidRPr="0031029A" w:rsidTr="00CE307D">
        <w:trPr>
          <w:trHeight w:val="20"/>
        </w:trPr>
        <w:tc>
          <w:tcPr>
            <w:tcW w:w="818" w:type="dxa"/>
            <w:tcBorders>
              <w:top w:val="nil"/>
              <w:left w:val="single" w:sz="4" w:space="0" w:color="auto"/>
              <w:bottom w:val="single" w:sz="4" w:space="0" w:color="auto"/>
              <w:right w:val="single" w:sz="4" w:space="0" w:color="auto"/>
            </w:tcBorders>
            <w:shd w:val="clear" w:color="000000" w:fill="FFFFFF"/>
            <w:vAlign w:val="center"/>
            <w:hideMark/>
          </w:tcPr>
          <w:p w:rsidR="00A37553" w:rsidRPr="0031029A" w:rsidRDefault="00A37553"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MTF</w:t>
            </w:r>
          </w:p>
        </w:tc>
        <w:tc>
          <w:tcPr>
            <w:tcW w:w="82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684</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32%</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12%</w:t>
            </w:r>
          </w:p>
        </w:tc>
        <w:tc>
          <w:tcPr>
            <w:tcW w:w="1293"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44%</w:t>
            </w:r>
          </w:p>
        </w:tc>
        <w:tc>
          <w:tcPr>
            <w:tcW w:w="11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570</w:t>
            </w:r>
          </w:p>
        </w:tc>
        <w:tc>
          <w:tcPr>
            <w:tcW w:w="1180"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50%</w:t>
            </w:r>
          </w:p>
        </w:tc>
        <w:tc>
          <w:tcPr>
            <w:tcW w:w="820"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657</w:t>
            </w:r>
          </w:p>
        </w:tc>
        <w:tc>
          <w:tcPr>
            <w:tcW w:w="820"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1008" w:type="dxa"/>
            <w:tcBorders>
              <w:top w:val="nil"/>
              <w:left w:val="nil"/>
              <w:bottom w:val="single" w:sz="4" w:space="0" w:color="auto"/>
              <w:right w:val="single" w:sz="8"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1 911</w:t>
            </w:r>
          </w:p>
        </w:tc>
      </w:tr>
      <w:tr w:rsidR="00A37553" w:rsidRPr="0031029A" w:rsidTr="00CE307D">
        <w:trPr>
          <w:trHeight w:val="20"/>
        </w:trPr>
        <w:tc>
          <w:tcPr>
            <w:tcW w:w="818" w:type="dxa"/>
            <w:tcBorders>
              <w:top w:val="nil"/>
              <w:left w:val="single" w:sz="4" w:space="0" w:color="auto"/>
              <w:bottom w:val="single" w:sz="4" w:space="0" w:color="auto"/>
              <w:right w:val="single" w:sz="4" w:space="0" w:color="auto"/>
            </w:tcBorders>
            <w:shd w:val="clear" w:color="000000" w:fill="FFFFFF"/>
            <w:vAlign w:val="center"/>
            <w:hideMark/>
          </w:tcPr>
          <w:p w:rsidR="00A37553" w:rsidRPr="0031029A" w:rsidRDefault="00A37553"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FIIT</w:t>
            </w:r>
          </w:p>
        </w:tc>
        <w:tc>
          <w:tcPr>
            <w:tcW w:w="826"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436</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23%</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15%</w:t>
            </w:r>
          </w:p>
        </w:tc>
        <w:tc>
          <w:tcPr>
            <w:tcW w:w="1293"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38%</w:t>
            </w:r>
          </w:p>
        </w:tc>
        <w:tc>
          <w:tcPr>
            <w:tcW w:w="1116"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321</w:t>
            </w:r>
          </w:p>
        </w:tc>
        <w:tc>
          <w:tcPr>
            <w:tcW w:w="1180"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17%</w:t>
            </w:r>
          </w:p>
        </w:tc>
        <w:tc>
          <w:tcPr>
            <w:tcW w:w="820"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254</w:t>
            </w:r>
          </w:p>
        </w:tc>
        <w:tc>
          <w:tcPr>
            <w:tcW w:w="820"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1008" w:type="dxa"/>
            <w:tcBorders>
              <w:top w:val="nil"/>
              <w:left w:val="nil"/>
              <w:bottom w:val="single" w:sz="4" w:space="0" w:color="auto"/>
              <w:right w:val="single" w:sz="8"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1 011</w:t>
            </w:r>
          </w:p>
        </w:tc>
      </w:tr>
      <w:tr w:rsidR="00A37553" w:rsidRPr="0031029A" w:rsidTr="00CE307D">
        <w:trPr>
          <w:trHeight w:val="20"/>
        </w:trPr>
        <w:tc>
          <w:tcPr>
            <w:tcW w:w="818" w:type="dxa"/>
            <w:tcBorders>
              <w:top w:val="nil"/>
              <w:left w:val="single" w:sz="4" w:space="0" w:color="auto"/>
              <w:bottom w:val="single" w:sz="4" w:space="0" w:color="auto"/>
              <w:right w:val="single" w:sz="4" w:space="0" w:color="auto"/>
            </w:tcBorders>
            <w:shd w:val="clear" w:color="000000" w:fill="FFFFFF"/>
            <w:vAlign w:val="center"/>
            <w:hideMark/>
          </w:tcPr>
          <w:p w:rsidR="00A37553" w:rsidRPr="0031029A" w:rsidRDefault="00A37553"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ÚM</w:t>
            </w:r>
          </w:p>
        </w:tc>
        <w:tc>
          <w:tcPr>
            <w:tcW w:w="826"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43</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40%</w:t>
            </w:r>
          </w:p>
        </w:tc>
        <w:tc>
          <w:tcPr>
            <w:tcW w:w="816" w:type="dxa"/>
            <w:tcBorders>
              <w:top w:val="nil"/>
              <w:left w:val="nil"/>
              <w:bottom w:val="single" w:sz="4" w:space="0" w:color="auto"/>
              <w:right w:val="single" w:sz="4" w:space="0" w:color="auto"/>
            </w:tcBorders>
            <w:shd w:val="clear" w:color="auto" w:fill="auto"/>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19%</w:t>
            </w:r>
          </w:p>
        </w:tc>
        <w:tc>
          <w:tcPr>
            <w:tcW w:w="1293"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59%</w:t>
            </w:r>
          </w:p>
        </w:tc>
        <w:tc>
          <w:tcPr>
            <w:tcW w:w="1116"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23</w:t>
            </w:r>
          </w:p>
        </w:tc>
        <w:tc>
          <w:tcPr>
            <w:tcW w:w="1180"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20"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34</w:t>
            </w:r>
          </w:p>
        </w:tc>
        <w:tc>
          <w:tcPr>
            <w:tcW w:w="820" w:type="dxa"/>
            <w:tcBorders>
              <w:top w:val="nil"/>
              <w:left w:val="nil"/>
              <w:bottom w:val="single" w:sz="4" w:space="0" w:color="auto"/>
              <w:right w:val="single" w:sz="4"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1008" w:type="dxa"/>
            <w:tcBorders>
              <w:top w:val="nil"/>
              <w:left w:val="nil"/>
              <w:bottom w:val="single" w:sz="4" w:space="0" w:color="auto"/>
              <w:right w:val="single" w:sz="8" w:space="0" w:color="auto"/>
            </w:tcBorders>
            <w:shd w:val="clear" w:color="000000" w:fill="FFFFFF"/>
            <w:vAlign w:val="center"/>
            <w:hideMark/>
          </w:tcPr>
          <w:p w:rsidR="00A37553" w:rsidRPr="0031029A" w:rsidRDefault="00A37553"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100</w:t>
            </w:r>
          </w:p>
        </w:tc>
      </w:tr>
      <w:tr w:rsidR="00A37553" w:rsidRPr="0031029A" w:rsidTr="00CE307D">
        <w:trPr>
          <w:trHeight w:val="20"/>
        </w:trPr>
        <w:tc>
          <w:tcPr>
            <w:tcW w:w="81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STU</w:t>
            </w:r>
          </w:p>
        </w:tc>
        <w:tc>
          <w:tcPr>
            <w:tcW w:w="826"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3 719</w:t>
            </w:r>
          </w:p>
        </w:tc>
        <w:tc>
          <w:tcPr>
            <w:tcW w:w="816"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33%</w:t>
            </w:r>
          </w:p>
        </w:tc>
        <w:tc>
          <w:tcPr>
            <w:tcW w:w="816"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12%</w:t>
            </w:r>
          </w:p>
        </w:tc>
        <w:tc>
          <w:tcPr>
            <w:tcW w:w="1293"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45%</w:t>
            </w:r>
          </w:p>
        </w:tc>
        <w:tc>
          <w:tcPr>
            <w:tcW w:w="1116"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2 657</w:t>
            </w:r>
          </w:p>
        </w:tc>
        <w:tc>
          <w:tcPr>
            <w:tcW w:w="1180"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26%</w:t>
            </w:r>
          </w:p>
        </w:tc>
        <w:tc>
          <w:tcPr>
            <w:tcW w:w="820"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3 012</w:t>
            </w:r>
          </w:p>
        </w:tc>
        <w:tc>
          <w:tcPr>
            <w:tcW w:w="820" w:type="dxa"/>
            <w:tcBorders>
              <w:top w:val="nil"/>
              <w:left w:val="nil"/>
              <w:bottom w:val="single" w:sz="4" w:space="0" w:color="auto"/>
              <w:right w:val="single" w:sz="4"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541</w:t>
            </w:r>
          </w:p>
        </w:tc>
        <w:tc>
          <w:tcPr>
            <w:tcW w:w="1008" w:type="dxa"/>
            <w:tcBorders>
              <w:top w:val="nil"/>
              <w:left w:val="nil"/>
              <w:bottom w:val="single" w:sz="4" w:space="0" w:color="auto"/>
              <w:right w:val="single" w:sz="8" w:space="0" w:color="auto"/>
            </w:tcBorders>
            <w:shd w:val="clear" w:color="auto" w:fill="D9D9D9" w:themeFill="background1" w:themeFillShade="D9"/>
            <w:vAlign w:val="center"/>
            <w:hideMark/>
          </w:tcPr>
          <w:p w:rsidR="00A37553" w:rsidRPr="0031029A" w:rsidRDefault="00A37553"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9 929</w:t>
            </w:r>
          </w:p>
        </w:tc>
      </w:tr>
    </w:tbl>
    <w:p w:rsidR="00A37553" w:rsidRPr="0031029A" w:rsidRDefault="00A37553" w:rsidP="00A37553">
      <w:pP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Vysvetlivky: ∑</w:t>
      </w:r>
      <w:r w:rsidRPr="0031029A">
        <w:rPr>
          <w:rFonts w:asciiTheme="minorHAnsi" w:eastAsia="Times New Roman" w:hAnsiTheme="minorHAnsi" w:cs="Arial"/>
          <w:sz w:val="20"/>
          <w:szCs w:val="20"/>
          <w:vertAlign w:val="subscript"/>
          <w:lang w:eastAsia="sk-SK"/>
        </w:rPr>
        <w:t>Z</w:t>
      </w:r>
      <w:r w:rsidRPr="0031029A">
        <w:rPr>
          <w:rFonts w:asciiTheme="minorHAnsi" w:eastAsia="Times New Roman" w:hAnsiTheme="minorHAnsi" w:cs="Arial"/>
          <w:sz w:val="20"/>
          <w:szCs w:val="20"/>
          <w:lang w:eastAsia="sk-SK"/>
        </w:rPr>
        <w:t xml:space="preserve"> -  celkový počet zapísaných študentov na prvom stupni štúdia stav k 31. 10. 2014</w:t>
      </w:r>
    </w:p>
    <w:p w:rsidR="00B51749" w:rsidRPr="0031029A" w:rsidRDefault="00B51749" w:rsidP="00B51749">
      <w:pPr>
        <w:rPr>
          <w:rFonts w:asciiTheme="minorHAnsi" w:hAnsiTheme="minorHAnsi"/>
          <w:b/>
          <w:color w:val="FF0000"/>
          <w:sz w:val="20"/>
          <w:szCs w:val="20"/>
        </w:rPr>
      </w:pPr>
    </w:p>
    <w:p w:rsidR="00C20B10" w:rsidRPr="002D7A10" w:rsidRDefault="00C20B10" w:rsidP="00B51749">
      <w:pPr>
        <w:rPr>
          <w:rFonts w:asciiTheme="minorHAnsi" w:hAnsiTheme="minorHAnsi"/>
          <w:b/>
          <w:color w:val="FF0000"/>
        </w:rPr>
      </w:pPr>
    </w:p>
    <w:p w:rsidR="00B51749" w:rsidRPr="002D7A10" w:rsidRDefault="00B51749" w:rsidP="00B51749">
      <w:pPr>
        <w:pStyle w:val="Nadpis3"/>
        <w:rPr>
          <w:rFonts w:asciiTheme="minorHAnsi" w:hAnsiTheme="minorHAnsi"/>
          <w:color w:val="auto"/>
        </w:rPr>
      </w:pPr>
      <w:bookmarkStart w:id="9" w:name="_Toc448261552"/>
      <w:r w:rsidRPr="002D7A10">
        <w:rPr>
          <w:rFonts w:asciiTheme="minorHAnsi" w:hAnsiTheme="minorHAnsi"/>
          <w:color w:val="auto"/>
        </w:rPr>
        <w:t>Druhý stupeň štúdia - počet a úbytok študentov</w:t>
      </w:r>
      <w:bookmarkEnd w:id="9"/>
    </w:p>
    <w:p w:rsidR="00B51749" w:rsidRPr="002D7A10" w:rsidRDefault="00B51749" w:rsidP="00B51749">
      <w:pPr>
        <w:rPr>
          <w:rFonts w:asciiTheme="minorHAnsi" w:hAnsiTheme="minorHAnsi"/>
          <w:color w:val="FF0000"/>
          <w:lang w:eastAsia="cs-CZ"/>
        </w:rPr>
      </w:pPr>
    </w:p>
    <w:p w:rsidR="00F975F2" w:rsidRPr="002D7A10" w:rsidRDefault="00F975F2" w:rsidP="00F975F2">
      <w:pPr>
        <w:rPr>
          <w:rFonts w:asciiTheme="minorHAnsi" w:hAnsiTheme="minorHAnsi" w:cs="Calibri"/>
        </w:rPr>
      </w:pPr>
      <w:r w:rsidRPr="002D7A10">
        <w:rPr>
          <w:rFonts w:asciiTheme="minorHAnsi" w:hAnsiTheme="minorHAnsi" w:cs="Calibri"/>
        </w:rPr>
        <w:t xml:space="preserve">Celkový </w:t>
      </w:r>
      <w:r w:rsidRPr="002D7A10">
        <w:rPr>
          <w:rFonts w:asciiTheme="minorHAnsi" w:hAnsiTheme="minorHAnsi" w:cs="Calibri"/>
          <w:b/>
        </w:rPr>
        <w:t>počet zapísaných študentov na druhom stupni štúdia</w:t>
      </w:r>
      <w:r w:rsidRPr="002D7A10">
        <w:rPr>
          <w:rFonts w:asciiTheme="minorHAnsi" w:hAnsiTheme="minorHAnsi" w:cs="Calibri"/>
        </w:rPr>
        <w:t xml:space="preserve"> v dennej forme v akademickom roku 2014/2015 bol </w:t>
      </w:r>
      <w:r w:rsidRPr="002D7A10">
        <w:rPr>
          <w:rFonts w:asciiTheme="minorHAnsi" w:hAnsiTheme="minorHAnsi" w:cs="Calibri"/>
          <w:b/>
        </w:rPr>
        <w:t>4 239 študentov</w:t>
      </w:r>
      <w:r w:rsidR="009309F8" w:rsidRPr="002D7A10">
        <w:rPr>
          <w:rFonts w:asciiTheme="minorHAnsi" w:hAnsiTheme="minorHAnsi" w:cs="Calibri"/>
        </w:rPr>
        <w:t>. Z t</w:t>
      </w:r>
      <w:r w:rsidRPr="002D7A10">
        <w:rPr>
          <w:rFonts w:asciiTheme="minorHAnsi" w:hAnsiTheme="minorHAnsi" w:cs="Calibri"/>
        </w:rPr>
        <w:t xml:space="preserve">abuľky č. </w:t>
      </w:r>
      <w:r w:rsidR="009309F8" w:rsidRPr="002D7A10">
        <w:rPr>
          <w:rFonts w:asciiTheme="minorHAnsi" w:hAnsiTheme="minorHAnsi" w:cs="Calibri"/>
        </w:rPr>
        <w:t>3.</w:t>
      </w:r>
      <w:r w:rsidRPr="002D7A10">
        <w:rPr>
          <w:rFonts w:asciiTheme="minorHAnsi" w:hAnsiTheme="minorHAnsi" w:cs="Calibri"/>
        </w:rPr>
        <w:t xml:space="preserve">8 je vidieť, že úbytok študentov nie je veľmi výrazný. Dôvody úbytku sú hlavne v osobnej rovine študentov (napr. nájdenie si zamestnania). Ďalším faktom je, že vzťah k štúdiu </w:t>
      </w:r>
      <w:r w:rsidRPr="002D7A10">
        <w:rPr>
          <w:rFonts w:asciiTheme="minorHAnsi" w:hAnsiTheme="minorHAnsi" w:cs="Calibri"/>
        </w:rPr>
        <w:lastRenderedPageBreak/>
        <w:t>a  motivácia úspešne skončiť štúdium je u študentov druhého stupňa vyššia ako u študentov prvého stupňa štúdia.</w:t>
      </w:r>
    </w:p>
    <w:p w:rsidR="00F975F2" w:rsidRPr="002D7A10" w:rsidRDefault="00F975F2" w:rsidP="00F975F2">
      <w:pPr>
        <w:rPr>
          <w:rFonts w:asciiTheme="minorHAnsi" w:hAnsiTheme="minorHAnsi" w:cs="Calibri"/>
        </w:rPr>
      </w:pPr>
      <w:r w:rsidRPr="002D7A10">
        <w:rPr>
          <w:rFonts w:asciiTheme="minorHAnsi" w:hAnsiTheme="minorHAnsi" w:cs="Calibri"/>
        </w:rPr>
        <w:t xml:space="preserve">Externá forma štúdia nebola v akad. roku 2014/2015 na druhom stupni realizovaná. </w:t>
      </w:r>
    </w:p>
    <w:p w:rsidR="00F975F2" w:rsidRPr="002D7A10" w:rsidRDefault="00F975F2" w:rsidP="00F975F2">
      <w:pPr>
        <w:rPr>
          <w:rFonts w:asciiTheme="minorHAnsi" w:hAnsiTheme="minorHAnsi" w:cs="Calibri"/>
        </w:rPr>
      </w:pPr>
    </w:p>
    <w:p w:rsidR="00F975F2" w:rsidRPr="0031029A" w:rsidRDefault="00F975F2" w:rsidP="00F975F2">
      <w:pPr>
        <w:rPr>
          <w:rFonts w:asciiTheme="minorHAnsi" w:hAnsiTheme="minorHAnsi" w:cs="Calibri"/>
          <w:b/>
          <w:sz w:val="20"/>
          <w:szCs w:val="20"/>
        </w:rPr>
      </w:pPr>
      <w:r w:rsidRPr="0031029A">
        <w:rPr>
          <w:rFonts w:asciiTheme="minorHAnsi" w:hAnsiTheme="minorHAnsi" w:cs="Calibri"/>
          <w:b/>
          <w:sz w:val="20"/>
          <w:szCs w:val="20"/>
        </w:rPr>
        <w:t xml:space="preserve">Tabuľka č. </w:t>
      </w:r>
      <w:r w:rsidR="009309F8" w:rsidRPr="0031029A">
        <w:rPr>
          <w:rFonts w:asciiTheme="minorHAnsi" w:hAnsiTheme="minorHAnsi" w:cs="Calibri"/>
          <w:b/>
          <w:sz w:val="20"/>
          <w:szCs w:val="20"/>
        </w:rPr>
        <w:t>3.</w:t>
      </w:r>
      <w:r w:rsidRPr="0031029A">
        <w:rPr>
          <w:rFonts w:asciiTheme="minorHAnsi" w:hAnsiTheme="minorHAnsi" w:cs="Calibri"/>
          <w:b/>
          <w:sz w:val="20"/>
          <w:szCs w:val="20"/>
        </w:rPr>
        <w:t>8: Počet a úbytok študentov druhého stupňa štúdia v dennej forme  v akad. roku 2014/2015</w:t>
      </w:r>
    </w:p>
    <w:tbl>
      <w:tblPr>
        <w:tblW w:w="8237" w:type="dxa"/>
        <w:tblInd w:w="55" w:type="dxa"/>
        <w:tblCellMar>
          <w:left w:w="70" w:type="dxa"/>
          <w:right w:w="70" w:type="dxa"/>
        </w:tblCellMar>
        <w:tblLook w:val="04A0" w:firstRow="1" w:lastRow="0" w:firstColumn="1" w:lastColumn="0" w:noHBand="0" w:noVBand="1"/>
      </w:tblPr>
      <w:tblGrid>
        <w:gridCol w:w="960"/>
        <w:gridCol w:w="980"/>
        <w:gridCol w:w="1463"/>
        <w:gridCol w:w="1148"/>
        <w:gridCol w:w="1418"/>
        <w:gridCol w:w="1134"/>
        <w:gridCol w:w="1134"/>
      </w:tblGrid>
      <w:tr w:rsidR="00F975F2" w:rsidRPr="0031029A" w:rsidTr="00CE307D">
        <w:trPr>
          <w:trHeight w:val="2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 </w:t>
            </w:r>
          </w:p>
        </w:tc>
        <w:tc>
          <w:tcPr>
            <w:tcW w:w="2443" w:type="dxa"/>
            <w:gridSpan w:val="2"/>
            <w:tcBorders>
              <w:top w:val="single" w:sz="4" w:space="0" w:color="auto"/>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1. ročník</w:t>
            </w:r>
          </w:p>
        </w:tc>
        <w:tc>
          <w:tcPr>
            <w:tcW w:w="2566" w:type="dxa"/>
            <w:gridSpan w:val="2"/>
            <w:tcBorders>
              <w:top w:val="single" w:sz="4" w:space="0" w:color="auto"/>
              <w:left w:val="nil"/>
              <w:bottom w:val="single" w:sz="4" w:space="0" w:color="auto"/>
              <w:right w:val="single" w:sz="4" w:space="0" w:color="000000"/>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2. ročník</w:t>
            </w:r>
          </w:p>
        </w:tc>
        <w:tc>
          <w:tcPr>
            <w:tcW w:w="1134" w:type="dxa"/>
            <w:vMerge w:val="restart"/>
            <w:tcBorders>
              <w:top w:val="single" w:sz="4" w:space="0" w:color="auto"/>
              <w:left w:val="single" w:sz="4" w:space="0" w:color="auto"/>
              <w:right w:val="single" w:sz="4" w:space="0" w:color="auto"/>
            </w:tcBorders>
            <w:shd w:val="clear" w:color="000000" w:fill="FFFFFF"/>
            <w:vAlign w:val="center"/>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3. ročník</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w:t>
            </w:r>
            <w:r w:rsidRPr="0031029A">
              <w:rPr>
                <w:rFonts w:asciiTheme="minorHAnsi" w:eastAsia="Times New Roman" w:hAnsiTheme="minorHAnsi" w:cs="Arial"/>
                <w:b/>
                <w:bCs/>
                <w:sz w:val="20"/>
                <w:szCs w:val="20"/>
                <w:vertAlign w:val="subscript"/>
                <w:lang w:eastAsia="sk-SK"/>
              </w:rPr>
              <w:t>Z</w:t>
            </w:r>
          </w:p>
        </w:tc>
      </w:tr>
      <w:tr w:rsidR="00F975F2" w:rsidRPr="0031029A" w:rsidTr="00CE307D">
        <w:trPr>
          <w:trHeight w:val="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Fakulta</w:t>
            </w:r>
          </w:p>
        </w:tc>
        <w:tc>
          <w:tcPr>
            <w:tcW w:w="980"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 xml:space="preserve">zapísaní </w:t>
            </w:r>
          </w:p>
        </w:tc>
        <w:tc>
          <w:tcPr>
            <w:tcW w:w="1463"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 xml:space="preserve">z toho úbytok po 1. roč. </w:t>
            </w:r>
          </w:p>
        </w:tc>
        <w:tc>
          <w:tcPr>
            <w:tcW w:w="1148"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 xml:space="preserve">zapísaní </w:t>
            </w:r>
          </w:p>
        </w:tc>
        <w:tc>
          <w:tcPr>
            <w:tcW w:w="1418"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z toho úbytok po 2. roč.</w:t>
            </w:r>
          </w:p>
        </w:tc>
        <w:tc>
          <w:tcPr>
            <w:tcW w:w="1134" w:type="dxa"/>
            <w:vMerge/>
            <w:tcBorders>
              <w:left w:val="single" w:sz="4" w:space="0" w:color="auto"/>
              <w:bottom w:val="single" w:sz="4" w:space="0" w:color="auto"/>
              <w:right w:val="single" w:sz="4" w:space="0" w:color="auto"/>
            </w:tcBorders>
          </w:tcPr>
          <w:p w:rsidR="00F975F2" w:rsidRPr="0031029A" w:rsidRDefault="00F975F2" w:rsidP="00CE307D">
            <w:pPr>
              <w:rPr>
                <w:rFonts w:asciiTheme="minorHAnsi" w:eastAsia="Times New Roman" w:hAnsiTheme="minorHAnsi" w:cs="Arial"/>
                <w:b/>
                <w:bCs/>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75F2" w:rsidRPr="0031029A" w:rsidRDefault="00F975F2" w:rsidP="00CE307D">
            <w:pPr>
              <w:rPr>
                <w:rFonts w:asciiTheme="minorHAnsi" w:eastAsia="Times New Roman" w:hAnsiTheme="minorHAnsi" w:cs="Arial"/>
                <w:b/>
                <w:bCs/>
                <w:sz w:val="20"/>
                <w:szCs w:val="20"/>
                <w:lang w:eastAsia="sk-SK"/>
              </w:rPr>
            </w:pPr>
          </w:p>
        </w:tc>
      </w:tr>
      <w:tr w:rsidR="00F975F2" w:rsidRPr="0031029A" w:rsidTr="00CE307D">
        <w:trPr>
          <w:trHeight w:val="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SvF</w:t>
            </w:r>
          </w:p>
        </w:tc>
        <w:tc>
          <w:tcPr>
            <w:tcW w:w="980"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480</w:t>
            </w:r>
          </w:p>
        </w:tc>
        <w:tc>
          <w:tcPr>
            <w:tcW w:w="1463"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w:t>
            </w:r>
          </w:p>
        </w:tc>
        <w:tc>
          <w:tcPr>
            <w:tcW w:w="1148"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588</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w:t>
            </w:r>
          </w:p>
        </w:tc>
        <w:tc>
          <w:tcPr>
            <w:tcW w:w="1134" w:type="dxa"/>
            <w:tcBorders>
              <w:top w:val="single" w:sz="4" w:space="0" w:color="auto"/>
              <w:left w:val="nil"/>
              <w:bottom w:val="single" w:sz="4" w:space="0" w:color="auto"/>
              <w:right w:val="single" w:sz="4" w:space="0" w:color="auto"/>
            </w:tcBorders>
            <w:shd w:val="clear" w:color="000000" w:fill="FFFFFF"/>
          </w:tcPr>
          <w:p w:rsidR="00F975F2" w:rsidRPr="0031029A" w:rsidRDefault="00F975F2" w:rsidP="00CE307D">
            <w:pPr>
              <w:jc w:val="center"/>
              <w:rPr>
                <w:rFonts w:asciiTheme="minorHAnsi" w:eastAsia="Times New Roman" w:hAnsiTheme="minorHAnsi" w:cs="Arial"/>
                <w:bCs/>
                <w:sz w:val="20"/>
                <w:szCs w:val="20"/>
                <w:lang w:eastAsia="sk-SK"/>
              </w:rPr>
            </w:pPr>
            <w:r w:rsidRPr="0031029A">
              <w:rPr>
                <w:rFonts w:asciiTheme="minorHAnsi" w:eastAsia="Times New Roman" w:hAnsiTheme="minorHAnsi" w:cs="Arial"/>
                <w:bCs/>
                <w:sz w:val="20"/>
                <w:szCs w:val="20"/>
                <w:lang w:eastAsia="sk-SK"/>
              </w:rPr>
              <w:t>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1 068</w:t>
            </w:r>
          </w:p>
        </w:tc>
      </w:tr>
      <w:tr w:rsidR="00F975F2" w:rsidRPr="0031029A" w:rsidTr="00CE307D">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SjF</w:t>
            </w:r>
          </w:p>
        </w:tc>
        <w:tc>
          <w:tcPr>
            <w:tcW w:w="980"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222</w:t>
            </w:r>
          </w:p>
        </w:tc>
        <w:tc>
          <w:tcPr>
            <w:tcW w:w="1463"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c>
          <w:tcPr>
            <w:tcW w:w="1148"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246</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6%</w:t>
            </w:r>
          </w:p>
        </w:tc>
        <w:tc>
          <w:tcPr>
            <w:tcW w:w="1134" w:type="dxa"/>
            <w:tcBorders>
              <w:top w:val="single" w:sz="4" w:space="0" w:color="auto"/>
              <w:left w:val="nil"/>
              <w:bottom w:val="single" w:sz="4" w:space="0" w:color="auto"/>
              <w:right w:val="single" w:sz="4" w:space="0" w:color="auto"/>
            </w:tcBorders>
          </w:tcPr>
          <w:p w:rsidR="00F975F2" w:rsidRPr="0031029A" w:rsidRDefault="00F975F2" w:rsidP="00CE307D">
            <w:pPr>
              <w:jc w:val="center"/>
              <w:rPr>
                <w:rFonts w:asciiTheme="minorHAnsi" w:eastAsia="Times New Roman" w:hAnsiTheme="minorHAnsi" w:cs="Arial"/>
                <w:bCs/>
                <w:sz w:val="20"/>
                <w:szCs w:val="20"/>
                <w:lang w:eastAsia="sk-SK"/>
              </w:rPr>
            </w:pPr>
            <w:r w:rsidRPr="0031029A">
              <w:rPr>
                <w:rFonts w:asciiTheme="minorHAnsi" w:eastAsia="Times New Roman" w:hAnsiTheme="minorHAnsi" w:cs="Arial"/>
                <w:bCs/>
                <w:sz w:val="20"/>
                <w:szCs w:val="20"/>
                <w:lang w:eastAsia="sk-SK"/>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468</w:t>
            </w:r>
          </w:p>
        </w:tc>
      </w:tr>
      <w:tr w:rsidR="00F975F2" w:rsidRPr="0031029A" w:rsidTr="00CE307D">
        <w:trPr>
          <w:trHeight w:val="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FEI</w:t>
            </w:r>
          </w:p>
        </w:tc>
        <w:tc>
          <w:tcPr>
            <w:tcW w:w="980"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246</w:t>
            </w:r>
          </w:p>
        </w:tc>
        <w:tc>
          <w:tcPr>
            <w:tcW w:w="1463"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w:t>
            </w:r>
          </w:p>
        </w:tc>
        <w:tc>
          <w:tcPr>
            <w:tcW w:w="1148"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315</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w:t>
            </w:r>
          </w:p>
        </w:tc>
        <w:tc>
          <w:tcPr>
            <w:tcW w:w="1134" w:type="dxa"/>
            <w:tcBorders>
              <w:top w:val="single" w:sz="4" w:space="0" w:color="auto"/>
              <w:left w:val="nil"/>
              <w:bottom w:val="single" w:sz="4" w:space="0" w:color="auto"/>
              <w:right w:val="single" w:sz="4" w:space="0" w:color="auto"/>
            </w:tcBorders>
            <w:shd w:val="clear" w:color="000000" w:fill="FFFFFF"/>
          </w:tcPr>
          <w:p w:rsidR="00F975F2" w:rsidRPr="0031029A" w:rsidRDefault="00F975F2" w:rsidP="00CE307D">
            <w:pPr>
              <w:jc w:val="center"/>
              <w:rPr>
                <w:rFonts w:asciiTheme="minorHAnsi" w:eastAsia="Times New Roman" w:hAnsiTheme="minorHAnsi" w:cs="Arial"/>
                <w:bCs/>
                <w:sz w:val="20"/>
                <w:szCs w:val="20"/>
                <w:lang w:eastAsia="sk-SK"/>
              </w:rPr>
            </w:pPr>
            <w:r w:rsidRPr="0031029A">
              <w:rPr>
                <w:rFonts w:asciiTheme="minorHAnsi" w:eastAsia="Times New Roman" w:hAnsiTheme="minorHAnsi" w:cs="Arial"/>
                <w:bCs/>
                <w:sz w:val="20"/>
                <w:szCs w:val="20"/>
                <w:lang w:eastAsia="sk-SK"/>
              </w:rPr>
              <w:t>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561</w:t>
            </w:r>
          </w:p>
        </w:tc>
      </w:tr>
      <w:tr w:rsidR="00F975F2" w:rsidRPr="0031029A" w:rsidTr="00CE307D">
        <w:trPr>
          <w:trHeight w:val="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FCHPT</w:t>
            </w:r>
          </w:p>
        </w:tc>
        <w:tc>
          <w:tcPr>
            <w:tcW w:w="980"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211</w:t>
            </w:r>
          </w:p>
        </w:tc>
        <w:tc>
          <w:tcPr>
            <w:tcW w:w="1463"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w:t>
            </w:r>
          </w:p>
        </w:tc>
        <w:tc>
          <w:tcPr>
            <w:tcW w:w="1148"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200</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1134" w:type="dxa"/>
            <w:tcBorders>
              <w:top w:val="single" w:sz="4" w:space="0" w:color="auto"/>
              <w:left w:val="nil"/>
              <w:bottom w:val="single" w:sz="4" w:space="0" w:color="auto"/>
              <w:right w:val="single" w:sz="4" w:space="0" w:color="auto"/>
            </w:tcBorders>
            <w:shd w:val="clear" w:color="000000" w:fill="FFFFFF"/>
          </w:tcPr>
          <w:p w:rsidR="00F975F2" w:rsidRPr="0031029A" w:rsidRDefault="00F975F2" w:rsidP="00CE307D">
            <w:pPr>
              <w:jc w:val="center"/>
              <w:rPr>
                <w:rFonts w:asciiTheme="minorHAnsi" w:eastAsia="Times New Roman" w:hAnsiTheme="minorHAnsi" w:cs="Arial"/>
                <w:bCs/>
                <w:sz w:val="20"/>
                <w:szCs w:val="20"/>
                <w:lang w:eastAsia="sk-SK"/>
              </w:rPr>
            </w:pPr>
            <w:r w:rsidRPr="0031029A">
              <w:rPr>
                <w:rFonts w:asciiTheme="minorHAnsi" w:eastAsia="Times New Roman" w:hAnsiTheme="minorHAnsi" w:cs="Arial"/>
                <w:bCs/>
                <w:sz w:val="20"/>
                <w:szCs w:val="20"/>
                <w:lang w:eastAsia="sk-SK"/>
              </w:rPr>
              <w:t>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411</w:t>
            </w:r>
          </w:p>
        </w:tc>
      </w:tr>
      <w:tr w:rsidR="00F975F2" w:rsidRPr="0031029A" w:rsidTr="00CE307D">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FA</w:t>
            </w:r>
          </w:p>
        </w:tc>
        <w:tc>
          <w:tcPr>
            <w:tcW w:w="980"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187</w:t>
            </w:r>
          </w:p>
        </w:tc>
        <w:tc>
          <w:tcPr>
            <w:tcW w:w="1463"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c>
          <w:tcPr>
            <w:tcW w:w="1148"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187</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1134" w:type="dxa"/>
            <w:tcBorders>
              <w:top w:val="single" w:sz="4" w:space="0" w:color="auto"/>
              <w:left w:val="nil"/>
              <w:bottom w:val="single" w:sz="4" w:space="0" w:color="auto"/>
              <w:right w:val="single" w:sz="4" w:space="0" w:color="auto"/>
            </w:tcBorders>
            <w:shd w:val="clear" w:color="000000" w:fill="FFFFFF"/>
          </w:tcPr>
          <w:p w:rsidR="00F975F2" w:rsidRPr="0031029A" w:rsidRDefault="00F975F2" w:rsidP="00CE307D">
            <w:pPr>
              <w:jc w:val="center"/>
              <w:rPr>
                <w:rFonts w:asciiTheme="minorHAnsi" w:eastAsia="Times New Roman" w:hAnsiTheme="minorHAnsi" w:cs="Arial"/>
                <w:bCs/>
                <w:sz w:val="20"/>
                <w:szCs w:val="20"/>
                <w:lang w:eastAsia="sk-SK"/>
              </w:rPr>
            </w:pPr>
            <w:r w:rsidRPr="0031029A">
              <w:rPr>
                <w:rFonts w:asciiTheme="minorHAnsi" w:eastAsia="Times New Roman" w:hAnsiTheme="minorHAnsi" w:cs="Arial"/>
                <w:bCs/>
                <w:sz w:val="20"/>
                <w:szCs w:val="20"/>
                <w:lang w:eastAsia="sk-SK"/>
              </w:rPr>
              <w:t>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374</w:t>
            </w:r>
          </w:p>
        </w:tc>
      </w:tr>
      <w:tr w:rsidR="00F975F2" w:rsidRPr="0031029A" w:rsidTr="00CE307D">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MTF</w:t>
            </w:r>
          </w:p>
        </w:tc>
        <w:tc>
          <w:tcPr>
            <w:tcW w:w="980"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487</w:t>
            </w:r>
          </w:p>
        </w:tc>
        <w:tc>
          <w:tcPr>
            <w:tcW w:w="1463"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9%</w:t>
            </w:r>
          </w:p>
        </w:tc>
        <w:tc>
          <w:tcPr>
            <w:tcW w:w="1148"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522</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8%</w:t>
            </w:r>
          </w:p>
        </w:tc>
        <w:tc>
          <w:tcPr>
            <w:tcW w:w="1134" w:type="dxa"/>
            <w:tcBorders>
              <w:top w:val="single" w:sz="4" w:space="0" w:color="auto"/>
              <w:left w:val="nil"/>
              <w:bottom w:val="single" w:sz="4" w:space="0" w:color="auto"/>
              <w:right w:val="single" w:sz="4" w:space="0" w:color="auto"/>
            </w:tcBorders>
          </w:tcPr>
          <w:p w:rsidR="00F975F2" w:rsidRPr="0031029A" w:rsidRDefault="00F975F2" w:rsidP="00CE307D">
            <w:pPr>
              <w:jc w:val="center"/>
              <w:rPr>
                <w:rFonts w:asciiTheme="minorHAnsi" w:eastAsia="Times New Roman" w:hAnsiTheme="minorHAnsi" w:cs="Arial"/>
                <w:bCs/>
                <w:sz w:val="20"/>
                <w:szCs w:val="20"/>
                <w:lang w:eastAsia="sk-SK"/>
              </w:rPr>
            </w:pPr>
            <w:r w:rsidRPr="0031029A">
              <w:rPr>
                <w:rFonts w:asciiTheme="minorHAnsi" w:eastAsia="Times New Roman" w:hAnsiTheme="minorHAnsi" w:cs="Arial"/>
                <w:bCs/>
                <w:sz w:val="20"/>
                <w:szCs w:val="20"/>
                <w:lang w:eastAsia="sk-SK"/>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1 009</w:t>
            </w:r>
          </w:p>
        </w:tc>
      </w:tr>
      <w:tr w:rsidR="00F975F2" w:rsidRPr="0031029A" w:rsidTr="00CE307D">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FIIT</w:t>
            </w:r>
          </w:p>
        </w:tc>
        <w:tc>
          <w:tcPr>
            <w:tcW w:w="980"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153</w:t>
            </w:r>
          </w:p>
        </w:tc>
        <w:tc>
          <w:tcPr>
            <w:tcW w:w="1463"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7%</w:t>
            </w:r>
          </w:p>
        </w:tc>
        <w:tc>
          <w:tcPr>
            <w:tcW w:w="1148"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142</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12%</w:t>
            </w:r>
          </w:p>
        </w:tc>
        <w:tc>
          <w:tcPr>
            <w:tcW w:w="1134" w:type="dxa"/>
            <w:tcBorders>
              <w:top w:val="single" w:sz="4" w:space="0" w:color="auto"/>
              <w:left w:val="nil"/>
              <w:bottom w:val="single" w:sz="4" w:space="0" w:color="auto"/>
              <w:right w:val="single" w:sz="4" w:space="0" w:color="auto"/>
            </w:tcBorders>
          </w:tcPr>
          <w:p w:rsidR="00F975F2" w:rsidRPr="0031029A" w:rsidRDefault="00F975F2" w:rsidP="00CE307D">
            <w:pPr>
              <w:jc w:val="center"/>
              <w:rPr>
                <w:rFonts w:asciiTheme="minorHAnsi" w:eastAsia="Times New Roman" w:hAnsiTheme="minorHAnsi" w:cs="Arial"/>
                <w:bCs/>
                <w:sz w:val="20"/>
                <w:szCs w:val="20"/>
                <w:lang w:eastAsia="sk-SK"/>
              </w:rPr>
            </w:pPr>
            <w:r w:rsidRPr="0031029A">
              <w:rPr>
                <w:rFonts w:asciiTheme="minorHAnsi" w:eastAsia="Times New Roman" w:hAnsiTheme="minorHAnsi" w:cs="Arial"/>
                <w:bCs/>
                <w:sz w:val="20"/>
                <w:szCs w:val="20"/>
                <w:lang w:eastAsia="sk-SK"/>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296</w:t>
            </w:r>
          </w:p>
        </w:tc>
      </w:tr>
      <w:tr w:rsidR="00F975F2" w:rsidRPr="0031029A" w:rsidTr="00CE307D">
        <w:trPr>
          <w:trHeight w:val="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ÚM</w:t>
            </w:r>
          </w:p>
        </w:tc>
        <w:tc>
          <w:tcPr>
            <w:tcW w:w="980"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28</w:t>
            </w:r>
          </w:p>
        </w:tc>
        <w:tc>
          <w:tcPr>
            <w:tcW w:w="1463"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w:t>
            </w:r>
          </w:p>
        </w:tc>
        <w:tc>
          <w:tcPr>
            <w:tcW w:w="1148"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24</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8%</w:t>
            </w:r>
          </w:p>
        </w:tc>
        <w:tc>
          <w:tcPr>
            <w:tcW w:w="1134" w:type="dxa"/>
            <w:tcBorders>
              <w:top w:val="single" w:sz="4" w:space="0" w:color="auto"/>
              <w:left w:val="nil"/>
              <w:bottom w:val="single" w:sz="4" w:space="0" w:color="auto"/>
              <w:right w:val="single" w:sz="4" w:space="0" w:color="auto"/>
            </w:tcBorders>
            <w:shd w:val="clear" w:color="000000" w:fill="FFFFFF"/>
          </w:tcPr>
          <w:p w:rsidR="00F975F2" w:rsidRPr="0031029A" w:rsidRDefault="00F975F2" w:rsidP="00CE307D">
            <w:pPr>
              <w:jc w:val="center"/>
              <w:rPr>
                <w:rFonts w:asciiTheme="minorHAnsi" w:eastAsia="Times New Roman" w:hAnsiTheme="minorHAnsi" w:cs="Arial"/>
                <w:bCs/>
                <w:sz w:val="20"/>
                <w:szCs w:val="20"/>
                <w:lang w:eastAsia="sk-SK"/>
              </w:rPr>
            </w:pPr>
            <w:r w:rsidRPr="0031029A">
              <w:rPr>
                <w:rFonts w:asciiTheme="minorHAnsi" w:eastAsia="Times New Roman" w:hAnsiTheme="minorHAnsi" w:cs="Arial"/>
                <w:bCs/>
                <w:sz w:val="20"/>
                <w:szCs w:val="20"/>
                <w:lang w:eastAsia="sk-SK"/>
              </w:rPr>
              <w:t>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52</w:t>
            </w:r>
          </w:p>
        </w:tc>
      </w:tr>
      <w:tr w:rsidR="00F975F2" w:rsidRPr="0031029A" w:rsidTr="00CE307D">
        <w:trPr>
          <w:trHeight w:val="20"/>
        </w:trPr>
        <w:tc>
          <w:tcPr>
            <w:tcW w:w="9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STU</w:t>
            </w:r>
          </w:p>
        </w:tc>
        <w:tc>
          <w:tcPr>
            <w:tcW w:w="980"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2 014</w:t>
            </w:r>
          </w:p>
        </w:tc>
        <w:tc>
          <w:tcPr>
            <w:tcW w:w="1463"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5%</w:t>
            </w:r>
          </w:p>
        </w:tc>
        <w:tc>
          <w:tcPr>
            <w:tcW w:w="1148"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2 224</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F975F2" w:rsidRPr="0031029A" w:rsidRDefault="00F975F2" w:rsidP="00CE307D">
            <w:pPr>
              <w:jc w:val="center"/>
              <w:rPr>
                <w:rFonts w:asciiTheme="minorHAnsi" w:eastAsia="Times New Roman" w:hAnsiTheme="minorHAnsi" w:cs="Arial"/>
                <w:bCs/>
                <w:sz w:val="20"/>
                <w:szCs w:val="20"/>
                <w:lang w:eastAsia="sk-SK"/>
              </w:rPr>
            </w:pPr>
            <w:r w:rsidRPr="0031029A">
              <w:rPr>
                <w:rFonts w:asciiTheme="minorHAnsi" w:eastAsia="Times New Roman" w:hAnsiTheme="minorHAnsi" w:cs="Arial"/>
                <w:bCs/>
                <w:sz w:val="20"/>
                <w:szCs w:val="20"/>
                <w:lang w:eastAsia="sk-SK"/>
              </w:rPr>
              <w:t>1</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4 239</w:t>
            </w:r>
          </w:p>
        </w:tc>
      </w:tr>
    </w:tbl>
    <w:p w:rsidR="00F975F2" w:rsidRPr="0031029A" w:rsidRDefault="00F975F2" w:rsidP="00F975F2">
      <w:pP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Vysvetlivky: ∑</w:t>
      </w:r>
      <w:r w:rsidRPr="0031029A">
        <w:rPr>
          <w:rFonts w:asciiTheme="minorHAnsi" w:eastAsia="Times New Roman" w:hAnsiTheme="minorHAnsi" w:cs="Arial"/>
          <w:sz w:val="20"/>
          <w:szCs w:val="20"/>
          <w:vertAlign w:val="subscript"/>
          <w:lang w:eastAsia="sk-SK"/>
        </w:rPr>
        <w:t xml:space="preserve">Z </w:t>
      </w:r>
      <w:r w:rsidRPr="0031029A">
        <w:rPr>
          <w:rFonts w:asciiTheme="minorHAnsi" w:eastAsia="Times New Roman" w:hAnsiTheme="minorHAnsi" w:cs="Arial"/>
          <w:sz w:val="20"/>
          <w:szCs w:val="20"/>
          <w:lang w:eastAsia="sk-SK"/>
        </w:rPr>
        <w:t>-  celkový počet zapísaných študentov na druhom stupni štúdia stav k 31. 10. 2014</w:t>
      </w:r>
    </w:p>
    <w:p w:rsidR="00550C14" w:rsidRDefault="00550C14" w:rsidP="00F975F2">
      <w:pPr>
        <w:rPr>
          <w:rFonts w:asciiTheme="minorHAnsi" w:hAnsiTheme="minorHAnsi" w:cs="Calibri"/>
        </w:rPr>
      </w:pPr>
    </w:p>
    <w:p w:rsidR="0032657C" w:rsidRPr="002D7A10" w:rsidRDefault="0032657C" w:rsidP="00F975F2">
      <w:pPr>
        <w:rPr>
          <w:rFonts w:asciiTheme="minorHAnsi" w:hAnsiTheme="minorHAnsi" w:cs="Calibri"/>
        </w:rPr>
      </w:pPr>
    </w:p>
    <w:p w:rsidR="00B51749" w:rsidRPr="002D7A10" w:rsidRDefault="00B51749" w:rsidP="00B51749">
      <w:pPr>
        <w:pStyle w:val="Nadpis3"/>
        <w:rPr>
          <w:rFonts w:asciiTheme="minorHAnsi" w:hAnsiTheme="minorHAnsi"/>
          <w:color w:val="auto"/>
        </w:rPr>
      </w:pPr>
      <w:bookmarkStart w:id="10" w:name="_Toc448261553"/>
      <w:r w:rsidRPr="002D7A10">
        <w:rPr>
          <w:rFonts w:asciiTheme="minorHAnsi" w:hAnsiTheme="minorHAnsi"/>
          <w:color w:val="auto"/>
        </w:rPr>
        <w:t>Tretí stupeň štúdia – počet a úbytok študentov</w:t>
      </w:r>
      <w:bookmarkEnd w:id="10"/>
    </w:p>
    <w:p w:rsidR="00B51749" w:rsidRPr="002D7A10" w:rsidRDefault="00B51749" w:rsidP="00B51749">
      <w:pPr>
        <w:rPr>
          <w:rFonts w:asciiTheme="minorHAnsi" w:hAnsiTheme="minorHAnsi"/>
          <w:b/>
          <w:color w:val="FF0000"/>
        </w:rPr>
      </w:pPr>
    </w:p>
    <w:p w:rsidR="00550C14" w:rsidRDefault="00F975F2" w:rsidP="00C20B10">
      <w:pPr>
        <w:rPr>
          <w:rFonts w:asciiTheme="minorHAnsi" w:hAnsiTheme="minorHAnsi" w:cs="Calibri"/>
        </w:rPr>
      </w:pPr>
      <w:r w:rsidRPr="002D7A10">
        <w:rPr>
          <w:rFonts w:asciiTheme="minorHAnsi" w:hAnsiTheme="minorHAnsi" w:cs="Calibri"/>
        </w:rPr>
        <w:t xml:space="preserve">Celkový </w:t>
      </w:r>
      <w:r w:rsidRPr="002D7A10">
        <w:rPr>
          <w:rFonts w:asciiTheme="minorHAnsi" w:hAnsiTheme="minorHAnsi" w:cs="Calibri"/>
          <w:b/>
        </w:rPr>
        <w:t>počet zapísaných študentov na treťom stupni štúdia</w:t>
      </w:r>
      <w:r w:rsidRPr="002D7A10">
        <w:rPr>
          <w:rFonts w:asciiTheme="minorHAnsi" w:hAnsiTheme="minorHAnsi" w:cs="Calibri"/>
        </w:rPr>
        <w:t xml:space="preserve"> v dennej forme a externej forme v akademickom roku 2014/2015 bol </w:t>
      </w:r>
      <w:r w:rsidRPr="002D7A10">
        <w:rPr>
          <w:rFonts w:asciiTheme="minorHAnsi" w:hAnsiTheme="minorHAnsi" w:cs="Calibri"/>
          <w:b/>
        </w:rPr>
        <w:t xml:space="preserve">1 228 študentov </w:t>
      </w:r>
      <w:r w:rsidRPr="002D7A10">
        <w:rPr>
          <w:rFonts w:asciiTheme="minorHAnsi" w:hAnsiTheme="minorHAnsi" w:cs="Calibri"/>
        </w:rPr>
        <w:t xml:space="preserve">(spolu STU a EVI). Úbytky študentov počas štúdia sú minimálne a v tabuľkách </w:t>
      </w:r>
      <w:r w:rsidRPr="002D7A10">
        <w:rPr>
          <w:rFonts w:asciiTheme="minorHAnsi" w:hAnsiTheme="minorHAnsi" w:cs="Calibri"/>
          <w:b/>
        </w:rPr>
        <w:t>nie sú uvedené v % ale v počtoch</w:t>
      </w:r>
      <w:r w:rsidRPr="002D7A10">
        <w:rPr>
          <w:rFonts w:asciiTheme="minorHAnsi" w:hAnsiTheme="minorHAnsi" w:cs="Calibri"/>
        </w:rPr>
        <w:t xml:space="preserve">. </w:t>
      </w:r>
    </w:p>
    <w:p w:rsidR="00F975F2" w:rsidRPr="002D7A10" w:rsidRDefault="00F975F2" w:rsidP="00C20B10">
      <w:pPr>
        <w:rPr>
          <w:rFonts w:asciiTheme="minorHAnsi" w:hAnsiTheme="minorHAnsi" w:cs="Calibri"/>
        </w:rPr>
      </w:pPr>
      <w:r w:rsidRPr="002D7A10">
        <w:rPr>
          <w:rFonts w:asciiTheme="minorHAnsi" w:hAnsiTheme="minorHAnsi" w:cs="Calibri"/>
        </w:rPr>
        <w:t xml:space="preserve">V dennej forme štúdia študenti už často počas svojho štúdia realizujú študijné pobyty v zahraničí, kde dostávajú ponuky na predĺženie pobytu, čo využívajú a predlžujú si prerušenie štúdiá, resp. menia formu štúdia z dennej na externú. Z celkového počtu denných doktorandov v akad. roku 2014/2015 až 16 % prekročilo štandardnú dĺžku štúdia a 2 % prestúpili z dennej na externú formu štúdia. </w:t>
      </w:r>
    </w:p>
    <w:p w:rsidR="00C20B10" w:rsidRPr="002D7A10" w:rsidRDefault="00C20B10" w:rsidP="00C20B10">
      <w:pPr>
        <w:rPr>
          <w:rFonts w:asciiTheme="minorHAnsi" w:hAnsiTheme="minorHAnsi" w:cs="Calibri"/>
          <w:b/>
        </w:rPr>
      </w:pPr>
    </w:p>
    <w:p w:rsidR="00F975F2" w:rsidRPr="0031029A" w:rsidRDefault="00F975F2" w:rsidP="00F975F2">
      <w:pPr>
        <w:rPr>
          <w:rFonts w:asciiTheme="minorHAnsi" w:hAnsiTheme="minorHAnsi" w:cs="Calibri"/>
          <w:b/>
          <w:sz w:val="20"/>
          <w:szCs w:val="20"/>
        </w:rPr>
      </w:pPr>
      <w:r w:rsidRPr="0031029A">
        <w:rPr>
          <w:rFonts w:asciiTheme="minorHAnsi" w:hAnsiTheme="minorHAnsi" w:cs="Calibri"/>
          <w:b/>
          <w:sz w:val="20"/>
          <w:szCs w:val="20"/>
        </w:rPr>
        <w:t xml:space="preserve">Tabuľka č. </w:t>
      </w:r>
      <w:r w:rsidR="009309F8" w:rsidRPr="0031029A">
        <w:rPr>
          <w:rFonts w:asciiTheme="minorHAnsi" w:hAnsiTheme="minorHAnsi" w:cs="Calibri"/>
          <w:b/>
          <w:sz w:val="20"/>
          <w:szCs w:val="20"/>
        </w:rPr>
        <w:t>3.</w:t>
      </w:r>
      <w:r w:rsidRPr="0031029A">
        <w:rPr>
          <w:rFonts w:asciiTheme="minorHAnsi" w:hAnsiTheme="minorHAnsi" w:cs="Calibri"/>
          <w:b/>
          <w:sz w:val="20"/>
          <w:szCs w:val="20"/>
        </w:rPr>
        <w:t>9: Počet a úbytok študentov tretieho stupňa štúdia v dennej forme  v akad. roku 2014/2015</w:t>
      </w:r>
    </w:p>
    <w:tbl>
      <w:tblPr>
        <w:tblW w:w="7670" w:type="dxa"/>
        <w:tblInd w:w="55" w:type="dxa"/>
        <w:tblLayout w:type="fixed"/>
        <w:tblCellMar>
          <w:left w:w="70" w:type="dxa"/>
          <w:right w:w="70" w:type="dxa"/>
        </w:tblCellMar>
        <w:tblLook w:val="04A0" w:firstRow="1" w:lastRow="0" w:firstColumn="1" w:lastColumn="0" w:noHBand="0" w:noVBand="1"/>
      </w:tblPr>
      <w:tblGrid>
        <w:gridCol w:w="866"/>
        <w:gridCol w:w="959"/>
        <w:gridCol w:w="959"/>
        <w:gridCol w:w="960"/>
        <w:gridCol w:w="981"/>
        <w:gridCol w:w="982"/>
        <w:gridCol w:w="981"/>
        <w:gridCol w:w="982"/>
      </w:tblGrid>
      <w:tr w:rsidR="00F975F2" w:rsidRPr="0031029A" w:rsidTr="00CE307D">
        <w:trPr>
          <w:trHeight w:val="2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Fakulta</w:t>
            </w:r>
          </w:p>
        </w:tc>
        <w:tc>
          <w:tcPr>
            <w:tcW w:w="2878" w:type="dxa"/>
            <w:gridSpan w:val="3"/>
            <w:tcBorders>
              <w:top w:val="single" w:sz="4" w:space="0" w:color="auto"/>
              <w:left w:val="nil"/>
              <w:bottom w:val="single" w:sz="4" w:space="0" w:color="auto"/>
              <w:right w:val="nil"/>
            </w:tcBorders>
            <w:shd w:val="clear" w:color="auto" w:fill="auto"/>
            <w:noWrap/>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Zapísaní študenti</w:t>
            </w:r>
          </w:p>
        </w:tc>
        <w:tc>
          <w:tcPr>
            <w:tcW w:w="392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 xml:space="preserve">Úbytok študentov (v </w:t>
            </w:r>
            <w:proofErr w:type="spellStart"/>
            <w:r w:rsidRPr="0031029A">
              <w:rPr>
                <w:rFonts w:asciiTheme="minorHAnsi" w:eastAsia="Times New Roman" w:hAnsiTheme="minorHAnsi" w:cs="Arial"/>
                <w:b/>
                <w:bCs/>
                <w:sz w:val="20"/>
                <w:szCs w:val="20"/>
                <w:lang w:eastAsia="sk-SK"/>
              </w:rPr>
              <w:t>absol</w:t>
            </w:r>
            <w:proofErr w:type="spellEnd"/>
            <w:r w:rsidRPr="0031029A">
              <w:rPr>
                <w:rFonts w:asciiTheme="minorHAnsi" w:eastAsia="Times New Roman" w:hAnsiTheme="minorHAnsi" w:cs="Arial"/>
                <w:b/>
                <w:bCs/>
                <w:sz w:val="20"/>
                <w:szCs w:val="20"/>
                <w:lang w:eastAsia="sk-SK"/>
              </w:rPr>
              <w:t>. číslach)</w:t>
            </w:r>
          </w:p>
        </w:tc>
      </w:tr>
      <w:tr w:rsidR="00F975F2" w:rsidRPr="0031029A" w:rsidTr="00CE307D">
        <w:trPr>
          <w:trHeight w:val="293"/>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975F2" w:rsidRPr="0031029A" w:rsidRDefault="00F975F2" w:rsidP="00CE307D">
            <w:pPr>
              <w:rPr>
                <w:rFonts w:asciiTheme="minorHAnsi" w:eastAsia="Times New Roman" w:hAnsiTheme="minorHAnsi" w:cs="Arial"/>
                <w:b/>
                <w:bCs/>
                <w:sz w:val="20"/>
                <w:szCs w:val="20"/>
                <w:lang w:eastAsia="sk-SK"/>
              </w:rPr>
            </w:pPr>
          </w:p>
        </w:tc>
        <w:tc>
          <w:tcPr>
            <w:tcW w:w="9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na fakulte</w:t>
            </w:r>
          </w:p>
        </w:tc>
        <w:tc>
          <w:tcPr>
            <w:tcW w:w="9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na EVI</w:t>
            </w:r>
          </w:p>
        </w:tc>
        <w:tc>
          <w:tcPr>
            <w:tcW w:w="960" w:type="dxa"/>
            <w:vMerge w:val="restart"/>
            <w:tcBorders>
              <w:top w:val="nil"/>
              <w:left w:val="nil"/>
              <w:bottom w:val="single" w:sz="4" w:space="0" w:color="000000"/>
              <w:right w:val="single" w:sz="4" w:space="0" w:color="auto"/>
            </w:tcBorders>
            <w:shd w:val="clear" w:color="auto" w:fill="D9D9D9" w:themeFill="background1" w:themeFillShade="D9"/>
            <w:noWrap/>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w:t>
            </w:r>
            <w:r w:rsidRPr="0031029A">
              <w:rPr>
                <w:rFonts w:asciiTheme="minorHAnsi" w:eastAsia="Times New Roman" w:hAnsiTheme="minorHAnsi" w:cs="Arial"/>
                <w:b/>
                <w:bCs/>
                <w:sz w:val="20"/>
                <w:szCs w:val="20"/>
                <w:vertAlign w:val="subscript"/>
                <w:lang w:eastAsia="sk-SK"/>
              </w:rPr>
              <w:t>z</w:t>
            </w:r>
          </w:p>
        </w:tc>
        <w:tc>
          <w:tcPr>
            <w:tcW w:w="9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 xml:space="preserve">po 1. r. </w:t>
            </w:r>
          </w:p>
        </w:tc>
        <w:tc>
          <w:tcPr>
            <w:tcW w:w="9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po 2. r.</w:t>
            </w:r>
          </w:p>
        </w:tc>
        <w:tc>
          <w:tcPr>
            <w:tcW w:w="9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po 3.r.</w:t>
            </w:r>
          </w:p>
        </w:tc>
        <w:tc>
          <w:tcPr>
            <w:tcW w:w="9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po 4.r.</w:t>
            </w:r>
          </w:p>
        </w:tc>
      </w:tr>
      <w:tr w:rsidR="00F975F2" w:rsidRPr="0031029A" w:rsidTr="00CE307D">
        <w:trPr>
          <w:trHeight w:val="293"/>
        </w:trPr>
        <w:tc>
          <w:tcPr>
            <w:tcW w:w="866" w:type="dxa"/>
            <w:vMerge/>
            <w:tcBorders>
              <w:top w:val="single" w:sz="4" w:space="0" w:color="auto"/>
              <w:left w:val="single" w:sz="4" w:space="0" w:color="auto"/>
              <w:bottom w:val="single" w:sz="4" w:space="0" w:color="auto"/>
              <w:right w:val="single" w:sz="4" w:space="0" w:color="auto"/>
            </w:tcBorders>
            <w:vAlign w:val="center"/>
            <w:hideMark/>
          </w:tcPr>
          <w:p w:rsidR="00F975F2" w:rsidRPr="0031029A" w:rsidRDefault="00F975F2" w:rsidP="00CE307D">
            <w:pPr>
              <w:rPr>
                <w:rFonts w:asciiTheme="minorHAnsi" w:eastAsia="Times New Roman" w:hAnsiTheme="minorHAnsi" w:cs="Arial"/>
                <w:b/>
                <w:bCs/>
                <w:sz w:val="20"/>
                <w:szCs w:val="20"/>
                <w:lang w:eastAsia="sk-SK"/>
              </w:rPr>
            </w:pPr>
          </w:p>
        </w:tc>
        <w:tc>
          <w:tcPr>
            <w:tcW w:w="959" w:type="dxa"/>
            <w:vMerge/>
            <w:tcBorders>
              <w:top w:val="nil"/>
              <w:left w:val="single" w:sz="4" w:space="0" w:color="auto"/>
              <w:bottom w:val="single" w:sz="4" w:space="0" w:color="000000"/>
              <w:right w:val="single" w:sz="4" w:space="0" w:color="auto"/>
            </w:tcBorders>
            <w:vAlign w:val="center"/>
            <w:hideMark/>
          </w:tcPr>
          <w:p w:rsidR="00F975F2" w:rsidRPr="0031029A" w:rsidRDefault="00F975F2" w:rsidP="00CE307D">
            <w:pPr>
              <w:rPr>
                <w:rFonts w:asciiTheme="minorHAnsi" w:eastAsia="Times New Roman" w:hAnsiTheme="minorHAnsi" w:cs="Arial"/>
                <w:b/>
                <w:bCs/>
                <w:sz w:val="20"/>
                <w:szCs w:val="20"/>
                <w:lang w:eastAsia="sk-SK"/>
              </w:rPr>
            </w:pPr>
          </w:p>
        </w:tc>
        <w:tc>
          <w:tcPr>
            <w:tcW w:w="959" w:type="dxa"/>
            <w:vMerge/>
            <w:tcBorders>
              <w:top w:val="nil"/>
              <w:left w:val="single" w:sz="4" w:space="0" w:color="auto"/>
              <w:bottom w:val="single" w:sz="4" w:space="0" w:color="000000"/>
              <w:right w:val="single" w:sz="4" w:space="0" w:color="auto"/>
            </w:tcBorders>
            <w:vAlign w:val="center"/>
            <w:hideMark/>
          </w:tcPr>
          <w:p w:rsidR="00F975F2" w:rsidRPr="0031029A" w:rsidRDefault="00F975F2" w:rsidP="00CE307D">
            <w:pPr>
              <w:rPr>
                <w:rFonts w:asciiTheme="minorHAnsi" w:eastAsia="Times New Roman" w:hAnsiTheme="minorHAnsi" w:cs="Arial"/>
                <w:b/>
                <w:bCs/>
                <w:sz w:val="20"/>
                <w:szCs w:val="20"/>
                <w:lang w:eastAsia="sk-SK"/>
              </w:rPr>
            </w:pPr>
          </w:p>
        </w:tc>
        <w:tc>
          <w:tcPr>
            <w:tcW w:w="960" w:type="dxa"/>
            <w:vMerge/>
            <w:tcBorders>
              <w:top w:val="nil"/>
              <w:left w:val="nil"/>
              <w:bottom w:val="single" w:sz="4" w:space="0" w:color="000000"/>
              <w:right w:val="single" w:sz="4" w:space="0" w:color="auto"/>
            </w:tcBorders>
            <w:shd w:val="clear" w:color="auto" w:fill="D9D9D9" w:themeFill="background1" w:themeFillShade="D9"/>
            <w:vAlign w:val="center"/>
            <w:hideMark/>
          </w:tcPr>
          <w:p w:rsidR="00F975F2" w:rsidRPr="0031029A" w:rsidRDefault="00F975F2" w:rsidP="00CE307D">
            <w:pPr>
              <w:rPr>
                <w:rFonts w:asciiTheme="minorHAnsi" w:eastAsia="Times New Roman" w:hAnsiTheme="minorHAnsi" w:cs="Arial"/>
                <w:b/>
                <w:bCs/>
                <w:sz w:val="20"/>
                <w:szCs w:val="20"/>
                <w:lang w:eastAsia="sk-SK"/>
              </w:rPr>
            </w:pPr>
          </w:p>
        </w:tc>
        <w:tc>
          <w:tcPr>
            <w:tcW w:w="981" w:type="dxa"/>
            <w:vMerge/>
            <w:tcBorders>
              <w:top w:val="nil"/>
              <w:left w:val="single" w:sz="4" w:space="0" w:color="auto"/>
              <w:bottom w:val="single" w:sz="4" w:space="0" w:color="000000"/>
              <w:right w:val="single" w:sz="4" w:space="0" w:color="auto"/>
            </w:tcBorders>
            <w:vAlign w:val="center"/>
            <w:hideMark/>
          </w:tcPr>
          <w:p w:rsidR="00F975F2" w:rsidRPr="0031029A" w:rsidRDefault="00F975F2" w:rsidP="00CE307D">
            <w:pPr>
              <w:rPr>
                <w:rFonts w:asciiTheme="minorHAnsi" w:eastAsia="Times New Roman" w:hAnsiTheme="minorHAnsi" w:cs="Arial"/>
                <w:b/>
                <w:bCs/>
                <w:sz w:val="20"/>
                <w:szCs w:val="20"/>
                <w:lang w:eastAsia="sk-SK"/>
              </w:rPr>
            </w:pPr>
          </w:p>
        </w:tc>
        <w:tc>
          <w:tcPr>
            <w:tcW w:w="982" w:type="dxa"/>
            <w:vMerge/>
            <w:tcBorders>
              <w:top w:val="nil"/>
              <w:left w:val="single" w:sz="4" w:space="0" w:color="auto"/>
              <w:bottom w:val="single" w:sz="4" w:space="0" w:color="000000"/>
              <w:right w:val="single" w:sz="4" w:space="0" w:color="auto"/>
            </w:tcBorders>
            <w:vAlign w:val="center"/>
            <w:hideMark/>
          </w:tcPr>
          <w:p w:rsidR="00F975F2" w:rsidRPr="0031029A" w:rsidRDefault="00F975F2" w:rsidP="00CE307D">
            <w:pPr>
              <w:rPr>
                <w:rFonts w:asciiTheme="minorHAnsi" w:eastAsia="Times New Roman" w:hAnsiTheme="minorHAnsi" w:cs="Arial"/>
                <w:b/>
                <w:bCs/>
                <w:sz w:val="20"/>
                <w:szCs w:val="20"/>
                <w:lang w:eastAsia="sk-SK"/>
              </w:rPr>
            </w:pPr>
          </w:p>
        </w:tc>
        <w:tc>
          <w:tcPr>
            <w:tcW w:w="981" w:type="dxa"/>
            <w:vMerge/>
            <w:tcBorders>
              <w:top w:val="nil"/>
              <w:left w:val="single" w:sz="4" w:space="0" w:color="auto"/>
              <w:bottom w:val="single" w:sz="4" w:space="0" w:color="000000"/>
              <w:right w:val="single" w:sz="4" w:space="0" w:color="auto"/>
            </w:tcBorders>
            <w:vAlign w:val="center"/>
            <w:hideMark/>
          </w:tcPr>
          <w:p w:rsidR="00F975F2" w:rsidRPr="0031029A" w:rsidRDefault="00F975F2" w:rsidP="00CE307D">
            <w:pPr>
              <w:rPr>
                <w:rFonts w:asciiTheme="minorHAnsi" w:eastAsia="Times New Roman" w:hAnsiTheme="minorHAnsi" w:cs="Arial"/>
                <w:b/>
                <w:bCs/>
                <w:sz w:val="20"/>
                <w:szCs w:val="20"/>
                <w:lang w:eastAsia="sk-SK"/>
              </w:rPr>
            </w:pPr>
          </w:p>
        </w:tc>
        <w:tc>
          <w:tcPr>
            <w:tcW w:w="982" w:type="dxa"/>
            <w:vMerge/>
            <w:tcBorders>
              <w:top w:val="nil"/>
              <w:left w:val="single" w:sz="4" w:space="0" w:color="auto"/>
              <w:bottom w:val="single" w:sz="4" w:space="0" w:color="000000"/>
              <w:right w:val="single" w:sz="4" w:space="0" w:color="auto"/>
            </w:tcBorders>
            <w:vAlign w:val="center"/>
            <w:hideMark/>
          </w:tcPr>
          <w:p w:rsidR="00F975F2" w:rsidRPr="0031029A" w:rsidRDefault="00F975F2" w:rsidP="00CE307D">
            <w:pPr>
              <w:rPr>
                <w:rFonts w:asciiTheme="minorHAnsi" w:eastAsia="Times New Roman" w:hAnsiTheme="minorHAnsi" w:cs="Arial"/>
                <w:b/>
                <w:bCs/>
                <w:sz w:val="20"/>
                <w:szCs w:val="20"/>
                <w:lang w:eastAsia="sk-SK"/>
              </w:rPr>
            </w:pPr>
          </w:p>
        </w:tc>
      </w:tr>
      <w:tr w:rsidR="00F975F2" w:rsidRPr="0031029A" w:rsidTr="00CE307D">
        <w:trPr>
          <w:trHeight w:val="20"/>
        </w:trPr>
        <w:tc>
          <w:tcPr>
            <w:tcW w:w="866" w:type="dxa"/>
            <w:tcBorders>
              <w:top w:val="nil"/>
              <w:left w:val="single" w:sz="4" w:space="0" w:color="auto"/>
              <w:bottom w:val="single" w:sz="4" w:space="0" w:color="auto"/>
              <w:right w:val="single" w:sz="4" w:space="0" w:color="auto"/>
            </w:tcBorders>
            <w:shd w:val="clear" w:color="000000" w:fill="FFFFFF"/>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SvF</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221</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8</w:t>
            </w:r>
          </w:p>
        </w:tc>
        <w:tc>
          <w:tcPr>
            <w:tcW w:w="960" w:type="dxa"/>
            <w:tcBorders>
              <w:top w:val="nil"/>
              <w:left w:val="nil"/>
              <w:bottom w:val="single" w:sz="4" w:space="0" w:color="auto"/>
              <w:right w:val="single" w:sz="4" w:space="0" w:color="auto"/>
            </w:tcBorders>
            <w:shd w:val="clear" w:color="auto" w:fill="D9D9D9" w:themeFill="background1" w:themeFillShade="D9"/>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229</w:t>
            </w:r>
          </w:p>
        </w:tc>
        <w:tc>
          <w:tcPr>
            <w:tcW w:w="981"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w:t>
            </w:r>
          </w:p>
        </w:tc>
        <w:tc>
          <w:tcPr>
            <w:tcW w:w="981"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6</w:t>
            </w:r>
          </w:p>
        </w:tc>
      </w:tr>
      <w:tr w:rsidR="00F975F2" w:rsidRPr="0031029A" w:rsidTr="00CE307D">
        <w:trPr>
          <w:trHeight w:val="20"/>
        </w:trPr>
        <w:tc>
          <w:tcPr>
            <w:tcW w:w="866" w:type="dxa"/>
            <w:tcBorders>
              <w:top w:val="nil"/>
              <w:left w:val="single" w:sz="4" w:space="0" w:color="auto"/>
              <w:bottom w:val="single" w:sz="4" w:space="0" w:color="auto"/>
              <w:right w:val="single" w:sz="4" w:space="0" w:color="auto"/>
            </w:tcBorders>
            <w:shd w:val="clear" w:color="auto" w:fill="auto"/>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SjF</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70</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960" w:type="dxa"/>
            <w:tcBorders>
              <w:top w:val="nil"/>
              <w:left w:val="nil"/>
              <w:bottom w:val="single" w:sz="4" w:space="0" w:color="auto"/>
              <w:right w:val="single" w:sz="4" w:space="0" w:color="auto"/>
            </w:tcBorders>
            <w:shd w:val="clear" w:color="auto" w:fill="D9D9D9" w:themeFill="background1" w:themeFillShade="D9"/>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70</w:t>
            </w:r>
          </w:p>
        </w:tc>
        <w:tc>
          <w:tcPr>
            <w:tcW w:w="981"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w:t>
            </w:r>
          </w:p>
        </w:tc>
        <w:tc>
          <w:tcPr>
            <w:tcW w:w="981"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r>
      <w:tr w:rsidR="00F975F2" w:rsidRPr="0031029A" w:rsidTr="00CE307D">
        <w:trPr>
          <w:trHeight w:val="20"/>
        </w:trPr>
        <w:tc>
          <w:tcPr>
            <w:tcW w:w="866" w:type="dxa"/>
            <w:tcBorders>
              <w:top w:val="nil"/>
              <w:left w:val="single" w:sz="4" w:space="0" w:color="auto"/>
              <w:bottom w:val="single" w:sz="4" w:space="0" w:color="auto"/>
              <w:right w:val="single" w:sz="4" w:space="0" w:color="auto"/>
            </w:tcBorders>
            <w:shd w:val="clear" w:color="auto" w:fill="auto"/>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FEI</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121</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18</w:t>
            </w:r>
          </w:p>
        </w:tc>
        <w:tc>
          <w:tcPr>
            <w:tcW w:w="960" w:type="dxa"/>
            <w:tcBorders>
              <w:top w:val="nil"/>
              <w:left w:val="nil"/>
              <w:bottom w:val="single" w:sz="4" w:space="0" w:color="auto"/>
              <w:right w:val="single" w:sz="4" w:space="0" w:color="auto"/>
            </w:tcBorders>
            <w:shd w:val="clear" w:color="auto" w:fill="D9D9D9" w:themeFill="background1" w:themeFillShade="D9"/>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139</w:t>
            </w:r>
          </w:p>
        </w:tc>
        <w:tc>
          <w:tcPr>
            <w:tcW w:w="981" w:type="dxa"/>
            <w:tcBorders>
              <w:top w:val="nil"/>
              <w:left w:val="nil"/>
              <w:bottom w:val="single" w:sz="4" w:space="0" w:color="auto"/>
              <w:right w:val="single" w:sz="4" w:space="0" w:color="auto"/>
            </w:tcBorders>
            <w:shd w:val="clear" w:color="auto" w:fill="auto"/>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w:t>
            </w:r>
          </w:p>
        </w:tc>
        <w:tc>
          <w:tcPr>
            <w:tcW w:w="981"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6</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r>
      <w:tr w:rsidR="00F975F2" w:rsidRPr="0031029A" w:rsidTr="00CE307D">
        <w:trPr>
          <w:trHeight w:val="20"/>
        </w:trPr>
        <w:tc>
          <w:tcPr>
            <w:tcW w:w="866" w:type="dxa"/>
            <w:tcBorders>
              <w:top w:val="nil"/>
              <w:left w:val="single" w:sz="4" w:space="0" w:color="auto"/>
              <w:bottom w:val="single" w:sz="4" w:space="0" w:color="auto"/>
              <w:right w:val="single" w:sz="4" w:space="0" w:color="auto"/>
            </w:tcBorders>
            <w:shd w:val="clear" w:color="auto" w:fill="auto"/>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FCHPT</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141</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44</w:t>
            </w:r>
          </w:p>
        </w:tc>
        <w:tc>
          <w:tcPr>
            <w:tcW w:w="960" w:type="dxa"/>
            <w:tcBorders>
              <w:top w:val="nil"/>
              <w:left w:val="nil"/>
              <w:bottom w:val="single" w:sz="4" w:space="0" w:color="auto"/>
              <w:right w:val="single" w:sz="4" w:space="0" w:color="auto"/>
            </w:tcBorders>
            <w:shd w:val="clear" w:color="auto" w:fill="D9D9D9" w:themeFill="background1" w:themeFillShade="D9"/>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185</w:t>
            </w:r>
          </w:p>
        </w:tc>
        <w:tc>
          <w:tcPr>
            <w:tcW w:w="981"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c>
          <w:tcPr>
            <w:tcW w:w="981"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8</w:t>
            </w:r>
          </w:p>
        </w:tc>
      </w:tr>
      <w:tr w:rsidR="00F975F2" w:rsidRPr="0031029A" w:rsidTr="00CE307D">
        <w:trPr>
          <w:trHeight w:val="20"/>
        </w:trPr>
        <w:tc>
          <w:tcPr>
            <w:tcW w:w="866" w:type="dxa"/>
            <w:tcBorders>
              <w:top w:val="nil"/>
              <w:left w:val="single" w:sz="4" w:space="0" w:color="auto"/>
              <w:bottom w:val="single" w:sz="4" w:space="0" w:color="auto"/>
              <w:right w:val="single" w:sz="4" w:space="0" w:color="auto"/>
            </w:tcBorders>
            <w:shd w:val="clear" w:color="auto" w:fill="auto"/>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FA</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72</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960" w:type="dxa"/>
            <w:tcBorders>
              <w:top w:val="nil"/>
              <w:left w:val="nil"/>
              <w:bottom w:val="single" w:sz="4" w:space="0" w:color="auto"/>
              <w:right w:val="single" w:sz="4" w:space="0" w:color="auto"/>
            </w:tcBorders>
            <w:shd w:val="clear" w:color="auto" w:fill="D9D9D9" w:themeFill="background1" w:themeFillShade="D9"/>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72</w:t>
            </w:r>
          </w:p>
        </w:tc>
        <w:tc>
          <w:tcPr>
            <w:tcW w:w="981" w:type="dxa"/>
            <w:tcBorders>
              <w:top w:val="nil"/>
              <w:left w:val="nil"/>
              <w:bottom w:val="single" w:sz="4" w:space="0" w:color="auto"/>
              <w:right w:val="single" w:sz="4" w:space="0" w:color="auto"/>
            </w:tcBorders>
            <w:shd w:val="clear" w:color="auto" w:fill="auto"/>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981"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r>
      <w:tr w:rsidR="00F975F2" w:rsidRPr="0031029A" w:rsidTr="00CE307D">
        <w:trPr>
          <w:trHeight w:val="20"/>
        </w:trPr>
        <w:tc>
          <w:tcPr>
            <w:tcW w:w="866" w:type="dxa"/>
            <w:tcBorders>
              <w:top w:val="nil"/>
              <w:left w:val="single" w:sz="4" w:space="0" w:color="auto"/>
              <w:bottom w:val="single" w:sz="4" w:space="0" w:color="auto"/>
              <w:right w:val="single" w:sz="4" w:space="0" w:color="auto"/>
            </w:tcBorders>
            <w:shd w:val="clear" w:color="auto" w:fill="auto"/>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MTF</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80</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8</w:t>
            </w:r>
          </w:p>
        </w:tc>
        <w:tc>
          <w:tcPr>
            <w:tcW w:w="960" w:type="dxa"/>
            <w:tcBorders>
              <w:top w:val="nil"/>
              <w:left w:val="nil"/>
              <w:bottom w:val="single" w:sz="4" w:space="0" w:color="auto"/>
              <w:right w:val="single" w:sz="4" w:space="0" w:color="auto"/>
            </w:tcBorders>
            <w:shd w:val="clear" w:color="auto" w:fill="D9D9D9" w:themeFill="background1" w:themeFillShade="D9"/>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88</w:t>
            </w:r>
          </w:p>
        </w:tc>
        <w:tc>
          <w:tcPr>
            <w:tcW w:w="981" w:type="dxa"/>
            <w:tcBorders>
              <w:top w:val="nil"/>
              <w:left w:val="nil"/>
              <w:bottom w:val="single" w:sz="4" w:space="0" w:color="auto"/>
              <w:right w:val="single" w:sz="4" w:space="0" w:color="auto"/>
            </w:tcBorders>
            <w:shd w:val="clear" w:color="auto" w:fill="auto"/>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981"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r>
      <w:tr w:rsidR="00F975F2" w:rsidRPr="0031029A" w:rsidTr="00CE307D">
        <w:trPr>
          <w:trHeight w:val="20"/>
        </w:trPr>
        <w:tc>
          <w:tcPr>
            <w:tcW w:w="866" w:type="dxa"/>
            <w:tcBorders>
              <w:top w:val="nil"/>
              <w:left w:val="single" w:sz="4" w:space="0" w:color="auto"/>
              <w:bottom w:val="single" w:sz="4" w:space="0" w:color="auto"/>
              <w:right w:val="single" w:sz="4" w:space="0" w:color="auto"/>
            </w:tcBorders>
            <w:shd w:val="clear" w:color="auto" w:fill="auto"/>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FIIT</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46</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6</w:t>
            </w:r>
          </w:p>
        </w:tc>
        <w:tc>
          <w:tcPr>
            <w:tcW w:w="960" w:type="dxa"/>
            <w:tcBorders>
              <w:top w:val="nil"/>
              <w:left w:val="nil"/>
              <w:bottom w:val="single" w:sz="4" w:space="0" w:color="auto"/>
              <w:right w:val="single" w:sz="4" w:space="0" w:color="auto"/>
            </w:tcBorders>
            <w:shd w:val="clear" w:color="auto" w:fill="D9D9D9" w:themeFill="background1" w:themeFillShade="D9"/>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52</w:t>
            </w:r>
          </w:p>
        </w:tc>
        <w:tc>
          <w:tcPr>
            <w:tcW w:w="981" w:type="dxa"/>
            <w:tcBorders>
              <w:top w:val="nil"/>
              <w:left w:val="nil"/>
              <w:bottom w:val="single" w:sz="4" w:space="0" w:color="auto"/>
              <w:right w:val="single" w:sz="4" w:space="0" w:color="auto"/>
            </w:tcBorders>
            <w:shd w:val="clear" w:color="auto" w:fill="auto"/>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981"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r>
      <w:tr w:rsidR="00F975F2" w:rsidRPr="0031029A" w:rsidTr="00CE307D">
        <w:trPr>
          <w:trHeight w:val="20"/>
        </w:trPr>
        <w:tc>
          <w:tcPr>
            <w:tcW w:w="866" w:type="dxa"/>
            <w:tcBorders>
              <w:top w:val="nil"/>
              <w:left w:val="single" w:sz="4" w:space="0" w:color="auto"/>
              <w:bottom w:val="single" w:sz="4" w:space="0" w:color="auto"/>
              <w:right w:val="single" w:sz="4" w:space="0" w:color="auto"/>
            </w:tcBorders>
            <w:shd w:val="clear" w:color="auto" w:fill="auto"/>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ÚM</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12</w:t>
            </w:r>
          </w:p>
        </w:tc>
        <w:tc>
          <w:tcPr>
            <w:tcW w:w="959" w:type="dxa"/>
            <w:tcBorders>
              <w:top w:val="nil"/>
              <w:left w:val="nil"/>
              <w:bottom w:val="single" w:sz="4" w:space="0" w:color="auto"/>
              <w:right w:val="single" w:sz="4" w:space="0" w:color="auto"/>
            </w:tcBorders>
            <w:shd w:val="clear" w:color="000000" w:fill="FFFFFF"/>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w:t>
            </w:r>
          </w:p>
        </w:tc>
        <w:tc>
          <w:tcPr>
            <w:tcW w:w="960" w:type="dxa"/>
            <w:tcBorders>
              <w:top w:val="nil"/>
              <w:left w:val="nil"/>
              <w:bottom w:val="single" w:sz="4" w:space="0" w:color="auto"/>
              <w:right w:val="single" w:sz="4" w:space="0" w:color="auto"/>
            </w:tcBorders>
            <w:shd w:val="clear" w:color="auto" w:fill="D9D9D9" w:themeFill="background1" w:themeFillShade="D9"/>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16</w:t>
            </w:r>
          </w:p>
        </w:tc>
        <w:tc>
          <w:tcPr>
            <w:tcW w:w="981" w:type="dxa"/>
            <w:tcBorders>
              <w:top w:val="nil"/>
              <w:left w:val="nil"/>
              <w:bottom w:val="single" w:sz="4" w:space="0" w:color="auto"/>
              <w:right w:val="single" w:sz="4" w:space="0" w:color="auto"/>
            </w:tcBorders>
            <w:shd w:val="clear" w:color="auto" w:fill="auto"/>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981"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c>
          <w:tcPr>
            <w:tcW w:w="982" w:type="dxa"/>
            <w:tcBorders>
              <w:top w:val="nil"/>
              <w:left w:val="nil"/>
              <w:bottom w:val="single" w:sz="4" w:space="0" w:color="auto"/>
              <w:right w:val="single" w:sz="4" w:space="0" w:color="auto"/>
            </w:tcBorders>
            <w:shd w:val="clear" w:color="auto" w:fill="auto"/>
            <w:noWrap/>
            <w:vAlign w:val="bottom"/>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r>
      <w:tr w:rsidR="00F975F2" w:rsidRPr="0031029A" w:rsidTr="00CE307D">
        <w:trPr>
          <w:trHeight w:val="20"/>
        </w:trPr>
        <w:tc>
          <w:tcPr>
            <w:tcW w:w="866" w:type="dxa"/>
            <w:tcBorders>
              <w:top w:val="nil"/>
              <w:left w:val="single" w:sz="4" w:space="0" w:color="auto"/>
              <w:bottom w:val="single" w:sz="4" w:space="0" w:color="auto"/>
              <w:right w:val="single" w:sz="4" w:space="0" w:color="auto"/>
            </w:tcBorders>
            <w:shd w:val="clear" w:color="auto" w:fill="D9D9D9" w:themeFill="background1" w:themeFillShade="D9"/>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STU</w:t>
            </w:r>
          </w:p>
        </w:tc>
        <w:tc>
          <w:tcPr>
            <w:tcW w:w="959" w:type="dxa"/>
            <w:tcBorders>
              <w:top w:val="nil"/>
              <w:left w:val="nil"/>
              <w:bottom w:val="single" w:sz="4" w:space="0" w:color="auto"/>
              <w:right w:val="single" w:sz="4" w:space="0" w:color="auto"/>
            </w:tcBorders>
            <w:shd w:val="clear" w:color="auto" w:fill="D9D9D9" w:themeFill="background1" w:themeFillShade="D9"/>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763</w:t>
            </w:r>
          </w:p>
        </w:tc>
        <w:tc>
          <w:tcPr>
            <w:tcW w:w="959" w:type="dxa"/>
            <w:tcBorders>
              <w:top w:val="nil"/>
              <w:left w:val="nil"/>
              <w:bottom w:val="single" w:sz="4" w:space="0" w:color="auto"/>
              <w:right w:val="single" w:sz="4" w:space="0" w:color="auto"/>
            </w:tcBorders>
            <w:shd w:val="clear" w:color="auto" w:fill="D9D9D9" w:themeFill="background1" w:themeFillShade="D9"/>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88</w:t>
            </w:r>
          </w:p>
        </w:tc>
        <w:tc>
          <w:tcPr>
            <w:tcW w:w="960" w:type="dxa"/>
            <w:tcBorders>
              <w:top w:val="nil"/>
              <w:left w:val="nil"/>
              <w:bottom w:val="single" w:sz="4" w:space="0" w:color="auto"/>
              <w:right w:val="single" w:sz="4" w:space="0" w:color="auto"/>
            </w:tcBorders>
            <w:shd w:val="clear" w:color="auto" w:fill="D9D9D9" w:themeFill="background1" w:themeFillShade="D9"/>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851</w:t>
            </w:r>
          </w:p>
        </w:tc>
        <w:tc>
          <w:tcPr>
            <w:tcW w:w="981" w:type="dxa"/>
            <w:tcBorders>
              <w:top w:val="nil"/>
              <w:left w:val="nil"/>
              <w:bottom w:val="single" w:sz="4" w:space="0" w:color="auto"/>
              <w:right w:val="single" w:sz="4" w:space="0" w:color="auto"/>
            </w:tcBorders>
            <w:shd w:val="clear" w:color="auto" w:fill="D9D9D9" w:themeFill="background1" w:themeFillShade="D9"/>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13</w:t>
            </w:r>
          </w:p>
        </w:tc>
        <w:tc>
          <w:tcPr>
            <w:tcW w:w="982" w:type="dxa"/>
            <w:tcBorders>
              <w:top w:val="nil"/>
              <w:left w:val="nil"/>
              <w:bottom w:val="single" w:sz="4" w:space="0" w:color="auto"/>
              <w:right w:val="single" w:sz="4" w:space="0" w:color="auto"/>
            </w:tcBorders>
            <w:shd w:val="clear" w:color="auto" w:fill="D9D9D9" w:themeFill="background1" w:themeFillShade="D9"/>
            <w:noWrap/>
            <w:vAlign w:val="bottom"/>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17</w:t>
            </w:r>
          </w:p>
        </w:tc>
        <w:tc>
          <w:tcPr>
            <w:tcW w:w="981" w:type="dxa"/>
            <w:tcBorders>
              <w:top w:val="nil"/>
              <w:left w:val="nil"/>
              <w:bottom w:val="single" w:sz="4" w:space="0" w:color="auto"/>
              <w:right w:val="single" w:sz="4" w:space="0" w:color="auto"/>
            </w:tcBorders>
            <w:shd w:val="clear" w:color="auto" w:fill="D9D9D9" w:themeFill="background1" w:themeFillShade="D9"/>
            <w:noWrap/>
            <w:vAlign w:val="bottom"/>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20</w:t>
            </w:r>
          </w:p>
        </w:tc>
        <w:tc>
          <w:tcPr>
            <w:tcW w:w="982" w:type="dxa"/>
            <w:tcBorders>
              <w:top w:val="nil"/>
              <w:left w:val="nil"/>
              <w:bottom w:val="single" w:sz="4" w:space="0" w:color="auto"/>
              <w:right w:val="single" w:sz="4" w:space="0" w:color="auto"/>
            </w:tcBorders>
            <w:shd w:val="clear" w:color="auto" w:fill="D9D9D9" w:themeFill="background1" w:themeFillShade="D9"/>
            <w:noWrap/>
            <w:vAlign w:val="bottom"/>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14</w:t>
            </w:r>
          </w:p>
        </w:tc>
      </w:tr>
    </w:tbl>
    <w:p w:rsidR="00F975F2" w:rsidRPr="0031029A" w:rsidRDefault="00F975F2" w:rsidP="00F975F2">
      <w:pP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Vysvetlivky: ∑</w:t>
      </w:r>
      <w:r w:rsidRPr="0031029A">
        <w:rPr>
          <w:rFonts w:asciiTheme="minorHAnsi" w:eastAsia="Times New Roman" w:hAnsiTheme="minorHAnsi" w:cs="Arial"/>
          <w:sz w:val="20"/>
          <w:szCs w:val="20"/>
          <w:vertAlign w:val="subscript"/>
          <w:lang w:eastAsia="sk-SK"/>
        </w:rPr>
        <w:t>Z</w:t>
      </w:r>
      <w:r w:rsidRPr="0031029A">
        <w:rPr>
          <w:rFonts w:asciiTheme="minorHAnsi" w:eastAsia="Times New Roman" w:hAnsiTheme="minorHAnsi" w:cs="Arial"/>
          <w:sz w:val="20"/>
          <w:szCs w:val="20"/>
          <w:lang w:eastAsia="sk-SK"/>
        </w:rPr>
        <w:t xml:space="preserve"> -  celkový počet zapísaných študentov (na fakulte + na EVI) stav k 31. 10. 2014</w:t>
      </w:r>
    </w:p>
    <w:p w:rsidR="00F975F2" w:rsidRDefault="00F975F2" w:rsidP="00F975F2">
      <w:pPr>
        <w:rPr>
          <w:rFonts w:asciiTheme="minorHAnsi" w:eastAsia="Calibri" w:hAnsiTheme="minorHAnsi" w:cs="Calibri"/>
          <w:sz w:val="20"/>
          <w:szCs w:val="20"/>
        </w:rPr>
      </w:pPr>
    </w:p>
    <w:p w:rsidR="00755BF6" w:rsidRPr="0031029A" w:rsidRDefault="00755BF6" w:rsidP="00F975F2">
      <w:pPr>
        <w:rPr>
          <w:rFonts w:asciiTheme="minorHAnsi" w:eastAsia="Calibri" w:hAnsiTheme="minorHAnsi" w:cs="Calibri"/>
          <w:sz w:val="20"/>
          <w:szCs w:val="20"/>
        </w:rPr>
      </w:pPr>
    </w:p>
    <w:p w:rsidR="00F975F2" w:rsidRPr="0031029A" w:rsidRDefault="00F975F2" w:rsidP="00F975F2">
      <w:pPr>
        <w:rPr>
          <w:rFonts w:asciiTheme="minorHAnsi" w:hAnsiTheme="minorHAnsi" w:cs="Calibri"/>
          <w:b/>
          <w:sz w:val="20"/>
          <w:szCs w:val="20"/>
        </w:rPr>
      </w:pPr>
      <w:r w:rsidRPr="0031029A">
        <w:rPr>
          <w:rFonts w:asciiTheme="minorHAnsi" w:hAnsiTheme="minorHAnsi" w:cs="Calibri"/>
          <w:b/>
          <w:sz w:val="20"/>
          <w:szCs w:val="20"/>
        </w:rPr>
        <w:t xml:space="preserve">Tabuľka č. </w:t>
      </w:r>
      <w:r w:rsidR="00C20B10" w:rsidRPr="0031029A">
        <w:rPr>
          <w:rFonts w:asciiTheme="minorHAnsi" w:hAnsiTheme="minorHAnsi" w:cs="Calibri"/>
          <w:b/>
          <w:sz w:val="20"/>
          <w:szCs w:val="20"/>
        </w:rPr>
        <w:t>3.</w:t>
      </w:r>
      <w:r w:rsidRPr="0031029A">
        <w:rPr>
          <w:rFonts w:asciiTheme="minorHAnsi" w:hAnsiTheme="minorHAnsi" w:cs="Calibri"/>
          <w:b/>
          <w:sz w:val="20"/>
          <w:szCs w:val="20"/>
        </w:rPr>
        <w:t>10: Počet a úbytok študentov tretieho stupňa štúdia v externej forme v akad. roku 2014/2015</w:t>
      </w:r>
    </w:p>
    <w:tbl>
      <w:tblPr>
        <w:tblW w:w="7660" w:type="dxa"/>
        <w:tblInd w:w="55" w:type="dxa"/>
        <w:tblCellMar>
          <w:left w:w="70" w:type="dxa"/>
          <w:right w:w="70" w:type="dxa"/>
        </w:tblCellMar>
        <w:tblLook w:val="04A0" w:firstRow="1" w:lastRow="0" w:firstColumn="1" w:lastColumn="0" w:noHBand="0" w:noVBand="1"/>
      </w:tblPr>
      <w:tblGrid>
        <w:gridCol w:w="800"/>
        <w:gridCol w:w="866"/>
        <w:gridCol w:w="867"/>
        <w:gridCol w:w="867"/>
        <w:gridCol w:w="852"/>
        <w:gridCol w:w="852"/>
        <w:gridCol w:w="852"/>
        <w:gridCol w:w="852"/>
        <w:gridCol w:w="852"/>
      </w:tblGrid>
      <w:tr w:rsidR="00F975F2" w:rsidRPr="0031029A" w:rsidTr="00CE307D">
        <w:trPr>
          <w:trHeight w:val="255"/>
        </w:trPr>
        <w:tc>
          <w:tcPr>
            <w:tcW w:w="800" w:type="dxa"/>
            <w:vMerge w:val="restart"/>
            <w:tcBorders>
              <w:top w:val="single" w:sz="4" w:space="0" w:color="auto"/>
              <w:left w:val="single" w:sz="4" w:space="0" w:color="auto"/>
              <w:right w:val="single" w:sz="4" w:space="0" w:color="auto"/>
            </w:tcBorders>
            <w:shd w:val="clear" w:color="000000" w:fill="FFFFFF"/>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Fakulta </w:t>
            </w:r>
          </w:p>
        </w:tc>
        <w:tc>
          <w:tcPr>
            <w:tcW w:w="2600" w:type="dxa"/>
            <w:gridSpan w:val="3"/>
            <w:tcBorders>
              <w:top w:val="single" w:sz="4" w:space="0" w:color="auto"/>
              <w:left w:val="nil"/>
              <w:bottom w:val="single" w:sz="4" w:space="0" w:color="auto"/>
              <w:right w:val="single" w:sz="4" w:space="0" w:color="000000"/>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Zapísaní študenti</w:t>
            </w:r>
          </w:p>
        </w:tc>
        <w:tc>
          <w:tcPr>
            <w:tcW w:w="426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 xml:space="preserve">Úbytok študentov (v </w:t>
            </w:r>
            <w:proofErr w:type="spellStart"/>
            <w:r w:rsidRPr="0031029A">
              <w:rPr>
                <w:rFonts w:asciiTheme="minorHAnsi" w:eastAsia="Times New Roman" w:hAnsiTheme="minorHAnsi" w:cs="Arial"/>
                <w:b/>
                <w:bCs/>
                <w:sz w:val="20"/>
                <w:szCs w:val="20"/>
                <w:lang w:eastAsia="sk-SK"/>
              </w:rPr>
              <w:t>absol</w:t>
            </w:r>
            <w:proofErr w:type="spellEnd"/>
            <w:r w:rsidRPr="0031029A">
              <w:rPr>
                <w:rFonts w:asciiTheme="minorHAnsi" w:eastAsia="Times New Roman" w:hAnsiTheme="minorHAnsi" w:cs="Arial"/>
                <w:b/>
                <w:bCs/>
                <w:sz w:val="20"/>
                <w:szCs w:val="20"/>
                <w:lang w:eastAsia="sk-SK"/>
              </w:rPr>
              <w:t>. číslach)</w:t>
            </w:r>
          </w:p>
        </w:tc>
      </w:tr>
      <w:tr w:rsidR="00F975F2" w:rsidRPr="0031029A" w:rsidTr="00CE307D">
        <w:trPr>
          <w:trHeight w:val="615"/>
        </w:trPr>
        <w:tc>
          <w:tcPr>
            <w:tcW w:w="800" w:type="dxa"/>
            <w:vMerge/>
            <w:tcBorders>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rPr>
                <w:rFonts w:asciiTheme="minorHAnsi" w:eastAsia="Times New Roman" w:hAnsiTheme="minorHAnsi" w:cs="Arial"/>
                <w:b/>
                <w:bCs/>
                <w:sz w:val="20"/>
                <w:szCs w:val="20"/>
                <w:lang w:eastAsia="sk-SK"/>
              </w:rPr>
            </w:pPr>
          </w:p>
        </w:tc>
        <w:tc>
          <w:tcPr>
            <w:tcW w:w="866" w:type="dxa"/>
            <w:tcBorders>
              <w:top w:val="nil"/>
              <w:left w:val="single" w:sz="4" w:space="0" w:color="auto"/>
              <w:bottom w:val="single" w:sz="4" w:space="0" w:color="000000"/>
              <w:right w:val="single" w:sz="4" w:space="0" w:color="auto"/>
            </w:tcBorders>
            <w:shd w:val="clear" w:color="auto" w:fill="auto"/>
            <w:noWrap/>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na fakulte</w:t>
            </w:r>
          </w:p>
        </w:tc>
        <w:tc>
          <w:tcPr>
            <w:tcW w:w="867" w:type="dxa"/>
            <w:tcBorders>
              <w:top w:val="nil"/>
              <w:left w:val="single" w:sz="4" w:space="0" w:color="auto"/>
              <w:bottom w:val="single" w:sz="4" w:space="0" w:color="000000"/>
              <w:right w:val="single" w:sz="4" w:space="0" w:color="auto"/>
            </w:tcBorders>
            <w:shd w:val="clear" w:color="auto" w:fill="auto"/>
            <w:noWrap/>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na EVI</w:t>
            </w:r>
          </w:p>
        </w:tc>
        <w:tc>
          <w:tcPr>
            <w:tcW w:w="867" w:type="dxa"/>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w:t>
            </w:r>
            <w:r w:rsidRPr="0031029A">
              <w:rPr>
                <w:rFonts w:asciiTheme="minorHAnsi" w:eastAsia="Times New Roman" w:hAnsiTheme="minorHAnsi" w:cs="Arial"/>
                <w:b/>
                <w:bCs/>
                <w:sz w:val="20"/>
                <w:szCs w:val="20"/>
                <w:vertAlign w:val="subscript"/>
                <w:lang w:eastAsia="sk-SK"/>
              </w:rPr>
              <w:t>Z</w:t>
            </w:r>
          </w:p>
        </w:tc>
        <w:tc>
          <w:tcPr>
            <w:tcW w:w="852"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po 1.r.</w:t>
            </w:r>
          </w:p>
        </w:tc>
        <w:tc>
          <w:tcPr>
            <w:tcW w:w="852"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po 2.r.</w:t>
            </w:r>
          </w:p>
        </w:tc>
        <w:tc>
          <w:tcPr>
            <w:tcW w:w="852"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po 3.r.</w:t>
            </w:r>
          </w:p>
        </w:tc>
        <w:tc>
          <w:tcPr>
            <w:tcW w:w="852"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po 4.r.</w:t>
            </w:r>
          </w:p>
        </w:tc>
        <w:tc>
          <w:tcPr>
            <w:tcW w:w="852"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po 5.r.</w:t>
            </w:r>
          </w:p>
        </w:tc>
      </w:tr>
      <w:tr w:rsidR="00F975F2" w:rsidRPr="0031029A" w:rsidTr="00CE307D">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SvF</w:t>
            </w:r>
          </w:p>
        </w:tc>
        <w:tc>
          <w:tcPr>
            <w:tcW w:w="866"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48</w:t>
            </w:r>
          </w:p>
        </w:tc>
        <w:tc>
          <w:tcPr>
            <w:tcW w:w="867"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48</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r>
      <w:tr w:rsidR="00F975F2" w:rsidRPr="0031029A" w:rsidTr="00CE307D">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SjF</w:t>
            </w:r>
          </w:p>
        </w:tc>
        <w:tc>
          <w:tcPr>
            <w:tcW w:w="866"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46</w:t>
            </w:r>
          </w:p>
        </w:tc>
        <w:tc>
          <w:tcPr>
            <w:tcW w:w="867"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51</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r>
      <w:tr w:rsidR="00F975F2" w:rsidRPr="0031029A" w:rsidTr="00CE307D">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FEI</w:t>
            </w:r>
          </w:p>
        </w:tc>
        <w:tc>
          <w:tcPr>
            <w:tcW w:w="866"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117</w:t>
            </w:r>
          </w:p>
        </w:tc>
        <w:tc>
          <w:tcPr>
            <w:tcW w:w="867"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120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r>
      <w:tr w:rsidR="00F975F2" w:rsidRPr="0031029A" w:rsidTr="00CE307D">
        <w:trPr>
          <w:trHeight w:val="28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FCHPT</w:t>
            </w:r>
          </w:p>
        </w:tc>
        <w:tc>
          <w:tcPr>
            <w:tcW w:w="866"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31</w:t>
            </w:r>
          </w:p>
        </w:tc>
        <w:tc>
          <w:tcPr>
            <w:tcW w:w="867"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34</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r>
      <w:tr w:rsidR="00F975F2" w:rsidRPr="0031029A" w:rsidTr="00CE307D">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FA</w:t>
            </w:r>
          </w:p>
        </w:tc>
        <w:tc>
          <w:tcPr>
            <w:tcW w:w="866"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34</w:t>
            </w:r>
          </w:p>
        </w:tc>
        <w:tc>
          <w:tcPr>
            <w:tcW w:w="867"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34</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r>
      <w:tr w:rsidR="00F975F2" w:rsidRPr="0031029A" w:rsidTr="00CE307D">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MTF</w:t>
            </w:r>
          </w:p>
        </w:tc>
        <w:tc>
          <w:tcPr>
            <w:tcW w:w="866"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49</w:t>
            </w:r>
          </w:p>
        </w:tc>
        <w:tc>
          <w:tcPr>
            <w:tcW w:w="867"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49</w:t>
            </w:r>
          </w:p>
        </w:tc>
        <w:tc>
          <w:tcPr>
            <w:tcW w:w="852"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w:t>
            </w:r>
          </w:p>
        </w:tc>
        <w:tc>
          <w:tcPr>
            <w:tcW w:w="852"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852"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852"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r>
      <w:tr w:rsidR="00F975F2" w:rsidRPr="0031029A" w:rsidTr="00CE307D">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FIIT</w:t>
            </w:r>
          </w:p>
        </w:tc>
        <w:tc>
          <w:tcPr>
            <w:tcW w:w="866"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5</w:t>
            </w:r>
          </w:p>
        </w:tc>
        <w:tc>
          <w:tcPr>
            <w:tcW w:w="867"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4</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9</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000000" w:fill="FFFFFF"/>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r>
      <w:tr w:rsidR="00F975F2" w:rsidRPr="0031029A" w:rsidTr="00CE307D">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ÚM</w:t>
            </w:r>
          </w:p>
        </w:tc>
        <w:tc>
          <w:tcPr>
            <w:tcW w:w="866"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31</w:t>
            </w:r>
          </w:p>
        </w:tc>
        <w:tc>
          <w:tcPr>
            <w:tcW w:w="867" w:type="dxa"/>
            <w:tcBorders>
              <w:top w:val="nil"/>
              <w:left w:val="nil"/>
              <w:bottom w:val="single" w:sz="4" w:space="0" w:color="auto"/>
              <w:right w:val="single" w:sz="4" w:space="0" w:color="auto"/>
            </w:tcBorders>
            <w:shd w:val="clear" w:color="auto" w:fill="auto"/>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32</w:t>
            </w:r>
          </w:p>
        </w:tc>
        <w:tc>
          <w:tcPr>
            <w:tcW w:w="852"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0</w:t>
            </w:r>
          </w:p>
        </w:tc>
        <w:tc>
          <w:tcPr>
            <w:tcW w:w="852"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2</w:t>
            </w:r>
          </w:p>
        </w:tc>
        <w:tc>
          <w:tcPr>
            <w:tcW w:w="852" w:type="dxa"/>
            <w:tcBorders>
              <w:top w:val="nil"/>
              <w:left w:val="nil"/>
              <w:bottom w:val="single" w:sz="4" w:space="0" w:color="auto"/>
              <w:right w:val="single" w:sz="4" w:space="0" w:color="auto"/>
            </w:tcBorders>
            <w:shd w:val="clear" w:color="auto" w:fill="auto"/>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w:t>
            </w:r>
          </w:p>
        </w:tc>
      </w:tr>
      <w:tr w:rsidR="00F975F2" w:rsidRPr="0031029A" w:rsidTr="00CE307D">
        <w:trPr>
          <w:trHeight w:val="300"/>
        </w:trPr>
        <w:tc>
          <w:tcPr>
            <w:tcW w:w="8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975F2" w:rsidRPr="0031029A" w:rsidRDefault="00F975F2" w:rsidP="00CE307D">
            <w:pP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STU</w:t>
            </w:r>
          </w:p>
        </w:tc>
        <w:tc>
          <w:tcPr>
            <w:tcW w:w="866" w:type="dxa"/>
            <w:tcBorders>
              <w:top w:val="nil"/>
              <w:left w:val="nil"/>
              <w:bottom w:val="single" w:sz="4" w:space="0" w:color="auto"/>
              <w:right w:val="single" w:sz="4" w:space="0" w:color="auto"/>
            </w:tcBorders>
            <w:shd w:val="clear" w:color="auto" w:fill="D9D9D9" w:themeFill="background1" w:themeFillShade="D9"/>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361</w:t>
            </w:r>
          </w:p>
        </w:tc>
        <w:tc>
          <w:tcPr>
            <w:tcW w:w="867" w:type="dxa"/>
            <w:tcBorders>
              <w:top w:val="nil"/>
              <w:left w:val="nil"/>
              <w:bottom w:val="single" w:sz="4" w:space="0" w:color="auto"/>
              <w:right w:val="single" w:sz="4" w:space="0" w:color="auto"/>
            </w:tcBorders>
            <w:shd w:val="clear" w:color="auto" w:fill="D9D9D9" w:themeFill="background1" w:themeFillShade="D9"/>
            <w:noWrap/>
            <w:vAlign w:val="center"/>
            <w:hideMark/>
          </w:tcPr>
          <w:p w:rsidR="00F975F2" w:rsidRPr="0031029A" w:rsidRDefault="00F975F2" w:rsidP="0031029A">
            <w:pPr>
              <w:ind w:firstLineChars="100" w:firstLine="200"/>
              <w:jc w:val="center"/>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16</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377</w:t>
            </w:r>
          </w:p>
        </w:tc>
        <w:tc>
          <w:tcPr>
            <w:tcW w:w="852"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9</w:t>
            </w:r>
          </w:p>
        </w:tc>
        <w:tc>
          <w:tcPr>
            <w:tcW w:w="852"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7</w:t>
            </w:r>
          </w:p>
        </w:tc>
        <w:tc>
          <w:tcPr>
            <w:tcW w:w="852"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7</w:t>
            </w:r>
          </w:p>
        </w:tc>
        <w:tc>
          <w:tcPr>
            <w:tcW w:w="852"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7</w:t>
            </w:r>
          </w:p>
        </w:tc>
        <w:tc>
          <w:tcPr>
            <w:tcW w:w="852" w:type="dxa"/>
            <w:tcBorders>
              <w:top w:val="nil"/>
              <w:left w:val="nil"/>
              <w:bottom w:val="single" w:sz="4" w:space="0" w:color="auto"/>
              <w:right w:val="single" w:sz="4" w:space="0" w:color="auto"/>
            </w:tcBorders>
            <w:shd w:val="clear" w:color="auto" w:fill="D9D9D9" w:themeFill="background1" w:themeFillShade="D9"/>
            <w:vAlign w:val="center"/>
            <w:hideMark/>
          </w:tcPr>
          <w:p w:rsidR="00F975F2" w:rsidRPr="0031029A" w:rsidRDefault="00F975F2" w:rsidP="0031029A">
            <w:pPr>
              <w:ind w:firstLineChars="100" w:firstLine="201"/>
              <w:jc w:val="center"/>
              <w:rPr>
                <w:rFonts w:asciiTheme="minorHAnsi" w:eastAsia="Times New Roman" w:hAnsiTheme="minorHAnsi" w:cs="Arial"/>
                <w:b/>
                <w:bCs/>
                <w:sz w:val="20"/>
                <w:szCs w:val="20"/>
                <w:lang w:eastAsia="sk-SK"/>
              </w:rPr>
            </w:pPr>
            <w:r w:rsidRPr="0031029A">
              <w:rPr>
                <w:rFonts w:asciiTheme="minorHAnsi" w:eastAsia="Times New Roman" w:hAnsiTheme="minorHAnsi" w:cs="Arial"/>
                <w:b/>
                <w:bCs/>
                <w:sz w:val="20"/>
                <w:szCs w:val="20"/>
                <w:lang w:eastAsia="sk-SK"/>
              </w:rPr>
              <w:t>8</w:t>
            </w:r>
          </w:p>
        </w:tc>
      </w:tr>
    </w:tbl>
    <w:p w:rsidR="00E96111" w:rsidRDefault="00F975F2" w:rsidP="00E96111">
      <w:pPr>
        <w:tabs>
          <w:tab w:val="left" w:pos="3722"/>
        </w:tabs>
        <w:rPr>
          <w:rFonts w:asciiTheme="minorHAnsi" w:eastAsia="Times New Roman" w:hAnsiTheme="minorHAnsi" w:cs="Arial"/>
          <w:sz w:val="20"/>
          <w:szCs w:val="20"/>
          <w:lang w:eastAsia="sk-SK"/>
        </w:rPr>
      </w:pPr>
      <w:r w:rsidRPr="0031029A">
        <w:rPr>
          <w:rFonts w:asciiTheme="minorHAnsi" w:eastAsia="Times New Roman" w:hAnsiTheme="minorHAnsi" w:cs="Arial"/>
          <w:sz w:val="20"/>
          <w:szCs w:val="20"/>
          <w:lang w:eastAsia="sk-SK"/>
        </w:rPr>
        <w:t>Vysvetlivky: ∑</w:t>
      </w:r>
      <w:r w:rsidRPr="0031029A">
        <w:rPr>
          <w:rFonts w:asciiTheme="minorHAnsi" w:eastAsia="Times New Roman" w:hAnsiTheme="minorHAnsi" w:cs="Arial"/>
          <w:sz w:val="20"/>
          <w:szCs w:val="20"/>
          <w:vertAlign w:val="subscript"/>
          <w:lang w:eastAsia="sk-SK"/>
        </w:rPr>
        <w:t>Z</w:t>
      </w:r>
      <w:r w:rsidRPr="0031029A">
        <w:rPr>
          <w:rFonts w:asciiTheme="minorHAnsi" w:eastAsia="Times New Roman" w:hAnsiTheme="minorHAnsi" w:cs="Arial"/>
          <w:sz w:val="20"/>
          <w:szCs w:val="20"/>
          <w:lang w:eastAsia="sk-SK"/>
        </w:rPr>
        <w:t xml:space="preserve"> -  celkový počet zapísaných študentov (na fakult</w:t>
      </w:r>
      <w:r w:rsidR="00E96111">
        <w:rPr>
          <w:rFonts w:asciiTheme="minorHAnsi" w:eastAsia="Times New Roman" w:hAnsiTheme="minorHAnsi" w:cs="Arial"/>
          <w:sz w:val="20"/>
          <w:szCs w:val="20"/>
          <w:lang w:eastAsia="sk-SK"/>
        </w:rPr>
        <w:t>e + na EVI) stav k 31. 10. 2014</w:t>
      </w:r>
    </w:p>
    <w:p w:rsidR="00F975F2" w:rsidRPr="00E96111" w:rsidRDefault="00F975F2" w:rsidP="00E96111">
      <w:pPr>
        <w:tabs>
          <w:tab w:val="left" w:pos="3722"/>
        </w:tabs>
        <w:rPr>
          <w:rFonts w:asciiTheme="minorHAnsi" w:eastAsia="Times New Roman" w:hAnsiTheme="minorHAnsi" w:cs="Arial"/>
          <w:sz w:val="20"/>
          <w:szCs w:val="20"/>
          <w:lang w:eastAsia="sk-SK"/>
        </w:rPr>
      </w:pPr>
      <w:r w:rsidRPr="002D7A10">
        <w:rPr>
          <w:rFonts w:asciiTheme="minorHAnsi" w:hAnsiTheme="minorHAnsi" w:cs="Calibri"/>
          <w:b/>
        </w:rPr>
        <w:tab/>
      </w:r>
    </w:p>
    <w:p w:rsidR="00B51749" w:rsidRPr="002D7A10" w:rsidRDefault="00B51749" w:rsidP="00B51749">
      <w:pPr>
        <w:rPr>
          <w:rFonts w:asciiTheme="minorHAnsi" w:hAnsiTheme="minorHAnsi"/>
          <w:color w:val="FF0000"/>
        </w:rPr>
      </w:pPr>
    </w:p>
    <w:p w:rsidR="00B51749" w:rsidRPr="002D7A10" w:rsidRDefault="00B51749" w:rsidP="00B51749">
      <w:pPr>
        <w:pStyle w:val="Nadpis2"/>
        <w:rPr>
          <w:rFonts w:asciiTheme="minorHAnsi" w:hAnsiTheme="minorHAnsi"/>
          <w:color w:val="auto"/>
          <w:sz w:val="24"/>
          <w:szCs w:val="24"/>
        </w:rPr>
      </w:pPr>
      <w:bookmarkStart w:id="11" w:name="_Toc448261554"/>
      <w:r w:rsidRPr="002D7A10">
        <w:rPr>
          <w:rFonts w:asciiTheme="minorHAnsi" w:hAnsiTheme="minorHAnsi"/>
          <w:color w:val="auto"/>
          <w:sz w:val="24"/>
          <w:szCs w:val="24"/>
        </w:rPr>
        <w:t>Štruktúra študentov z hľadiska krajov SR a zahraniční študenti</w:t>
      </w:r>
      <w:bookmarkEnd w:id="11"/>
    </w:p>
    <w:p w:rsidR="0005714D" w:rsidRPr="002D7A10" w:rsidRDefault="00C20B10" w:rsidP="0005714D">
      <w:pPr>
        <w:rPr>
          <w:rFonts w:asciiTheme="minorHAnsi" w:hAnsiTheme="minorHAnsi" w:cs="Calibri"/>
        </w:rPr>
      </w:pPr>
      <w:r w:rsidRPr="002D7A10">
        <w:rPr>
          <w:rFonts w:asciiTheme="minorHAnsi" w:hAnsiTheme="minorHAnsi" w:cs="Calibri"/>
        </w:rPr>
        <w:t>Prehľad štruktúry študentov z hľadiska krajov Slovenska a zo zahraničia za posl</w:t>
      </w:r>
      <w:r w:rsidR="009309F8" w:rsidRPr="002D7A10">
        <w:rPr>
          <w:rFonts w:asciiTheme="minorHAnsi" w:hAnsiTheme="minorHAnsi" w:cs="Calibri"/>
        </w:rPr>
        <w:t>edných 5 rokov je znázornená v t</w:t>
      </w:r>
      <w:r w:rsidRPr="002D7A10">
        <w:rPr>
          <w:rFonts w:asciiTheme="minorHAnsi" w:hAnsiTheme="minorHAnsi" w:cs="Calibri"/>
        </w:rPr>
        <w:t xml:space="preserve">abuľke č. </w:t>
      </w:r>
      <w:r w:rsidR="009309F8" w:rsidRPr="002D7A10">
        <w:rPr>
          <w:rFonts w:asciiTheme="minorHAnsi" w:hAnsiTheme="minorHAnsi" w:cs="Calibri"/>
        </w:rPr>
        <w:t>3.</w:t>
      </w:r>
      <w:r w:rsidRPr="002D7A10">
        <w:rPr>
          <w:rFonts w:asciiTheme="minorHAnsi" w:hAnsiTheme="minorHAnsi" w:cs="Calibri"/>
        </w:rPr>
        <w:t>11.</w:t>
      </w:r>
      <w:r w:rsidR="0005714D" w:rsidRPr="0005714D">
        <w:rPr>
          <w:rFonts w:asciiTheme="minorHAnsi" w:hAnsiTheme="minorHAnsi" w:cs="Calibri"/>
          <w:b/>
        </w:rPr>
        <w:t xml:space="preserve"> </w:t>
      </w:r>
      <w:r w:rsidR="0005714D" w:rsidRPr="002D7A10">
        <w:rPr>
          <w:rFonts w:asciiTheme="minorHAnsi" w:hAnsiTheme="minorHAnsi" w:cs="Calibri"/>
          <w:b/>
        </w:rPr>
        <w:t>Z uvedeného prehľadu je zrejmý výrazne celoslovenský záber STU</w:t>
      </w:r>
      <w:r w:rsidR="0005714D" w:rsidRPr="002D7A10">
        <w:rPr>
          <w:rFonts w:asciiTheme="minorHAnsi" w:hAnsiTheme="minorHAnsi" w:cs="Calibri"/>
        </w:rPr>
        <w:t xml:space="preserve"> – v akad. roku 2014/2015 sú až 4/5 študentov STU z mimo bratislavského kraja.</w:t>
      </w:r>
    </w:p>
    <w:p w:rsidR="00C20B10" w:rsidRPr="002D7A10" w:rsidRDefault="00C20B10" w:rsidP="00C20B10">
      <w:pPr>
        <w:rPr>
          <w:rFonts w:asciiTheme="minorHAnsi" w:hAnsiTheme="minorHAnsi" w:cs="Calibri"/>
        </w:rPr>
      </w:pPr>
    </w:p>
    <w:p w:rsidR="00C20B10" w:rsidRPr="00E96111" w:rsidRDefault="00C20B10" w:rsidP="00C20B10">
      <w:pPr>
        <w:rPr>
          <w:rFonts w:asciiTheme="minorHAnsi" w:hAnsiTheme="minorHAnsi" w:cs="Calibri"/>
          <w:b/>
          <w:sz w:val="20"/>
          <w:szCs w:val="20"/>
        </w:rPr>
      </w:pPr>
      <w:r w:rsidRPr="00E96111">
        <w:rPr>
          <w:rFonts w:asciiTheme="minorHAnsi" w:hAnsiTheme="minorHAnsi" w:cs="Calibri"/>
          <w:b/>
          <w:sz w:val="20"/>
          <w:szCs w:val="20"/>
        </w:rPr>
        <w:t>Tabuľka č.</w:t>
      </w:r>
      <w:r w:rsidR="009309F8" w:rsidRPr="00E96111">
        <w:rPr>
          <w:rFonts w:asciiTheme="minorHAnsi" w:hAnsiTheme="minorHAnsi" w:cs="Calibri"/>
          <w:b/>
          <w:sz w:val="20"/>
          <w:szCs w:val="20"/>
        </w:rPr>
        <w:t xml:space="preserve"> 3.</w:t>
      </w:r>
      <w:r w:rsidRPr="00E96111">
        <w:rPr>
          <w:rFonts w:asciiTheme="minorHAnsi" w:hAnsiTheme="minorHAnsi" w:cs="Calibri"/>
          <w:b/>
          <w:sz w:val="20"/>
          <w:szCs w:val="20"/>
        </w:rPr>
        <w:t>11: Štruktúra študentov z hľadiska kraja v % k 31 10. daného akademického roka</w:t>
      </w:r>
    </w:p>
    <w:tbl>
      <w:tblPr>
        <w:tblW w:w="7381" w:type="dxa"/>
        <w:tblInd w:w="55" w:type="dxa"/>
        <w:tblCellMar>
          <w:left w:w="70" w:type="dxa"/>
          <w:right w:w="70" w:type="dxa"/>
        </w:tblCellMar>
        <w:tblLook w:val="04A0" w:firstRow="1" w:lastRow="0" w:firstColumn="1" w:lastColumn="0" w:noHBand="0" w:noVBand="1"/>
      </w:tblPr>
      <w:tblGrid>
        <w:gridCol w:w="1631"/>
        <w:gridCol w:w="1150"/>
        <w:gridCol w:w="1150"/>
        <w:gridCol w:w="1150"/>
        <w:gridCol w:w="1150"/>
        <w:gridCol w:w="1150"/>
      </w:tblGrid>
      <w:tr w:rsidR="00C20B10" w:rsidRPr="00E96111" w:rsidTr="00CE307D">
        <w:trPr>
          <w:trHeight w:val="270"/>
        </w:trPr>
        <w:tc>
          <w:tcPr>
            <w:tcW w:w="16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B10" w:rsidRPr="00E96111" w:rsidRDefault="00C20B10" w:rsidP="00CE307D">
            <w:pPr>
              <w:rPr>
                <w:rFonts w:asciiTheme="minorHAnsi" w:eastAsia="Times New Roman" w:hAnsiTheme="minorHAnsi" w:cs="Arial"/>
                <w:b/>
                <w:bCs/>
                <w:color w:val="000000"/>
                <w:sz w:val="20"/>
                <w:szCs w:val="20"/>
                <w:lang w:eastAsia="sk-SK"/>
              </w:rPr>
            </w:pPr>
            <w:r w:rsidRPr="00E96111">
              <w:rPr>
                <w:rFonts w:asciiTheme="minorHAnsi" w:eastAsia="Times New Roman" w:hAnsiTheme="minorHAnsi" w:cs="Arial"/>
                <w:b/>
                <w:bCs/>
                <w:color w:val="000000"/>
                <w:sz w:val="20"/>
                <w:szCs w:val="20"/>
                <w:lang w:eastAsia="sk-SK"/>
              </w:rPr>
              <w:t>miesto bydliska</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C20B10" w:rsidRPr="00E96111" w:rsidRDefault="00C20B10" w:rsidP="00CE307D">
            <w:pPr>
              <w:jc w:val="right"/>
              <w:rPr>
                <w:rFonts w:asciiTheme="minorHAnsi" w:eastAsia="Times New Roman" w:hAnsiTheme="minorHAnsi" w:cs="Arial"/>
                <w:b/>
                <w:bCs/>
                <w:color w:val="000000"/>
                <w:sz w:val="20"/>
                <w:szCs w:val="20"/>
                <w:lang w:eastAsia="sk-SK"/>
              </w:rPr>
            </w:pPr>
            <w:r w:rsidRPr="00E96111">
              <w:rPr>
                <w:rFonts w:asciiTheme="minorHAnsi" w:eastAsia="Times New Roman" w:hAnsiTheme="minorHAnsi" w:cs="Arial"/>
                <w:b/>
                <w:bCs/>
                <w:color w:val="000000"/>
                <w:sz w:val="20"/>
                <w:szCs w:val="20"/>
                <w:lang w:eastAsia="sk-SK"/>
              </w:rPr>
              <w:t>31.10.2010</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C20B10" w:rsidRPr="00E96111" w:rsidRDefault="00C20B10" w:rsidP="00CE307D">
            <w:pPr>
              <w:jc w:val="right"/>
              <w:rPr>
                <w:rFonts w:asciiTheme="minorHAnsi" w:eastAsia="Times New Roman" w:hAnsiTheme="minorHAnsi" w:cs="Arial"/>
                <w:b/>
                <w:bCs/>
                <w:color w:val="000000"/>
                <w:sz w:val="20"/>
                <w:szCs w:val="20"/>
                <w:lang w:eastAsia="sk-SK"/>
              </w:rPr>
            </w:pPr>
            <w:r w:rsidRPr="00E96111">
              <w:rPr>
                <w:rFonts w:asciiTheme="minorHAnsi" w:eastAsia="Times New Roman" w:hAnsiTheme="minorHAnsi" w:cs="Arial"/>
                <w:b/>
                <w:bCs/>
                <w:color w:val="000000"/>
                <w:sz w:val="20"/>
                <w:szCs w:val="20"/>
                <w:lang w:eastAsia="sk-SK"/>
              </w:rPr>
              <w:t>31.10.2011</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C20B10" w:rsidRPr="00E96111" w:rsidRDefault="00C20B10" w:rsidP="00CE307D">
            <w:pPr>
              <w:jc w:val="right"/>
              <w:rPr>
                <w:rFonts w:asciiTheme="minorHAnsi" w:eastAsia="Times New Roman" w:hAnsiTheme="minorHAnsi" w:cs="Arial"/>
                <w:b/>
                <w:bCs/>
                <w:color w:val="000000"/>
                <w:sz w:val="20"/>
                <w:szCs w:val="20"/>
                <w:lang w:eastAsia="sk-SK"/>
              </w:rPr>
            </w:pPr>
            <w:r w:rsidRPr="00E96111">
              <w:rPr>
                <w:rFonts w:asciiTheme="minorHAnsi" w:eastAsia="Times New Roman" w:hAnsiTheme="minorHAnsi" w:cs="Arial"/>
                <w:b/>
                <w:bCs/>
                <w:color w:val="000000"/>
                <w:sz w:val="20"/>
                <w:szCs w:val="20"/>
                <w:lang w:eastAsia="sk-SK"/>
              </w:rPr>
              <w:t>31.10.2012</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C20B10" w:rsidRPr="00E96111" w:rsidRDefault="00C20B10" w:rsidP="00CE307D">
            <w:pPr>
              <w:jc w:val="right"/>
              <w:rPr>
                <w:rFonts w:asciiTheme="minorHAnsi" w:eastAsia="Times New Roman" w:hAnsiTheme="minorHAnsi" w:cs="Arial"/>
                <w:b/>
                <w:bCs/>
                <w:color w:val="000000"/>
                <w:sz w:val="20"/>
                <w:szCs w:val="20"/>
                <w:lang w:eastAsia="sk-SK"/>
              </w:rPr>
            </w:pPr>
            <w:r w:rsidRPr="00E96111">
              <w:rPr>
                <w:rFonts w:asciiTheme="minorHAnsi" w:eastAsia="Times New Roman" w:hAnsiTheme="minorHAnsi" w:cs="Arial"/>
                <w:b/>
                <w:bCs/>
                <w:color w:val="000000"/>
                <w:sz w:val="20"/>
                <w:szCs w:val="20"/>
                <w:lang w:eastAsia="sk-SK"/>
              </w:rPr>
              <w:t>31.10.2013</w:t>
            </w:r>
          </w:p>
        </w:tc>
        <w:tc>
          <w:tcPr>
            <w:tcW w:w="1150" w:type="dxa"/>
            <w:tcBorders>
              <w:top w:val="single" w:sz="8" w:space="0" w:color="auto"/>
              <w:left w:val="nil"/>
              <w:bottom w:val="single" w:sz="8" w:space="0" w:color="auto"/>
              <w:right w:val="single" w:sz="8" w:space="0" w:color="auto"/>
            </w:tcBorders>
            <w:shd w:val="clear" w:color="auto" w:fill="auto"/>
            <w:vAlign w:val="center"/>
            <w:hideMark/>
          </w:tcPr>
          <w:p w:rsidR="00C20B10" w:rsidRPr="00E96111" w:rsidRDefault="00C20B10" w:rsidP="00CE307D">
            <w:pPr>
              <w:jc w:val="right"/>
              <w:rPr>
                <w:rFonts w:asciiTheme="minorHAnsi" w:eastAsia="Times New Roman" w:hAnsiTheme="minorHAnsi" w:cs="Arial"/>
                <w:b/>
                <w:bCs/>
                <w:color w:val="000000"/>
                <w:sz w:val="20"/>
                <w:szCs w:val="20"/>
                <w:lang w:eastAsia="sk-SK"/>
              </w:rPr>
            </w:pPr>
            <w:r w:rsidRPr="00E96111">
              <w:rPr>
                <w:rFonts w:asciiTheme="minorHAnsi" w:eastAsia="Times New Roman" w:hAnsiTheme="minorHAnsi" w:cs="Arial"/>
                <w:b/>
                <w:bCs/>
                <w:color w:val="000000"/>
                <w:sz w:val="20"/>
                <w:szCs w:val="20"/>
                <w:lang w:eastAsia="sk-SK"/>
              </w:rPr>
              <w:t>31.10.2014</w:t>
            </w:r>
          </w:p>
        </w:tc>
      </w:tr>
      <w:tr w:rsidR="00C20B10" w:rsidRPr="00E96111" w:rsidTr="00CE307D">
        <w:trPr>
          <w:trHeight w:val="525"/>
        </w:trPr>
        <w:tc>
          <w:tcPr>
            <w:tcW w:w="1631" w:type="dxa"/>
            <w:tcBorders>
              <w:top w:val="nil"/>
              <w:left w:val="single" w:sz="8" w:space="0" w:color="auto"/>
              <w:bottom w:val="single" w:sz="8" w:space="0" w:color="auto"/>
              <w:right w:val="single" w:sz="8" w:space="0" w:color="auto"/>
            </w:tcBorders>
            <w:shd w:val="clear" w:color="auto" w:fill="auto"/>
            <w:vAlign w:val="center"/>
            <w:hideMark/>
          </w:tcPr>
          <w:p w:rsidR="00C20B10" w:rsidRPr="00E96111" w:rsidRDefault="00C20B10" w:rsidP="00CE307D">
            <w:pPr>
              <w:rPr>
                <w:rFonts w:asciiTheme="minorHAnsi" w:eastAsia="Times New Roman" w:hAnsiTheme="minorHAnsi" w:cs="Arial"/>
                <w:color w:val="000000"/>
                <w:sz w:val="20"/>
                <w:szCs w:val="20"/>
                <w:lang w:eastAsia="sk-SK"/>
              </w:rPr>
            </w:pPr>
            <w:proofErr w:type="spellStart"/>
            <w:r w:rsidRPr="00E96111">
              <w:rPr>
                <w:rFonts w:asciiTheme="minorHAnsi" w:eastAsia="Times New Roman" w:hAnsiTheme="minorHAnsi" w:cs="Arial"/>
                <w:color w:val="000000"/>
                <w:sz w:val="20"/>
                <w:szCs w:val="20"/>
                <w:lang w:eastAsia="sk-SK"/>
              </w:rPr>
              <w:t>mimobratislavké</w:t>
            </w:r>
            <w:proofErr w:type="spellEnd"/>
            <w:r w:rsidRPr="00E96111">
              <w:rPr>
                <w:rFonts w:asciiTheme="minorHAnsi" w:eastAsia="Times New Roman" w:hAnsiTheme="minorHAnsi" w:cs="Arial"/>
                <w:color w:val="000000"/>
                <w:sz w:val="20"/>
                <w:szCs w:val="20"/>
                <w:lang w:eastAsia="sk-SK"/>
              </w:rPr>
              <w:t xml:space="preserve"> kraje spolu</w:t>
            </w:r>
          </w:p>
        </w:tc>
        <w:tc>
          <w:tcPr>
            <w:tcW w:w="1150" w:type="dxa"/>
            <w:tcBorders>
              <w:top w:val="nil"/>
              <w:left w:val="nil"/>
              <w:bottom w:val="single" w:sz="8" w:space="0" w:color="auto"/>
              <w:right w:val="single" w:sz="8" w:space="0" w:color="auto"/>
            </w:tcBorders>
            <w:shd w:val="clear" w:color="auto" w:fill="auto"/>
            <w:vAlign w:val="center"/>
            <w:hideMark/>
          </w:tcPr>
          <w:p w:rsidR="00C20B10" w:rsidRPr="00E96111" w:rsidRDefault="00C20B10" w:rsidP="00CE307D">
            <w:pPr>
              <w:jc w:val="center"/>
              <w:rPr>
                <w:rFonts w:asciiTheme="minorHAnsi" w:eastAsia="Times New Roman" w:hAnsiTheme="minorHAnsi" w:cs="Arial"/>
                <w:color w:val="000000"/>
                <w:sz w:val="20"/>
                <w:szCs w:val="20"/>
                <w:lang w:eastAsia="sk-SK"/>
              </w:rPr>
            </w:pPr>
            <w:r w:rsidRPr="00E96111">
              <w:rPr>
                <w:rFonts w:asciiTheme="minorHAnsi" w:eastAsia="Times New Roman" w:hAnsiTheme="minorHAnsi" w:cs="Arial"/>
                <w:color w:val="000000"/>
                <w:sz w:val="20"/>
                <w:szCs w:val="20"/>
                <w:lang w:eastAsia="sk-SK"/>
              </w:rPr>
              <w:t>75,24</w:t>
            </w:r>
          </w:p>
        </w:tc>
        <w:tc>
          <w:tcPr>
            <w:tcW w:w="1150" w:type="dxa"/>
            <w:tcBorders>
              <w:top w:val="nil"/>
              <w:left w:val="nil"/>
              <w:bottom w:val="single" w:sz="8" w:space="0" w:color="auto"/>
              <w:right w:val="single" w:sz="8" w:space="0" w:color="auto"/>
            </w:tcBorders>
            <w:shd w:val="clear" w:color="auto" w:fill="auto"/>
            <w:vAlign w:val="center"/>
            <w:hideMark/>
          </w:tcPr>
          <w:p w:rsidR="00C20B10" w:rsidRPr="00E96111" w:rsidRDefault="00C20B10" w:rsidP="00CE307D">
            <w:pPr>
              <w:jc w:val="center"/>
              <w:rPr>
                <w:rFonts w:asciiTheme="minorHAnsi" w:eastAsia="Times New Roman" w:hAnsiTheme="minorHAnsi" w:cs="Arial"/>
                <w:color w:val="000000"/>
                <w:sz w:val="20"/>
                <w:szCs w:val="20"/>
                <w:lang w:eastAsia="sk-SK"/>
              </w:rPr>
            </w:pPr>
            <w:r w:rsidRPr="00E96111">
              <w:rPr>
                <w:rFonts w:asciiTheme="minorHAnsi" w:eastAsia="Times New Roman" w:hAnsiTheme="minorHAnsi" w:cs="Arial"/>
                <w:color w:val="000000"/>
                <w:sz w:val="20"/>
                <w:szCs w:val="20"/>
                <w:lang w:eastAsia="sk-SK"/>
              </w:rPr>
              <w:t>76,91</w:t>
            </w:r>
          </w:p>
        </w:tc>
        <w:tc>
          <w:tcPr>
            <w:tcW w:w="1150" w:type="dxa"/>
            <w:tcBorders>
              <w:top w:val="nil"/>
              <w:left w:val="nil"/>
              <w:bottom w:val="single" w:sz="8" w:space="0" w:color="auto"/>
              <w:right w:val="single" w:sz="8" w:space="0" w:color="auto"/>
            </w:tcBorders>
            <w:shd w:val="clear" w:color="auto" w:fill="auto"/>
            <w:vAlign w:val="center"/>
            <w:hideMark/>
          </w:tcPr>
          <w:p w:rsidR="00C20B10" w:rsidRPr="00E96111" w:rsidRDefault="00C20B10" w:rsidP="00CE307D">
            <w:pPr>
              <w:jc w:val="center"/>
              <w:rPr>
                <w:rFonts w:asciiTheme="minorHAnsi" w:eastAsia="Times New Roman" w:hAnsiTheme="minorHAnsi" w:cs="Arial"/>
                <w:color w:val="000000"/>
                <w:sz w:val="20"/>
                <w:szCs w:val="20"/>
                <w:lang w:eastAsia="sk-SK"/>
              </w:rPr>
            </w:pPr>
            <w:r w:rsidRPr="00E96111">
              <w:rPr>
                <w:rFonts w:asciiTheme="minorHAnsi" w:eastAsia="Times New Roman" w:hAnsiTheme="minorHAnsi" w:cs="Arial"/>
                <w:color w:val="000000"/>
                <w:sz w:val="20"/>
                <w:szCs w:val="20"/>
                <w:lang w:eastAsia="sk-SK"/>
              </w:rPr>
              <w:t>78,3</w:t>
            </w:r>
          </w:p>
        </w:tc>
        <w:tc>
          <w:tcPr>
            <w:tcW w:w="1150" w:type="dxa"/>
            <w:tcBorders>
              <w:top w:val="nil"/>
              <w:left w:val="nil"/>
              <w:bottom w:val="single" w:sz="8" w:space="0" w:color="auto"/>
              <w:right w:val="single" w:sz="8" w:space="0" w:color="auto"/>
            </w:tcBorders>
            <w:shd w:val="clear" w:color="auto" w:fill="auto"/>
            <w:vAlign w:val="center"/>
            <w:hideMark/>
          </w:tcPr>
          <w:p w:rsidR="00C20B10" w:rsidRPr="00E96111" w:rsidRDefault="00C20B10" w:rsidP="00CE307D">
            <w:pPr>
              <w:jc w:val="center"/>
              <w:rPr>
                <w:rFonts w:asciiTheme="minorHAnsi" w:eastAsia="Times New Roman" w:hAnsiTheme="minorHAnsi" w:cs="Arial"/>
                <w:color w:val="000000"/>
                <w:sz w:val="20"/>
                <w:szCs w:val="20"/>
                <w:lang w:eastAsia="sk-SK"/>
              </w:rPr>
            </w:pPr>
            <w:r w:rsidRPr="00E96111">
              <w:rPr>
                <w:rFonts w:asciiTheme="minorHAnsi" w:eastAsia="Times New Roman" w:hAnsiTheme="minorHAnsi" w:cs="Arial"/>
                <w:color w:val="000000"/>
                <w:sz w:val="20"/>
                <w:szCs w:val="20"/>
                <w:lang w:eastAsia="sk-SK"/>
              </w:rPr>
              <w:t>76,2</w:t>
            </w:r>
          </w:p>
        </w:tc>
        <w:tc>
          <w:tcPr>
            <w:tcW w:w="1150" w:type="dxa"/>
            <w:tcBorders>
              <w:top w:val="nil"/>
              <w:left w:val="nil"/>
              <w:bottom w:val="single" w:sz="8" w:space="0" w:color="auto"/>
              <w:right w:val="single" w:sz="8" w:space="0" w:color="auto"/>
            </w:tcBorders>
            <w:shd w:val="clear" w:color="auto" w:fill="auto"/>
            <w:vAlign w:val="center"/>
            <w:hideMark/>
          </w:tcPr>
          <w:p w:rsidR="00C20B10" w:rsidRPr="00E96111" w:rsidRDefault="00C20B10" w:rsidP="00CE307D">
            <w:pPr>
              <w:jc w:val="center"/>
              <w:rPr>
                <w:rFonts w:asciiTheme="minorHAnsi" w:eastAsia="Times New Roman" w:hAnsiTheme="minorHAnsi" w:cs="Arial"/>
                <w:color w:val="000000"/>
                <w:sz w:val="20"/>
                <w:szCs w:val="20"/>
                <w:lang w:eastAsia="sk-SK"/>
              </w:rPr>
            </w:pPr>
            <w:r w:rsidRPr="00E96111">
              <w:rPr>
                <w:rFonts w:asciiTheme="minorHAnsi" w:eastAsia="Times New Roman" w:hAnsiTheme="minorHAnsi" w:cs="Arial"/>
                <w:color w:val="000000"/>
                <w:sz w:val="20"/>
                <w:szCs w:val="20"/>
                <w:lang w:eastAsia="sk-SK"/>
              </w:rPr>
              <w:t>79,1</w:t>
            </w:r>
          </w:p>
        </w:tc>
      </w:tr>
      <w:tr w:rsidR="00C20B10" w:rsidRPr="00E96111" w:rsidTr="00CE307D">
        <w:trPr>
          <w:trHeight w:val="270"/>
        </w:trPr>
        <w:tc>
          <w:tcPr>
            <w:tcW w:w="1631" w:type="dxa"/>
            <w:tcBorders>
              <w:top w:val="nil"/>
              <w:left w:val="single" w:sz="8" w:space="0" w:color="auto"/>
              <w:bottom w:val="single" w:sz="8" w:space="0" w:color="auto"/>
              <w:right w:val="single" w:sz="8" w:space="0" w:color="auto"/>
            </w:tcBorders>
            <w:shd w:val="clear" w:color="auto" w:fill="auto"/>
            <w:vAlign w:val="center"/>
            <w:hideMark/>
          </w:tcPr>
          <w:p w:rsidR="00C20B10" w:rsidRPr="00E96111" w:rsidRDefault="00C20B10" w:rsidP="00CE307D">
            <w:pPr>
              <w:rPr>
                <w:rFonts w:asciiTheme="minorHAnsi" w:eastAsia="Times New Roman" w:hAnsiTheme="minorHAnsi" w:cs="Arial"/>
                <w:color w:val="000000"/>
                <w:sz w:val="20"/>
                <w:szCs w:val="20"/>
                <w:lang w:eastAsia="sk-SK"/>
              </w:rPr>
            </w:pPr>
            <w:r w:rsidRPr="00E96111">
              <w:rPr>
                <w:rFonts w:asciiTheme="minorHAnsi" w:eastAsia="Times New Roman" w:hAnsiTheme="minorHAnsi" w:cs="Arial"/>
                <w:color w:val="000000"/>
                <w:sz w:val="20"/>
                <w:szCs w:val="20"/>
                <w:lang w:eastAsia="sk-SK"/>
              </w:rPr>
              <w:t>bratislavský kraj</w:t>
            </w:r>
          </w:p>
        </w:tc>
        <w:tc>
          <w:tcPr>
            <w:tcW w:w="1150" w:type="dxa"/>
            <w:tcBorders>
              <w:top w:val="nil"/>
              <w:left w:val="nil"/>
              <w:bottom w:val="single" w:sz="8" w:space="0" w:color="auto"/>
              <w:right w:val="single" w:sz="8" w:space="0" w:color="auto"/>
            </w:tcBorders>
            <w:shd w:val="clear" w:color="auto" w:fill="auto"/>
            <w:vAlign w:val="center"/>
            <w:hideMark/>
          </w:tcPr>
          <w:p w:rsidR="00C20B10" w:rsidRPr="00E96111" w:rsidRDefault="00C20B10" w:rsidP="00CE307D">
            <w:pPr>
              <w:jc w:val="center"/>
              <w:rPr>
                <w:rFonts w:asciiTheme="minorHAnsi" w:eastAsia="Times New Roman" w:hAnsiTheme="minorHAnsi" w:cs="Arial"/>
                <w:color w:val="000000"/>
                <w:sz w:val="20"/>
                <w:szCs w:val="20"/>
                <w:lang w:eastAsia="sk-SK"/>
              </w:rPr>
            </w:pPr>
            <w:r w:rsidRPr="00E96111">
              <w:rPr>
                <w:rFonts w:asciiTheme="minorHAnsi" w:eastAsia="Times New Roman" w:hAnsiTheme="minorHAnsi" w:cs="Arial"/>
                <w:color w:val="000000"/>
                <w:sz w:val="20"/>
                <w:szCs w:val="20"/>
                <w:lang w:eastAsia="sk-SK"/>
              </w:rPr>
              <w:t>24,76</w:t>
            </w:r>
          </w:p>
        </w:tc>
        <w:tc>
          <w:tcPr>
            <w:tcW w:w="1150" w:type="dxa"/>
            <w:tcBorders>
              <w:top w:val="nil"/>
              <w:left w:val="nil"/>
              <w:bottom w:val="single" w:sz="8" w:space="0" w:color="auto"/>
              <w:right w:val="single" w:sz="8" w:space="0" w:color="auto"/>
            </w:tcBorders>
            <w:shd w:val="clear" w:color="auto" w:fill="auto"/>
            <w:vAlign w:val="center"/>
            <w:hideMark/>
          </w:tcPr>
          <w:p w:rsidR="00C20B10" w:rsidRPr="00E96111" w:rsidRDefault="00C20B10" w:rsidP="00CE307D">
            <w:pPr>
              <w:jc w:val="center"/>
              <w:rPr>
                <w:rFonts w:asciiTheme="minorHAnsi" w:eastAsia="Times New Roman" w:hAnsiTheme="minorHAnsi" w:cs="Arial"/>
                <w:color w:val="000000"/>
                <w:sz w:val="20"/>
                <w:szCs w:val="20"/>
                <w:lang w:eastAsia="sk-SK"/>
              </w:rPr>
            </w:pPr>
            <w:r w:rsidRPr="00E96111">
              <w:rPr>
                <w:rFonts w:asciiTheme="minorHAnsi" w:eastAsia="Times New Roman" w:hAnsiTheme="minorHAnsi" w:cs="Arial"/>
                <w:color w:val="000000"/>
                <w:sz w:val="20"/>
                <w:szCs w:val="20"/>
                <w:lang w:eastAsia="sk-SK"/>
              </w:rPr>
              <w:t>23,09</w:t>
            </w:r>
          </w:p>
        </w:tc>
        <w:tc>
          <w:tcPr>
            <w:tcW w:w="1150" w:type="dxa"/>
            <w:tcBorders>
              <w:top w:val="nil"/>
              <w:left w:val="nil"/>
              <w:bottom w:val="single" w:sz="8" w:space="0" w:color="auto"/>
              <w:right w:val="single" w:sz="8" w:space="0" w:color="auto"/>
            </w:tcBorders>
            <w:shd w:val="clear" w:color="auto" w:fill="auto"/>
            <w:vAlign w:val="center"/>
            <w:hideMark/>
          </w:tcPr>
          <w:p w:rsidR="00C20B10" w:rsidRPr="00E96111" w:rsidRDefault="00C20B10" w:rsidP="00CE307D">
            <w:pPr>
              <w:jc w:val="center"/>
              <w:rPr>
                <w:rFonts w:asciiTheme="minorHAnsi" w:eastAsia="Times New Roman" w:hAnsiTheme="minorHAnsi" w:cs="Arial"/>
                <w:color w:val="000000"/>
                <w:sz w:val="20"/>
                <w:szCs w:val="20"/>
                <w:lang w:eastAsia="sk-SK"/>
              </w:rPr>
            </w:pPr>
            <w:r w:rsidRPr="00E96111">
              <w:rPr>
                <w:rFonts w:asciiTheme="minorHAnsi" w:eastAsia="Times New Roman" w:hAnsiTheme="minorHAnsi" w:cs="Arial"/>
                <w:color w:val="000000"/>
                <w:sz w:val="20"/>
                <w:szCs w:val="20"/>
                <w:lang w:eastAsia="sk-SK"/>
              </w:rPr>
              <w:t>21,7</w:t>
            </w:r>
          </w:p>
        </w:tc>
        <w:tc>
          <w:tcPr>
            <w:tcW w:w="1150" w:type="dxa"/>
            <w:tcBorders>
              <w:top w:val="nil"/>
              <w:left w:val="nil"/>
              <w:bottom w:val="single" w:sz="8" w:space="0" w:color="auto"/>
              <w:right w:val="single" w:sz="8" w:space="0" w:color="auto"/>
            </w:tcBorders>
            <w:shd w:val="clear" w:color="auto" w:fill="auto"/>
            <w:vAlign w:val="center"/>
            <w:hideMark/>
          </w:tcPr>
          <w:p w:rsidR="00C20B10" w:rsidRPr="00E96111" w:rsidRDefault="00C20B10" w:rsidP="00CE307D">
            <w:pPr>
              <w:jc w:val="center"/>
              <w:rPr>
                <w:rFonts w:asciiTheme="minorHAnsi" w:eastAsia="Times New Roman" w:hAnsiTheme="minorHAnsi" w:cs="Arial"/>
                <w:color w:val="000000"/>
                <w:sz w:val="20"/>
                <w:szCs w:val="20"/>
                <w:lang w:eastAsia="sk-SK"/>
              </w:rPr>
            </w:pPr>
            <w:r w:rsidRPr="00E96111">
              <w:rPr>
                <w:rFonts w:asciiTheme="minorHAnsi" w:eastAsia="Times New Roman" w:hAnsiTheme="minorHAnsi" w:cs="Arial"/>
                <w:color w:val="000000"/>
                <w:sz w:val="20"/>
                <w:szCs w:val="20"/>
                <w:lang w:eastAsia="sk-SK"/>
              </w:rPr>
              <w:t>23,8</w:t>
            </w:r>
          </w:p>
        </w:tc>
        <w:tc>
          <w:tcPr>
            <w:tcW w:w="1150" w:type="dxa"/>
            <w:tcBorders>
              <w:top w:val="nil"/>
              <w:left w:val="nil"/>
              <w:bottom w:val="single" w:sz="8" w:space="0" w:color="auto"/>
              <w:right w:val="single" w:sz="8" w:space="0" w:color="auto"/>
            </w:tcBorders>
            <w:shd w:val="clear" w:color="auto" w:fill="auto"/>
            <w:vAlign w:val="center"/>
            <w:hideMark/>
          </w:tcPr>
          <w:p w:rsidR="00C20B10" w:rsidRPr="00E96111" w:rsidRDefault="00C20B10" w:rsidP="00CE307D">
            <w:pPr>
              <w:jc w:val="center"/>
              <w:rPr>
                <w:rFonts w:asciiTheme="minorHAnsi" w:eastAsia="Times New Roman" w:hAnsiTheme="minorHAnsi" w:cs="Arial"/>
                <w:color w:val="000000"/>
                <w:sz w:val="20"/>
                <w:szCs w:val="20"/>
                <w:lang w:eastAsia="sk-SK"/>
              </w:rPr>
            </w:pPr>
            <w:r w:rsidRPr="00E96111">
              <w:rPr>
                <w:rFonts w:asciiTheme="minorHAnsi" w:eastAsia="Times New Roman" w:hAnsiTheme="minorHAnsi" w:cs="Arial"/>
                <w:color w:val="000000"/>
                <w:sz w:val="20"/>
                <w:szCs w:val="20"/>
                <w:lang w:eastAsia="sk-SK"/>
              </w:rPr>
              <w:t>20,9</w:t>
            </w:r>
          </w:p>
        </w:tc>
      </w:tr>
    </w:tbl>
    <w:p w:rsidR="00C20B10" w:rsidRPr="002D7A10" w:rsidRDefault="00C20B10" w:rsidP="00C20B10">
      <w:pPr>
        <w:rPr>
          <w:rFonts w:asciiTheme="minorHAnsi" w:hAnsiTheme="minorHAnsi" w:cs="Calibri"/>
        </w:rPr>
      </w:pPr>
    </w:p>
    <w:p w:rsidR="00C20B10" w:rsidRPr="002D7A10" w:rsidRDefault="00C20B10" w:rsidP="00C20B10">
      <w:pPr>
        <w:rPr>
          <w:rFonts w:asciiTheme="minorHAnsi" w:hAnsiTheme="minorHAnsi" w:cs="Calibri"/>
        </w:rPr>
      </w:pPr>
      <w:r w:rsidRPr="002D7A10">
        <w:rPr>
          <w:rFonts w:asciiTheme="minorHAnsi" w:hAnsiTheme="minorHAnsi" w:cs="Calibri"/>
        </w:rPr>
        <w:t xml:space="preserve">Zahraniční študenti študujú na STU vo všetkých troch stupňoch vysokoškolského vzdelávania. Počet zahraničných študentov, ktorý nezaháňa krátkodobé študijné pobyty (študentov študujúcich v rámci akademickej mobility) za posledných päť akad. rokov udáva </w:t>
      </w:r>
      <w:r w:rsidR="009309F8" w:rsidRPr="002D7A10">
        <w:rPr>
          <w:rFonts w:asciiTheme="minorHAnsi" w:hAnsiTheme="minorHAnsi" w:cs="Calibri"/>
        </w:rPr>
        <w:t>t</w:t>
      </w:r>
      <w:r w:rsidRPr="002D7A10">
        <w:rPr>
          <w:rFonts w:asciiTheme="minorHAnsi" w:hAnsiTheme="minorHAnsi" w:cs="Calibri"/>
        </w:rPr>
        <w:t xml:space="preserve">abuľka č. </w:t>
      </w:r>
      <w:r w:rsidR="009309F8" w:rsidRPr="002D7A10">
        <w:rPr>
          <w:rFonts w:asciiTheme="minorHAnsi" w:hAnsiTheme="minorHAnsi" w:cs="Calibri"/>
        </w:rPr>
        <w:t>3.</w:t>
      </w:r>
      <w:r w:rsidRPr="002D7A10">
        <w:rPr>
          <w:rFonts w:asciiTheme="minorHAnsi" w:hAnsiTheme="minorHAnsi" w:cs="Calibri"/>
        </w:rPr>
        <w:t>12 a </w:t>
      </w:r>
      <w:r w:rsidR="009309F8" w:rsidRPr="002D7A10">
        <w:rPr>
          <w:rFonts w:asciiTheme="minorHAnsi" w:hAnsiTheme="minorHAnsi" w:cs="Calibri"/>
        </w:rPr>
        <w:t>g</w:t>
      </w:r>
      <w:r w:rsidRPr="002D7A10">
        <w:rPr>
          <w:rFonts w:asciiTheme="minorHAnsi" w:hAnsiTheme="minorHAnsi" w:cs="Calibri"/>
        </w:rPr>
        <w:t>raf č. </w:t>
      </w:r>
      <w:r w:rsidR="009309F8" w:rsidRPr="002D7A10">
        <w:rPr>
          <w:rFonts w:asciiTheme="minorHAnsi" w:hAnsiTheme="minorHAnsi" w:cs="Calibri"/>
        </w:rPr>
        <w:t>3.</w:t>
      </w:r>
      <w:r w:rsidRPr="002D7A10">
        <w:rPr>
          <w:rFonts w:asciiTheme="minorHAnsi" w:hAnsiTheme="minorHAnsi" w:cs="Calibri"/>
        </w:rPr>
        <w:t xml:space="preserve">6. Z tabuľky vidieť, že </w:t>
      </w:r>
      <w:r w:rsidRPr="002D7A10">
        <w:rPr>
          <w:rFonts w:asciiTheme="minorHAnsi" w:hAnsiTheme="minorHAnsi" w:cs="Calibri"/>
          <w:b/>
        </w:rPr>
        <w:t xml:space="preserve">počet </w:t>
      </w:r>
      <w:r w:rsidR="00414FDD" w:rsidRPr="002D7A10">
        <w:rPr>
          <w:rFonts w:asciiTheme="minorHAnsi" w:hAnsiTheme="minorHAnsi" w:cs="Calibri"/>
          <w:b/>
        </w:rPr>
        <w:t xml:space="preserve">zahraničných </w:t>
      </w:r>
      <w:r w:rsidRPr="002D7A10">
        <w:rPr>
          <w:rFonts w:asciiTheme="minorHAnsi" w:hAnsiTheme="minorHAnsi" w:cs="Calibri"/>
          <w:b/>
        </w:rPr>
        <w:t>študentov v posledných rokoch sa znižuje a stále predstavuje z celkového počtu študentov štatisticky nevýznamnú časť.</w:t>
      </w:r>
      <w:r w:rsidRPr="002D7A10">
        <w:rPr>
          <w:rFonts w:asciiTheme="minorHAnsi" w:hAnsiTheme="minorHAnsi" w:cs="Calibri"/>
        </w:rPr>
        <w:t xml:space="preserve"> Dôvodom je nie veľký počet študijných programov, ktoré sú komplexne realizované v anglickom jazyku (v takejto podobe </w:t>
      </w:r>
      <w:r w:rsidR="00414FDD" w:rsidRPr="002D7A10">
        <w:rPr>
          <w:rFonts w:asciiTheme="minorHAnsi" w:hAnsiTheme="minorHAnsi" w:cs="Calibri"/>
        </w:rPr>
        <w:t xml:space="preserve">je </w:t>
      </w:r>
      <w:r w:rsidRPr="002D7A10">
        <w:rPr>
          <w:rFonts w:asciiTheme="minorHAnsi" w:hAnsiTheme="minorHAnsi" w:cs="Calibri"/>
        </w:rPr>
        <w:t>štúdium v</w:t>
      </w:r>
      <w:r w:rsidR="00414FDD" w:rsidRPr="002D7A10">
        <w:rPr>
          <w:rFonts w:asciiTheme="minorHAnsi" w:hAnsiTheme="minorHAnsi" w:cs="Calibri"/>
        </w:rPr>
        <w:t xml:space="preserve"> anglickom jazyku </w:t>
      </w:r>
      <w:r w:rsidRPr="002D7A10">
        <w:rPr>
          <w:rFonts w:asciiTheme="minorHAnsi" w:hAnsiTheme="minorHAnsi" w:cs="Calibri"/>
        </w:rPr>
        <w:t>realizované na SvF, SjF, FEI, a FA), ale aj legislatívny rámec pre štúdium cudzincov na území Slovenska, ktorý vytvára bariéry (napr. komplikované uznávanie dokladov o vzdelaní, vízová politika). Viac ako jednu štvrtinu zahraničných študentov v akad. roku 2014/2015, čo predstavuje 81 študentov z celkového počtu zahraničných študentov, študuje na STU v rámci štipendií vlády Slovenskej republiky v rámci oficiálnej rozvojovej pomoci. Ich štúdium je realizované v slovenskom jazyku.</w:t>
      </w:r>
    </w:p>
    <w:p w:rsidR="00C20B10" w:rsidRPr="00720064" w:rsidRDefault="00C20B10" w:rsidP="00C20B10">
      <w:pPr>
        <w:rPr>
          <w:rFonts w:asciiTheme="minorHAnsi" w:hAnsiTheme="minorHAnsi" w:cs="Calibri"/>
          <w:sz w:val="20"/>
          <w:szCs w:val="20"/>
        </w:rPr>
      </w:pPr>
    </w:p>
    <w:p w:rsidR="000A7301" w:rsidRPr="00720064" w:rsidRDefault="00C20B10" w:rsidP="000A7301">
      <w:pPr>
        <w:rPr>
          <w:rFonts w:asciiTheme="minorHAnsi" w:hAnsiTheme="minorHAnsi" w:cs="Calibri"/>
          <w:sz w:val="20"/>
          <w:szCs w:val="20"/>
        </w:rPr>
      </w:pPr>
      <w:r w:rsidRPr="00720064">
        <w:rPr>
          <w:rFonts w:asciiTheme="minorHAnsi" w:hAnsiTheme="minorHAnsi" w:cs="Calibri"/>
          <w:b/>
          <w:sz w:val="20"/>
          <w:szCs w:val="20"/>
        </w:rPr>
        <w:t xml:space="preserve">Tabuľka č. </w:t>
      </w:r>
      <w:r w:rsidR="009309F8" w:rsidRPr="00720064">
        <w:rPr>
          <w:rFonts w:asciiTheme="minorHAnsi" w:hAnsiTheme="minorHAnsi" w:cs="Calibri"/>
          <w:b/>
          <w:sz w:val="20"/>
          <w:szCs w:val="20"/>
        </w:rPr>
        <w:t>3.</w:t>
      </w:r>
      <w:r w:rsidRPr="00720064">
        <w:rPr>
          <w:rFonts w:asciiTheme="minorHAnsi" w:hAnsiTheme="minorHAnsi" w:cs="Calibri"/>
          <w:b/>
          <w:sz w:val="20"/>
          <w:szCs w:val="20"/>
        </w:rPr>
        <w:t>12: Zahraniční študenti k 31. 10. daného akademického roka</w:t>
      </w:r>
      <w:r w:rsidR="000A7301" w:rsidRPr="00720064">
        <w:rPr>
          <w:rFonts w:asciiTheme="minorHAnsi" w:hAnsiTheme="minorHAnsi" w:cs="Calibri"/>
          <w:sz w:val="20"/>
          <w:szCs w:val="20"/>
        </w:rPr>
        <w:t xml:space="preserve"> </w:t>
      </w:r>
    </w:p>
    <w:tbl>
      <w:tblPr>
        <w:tblW w:w="7103" w:type="dxa"/>
        <w:tblInd w:w="55" w:type="dxa"/>
        <w:tblLayout w:type="fixed"/>
        <w:tblCellMar>
          <w:left w:w="70" w:type="dxa"/>
          <w:right w:w="70" w:type="dxa"/>
        </w:tblCellMar>
        <w:tblLook w:val="04A0" w:firstRow="1" w:lastRow="0" w:firstColumn="1" w:lastColumn="0" w:noHBand="0" w:noVBand="1"/>
      </w:tblPr>
      <w:tblGrid>
        <w:gridCol w:w="1433"/>
        <w:gridCol w:w="1134"/>
        <w:gridCol w:w="1134"/>
        <w:gridCol w:w="1134"/>
        <w:gridCol w:w="1134"/>
        <w:gridCol w:w="1134"/>
      </w:tblGrid>
      <w:tr w:rsidR="000A7301" w:rsidRPr="00720064" w:rsidTr="00CE307D">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301" w:rsidRPr="00720064" w:rsidRDefault="000A7301" w:rsidP="00CE307D">
            <w:pP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Stupeň štúdia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301" w:rsidRPr="00720064" w:rsidRDefault="000A7301" w:rsidP="00CE307D">
            <w:pP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2010/2011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301" w:rsidRPr="00720064" w:rsidRDefault="000A7301" w:rsidP="00CE307D">
            <w:pP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2011/2012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301" w:rsidRPr="00720064" w:rsidRDefault="000A7301" w:rsidP="00CE307D">
            <w:pP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2012/2013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301" w:rsidRPr="00720064" w:rsidRDefault="000A7301" w:rsidP="00CE307D">
            <w:pP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2013/2014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7301" w:rsidRPr="00720064" w:rsidRDefault="000A7301" w:rsidP="00CE307D">
            <w:pP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2014/2015</w:t>
            </w:r>
          </w:p>
        </w:tc>
      </w:tr>
      <w:tr w:rsidR="000A7301" w:rsidRPr="00720064" w:rsidTr="00CE307D">
        <w:trPr>
          <w:trHeight w:val="25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A7301" w:rsidRPr="00720064" w:rsidRDefault="000A7301" w:rsidP="00CE307D">
            <w:pP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I. stupeň</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307</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246</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205</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163</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154</w:t>
            </w:r>
          </w:p>
        </w:tc>
      </w:tr>
      <w:tr w:rsidR="000A7301" w:rsidRPr="00720064" w:rsidTr="00CE307D">
        <w:trPr>
          <w:trHeight w:val="25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A7301" w:rsidRPr="00720064" w:rsidRDefault="000A7301" w:rsidP="00CE307D">
            <w:pP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II. stupeň</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44</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34</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49</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54</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69</w:t>
            </w:r>
          </w:p>
        </w:tc>
      </w:tr>
      <w:tr w:rsidR="000A7301" w:rsidRPr="00720064" w:rsidTr="00CE307D">
        <w:trPr>
          <w:trHeight w:val="25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0A7301" w:rsidRPr="00720064" w:rsidRDefault="000A7301" w:rsidP="00CE307D">
            <w:pP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III. stupeň</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95</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101</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87</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81</w:t>
            </w:r>
          </w:p>
        </w:tc>
        <w:tc>
          <w:tcPr>
            <w:tcW w:w="1134" w:type="dxa"/>
            <w:tcBorders>
              <w:top w:val="nil"/>
              <w:left w:val="nil"/>
              <w:bottom w:val="single" w:sz="4" w:space="0" w:color="auto"/>
              <w:right w:val="single" w:sz="4" w:space="0" w:color="auto"/>
            </w:tcBorders>
            <w:shd w:val="clear" w:color="auto" w:fill="auto"/>
            <w:noWrap/>
            <w:vAlign w:val="center"/>
            <w:hideMark/>
          </w:tcPr>
          <w:p w:rsidR="000A7301" w:rsidRPr="00720064" w:rsidRDefault="000A7301" w:rsidP="00720064">
            <w:pPr>
              <w:ind w:firstLineChars="100" w:firstLine="200"/>
              <w:jc w:val="center"/>
              <w:rPr>
                <w:rFonts w:asciiTheme="minorHAnsi" w:eastAsia="Times New Roman" w:hAnsiTheme="minorHAnsi" w:cs="Arial"/>
                <w:sz w:val="20"/>
                <w:szCs w:val="20"/>
                <w:lang w:eastAsia="sk-SK"/>
              </w:rPr>
            </w:pPr>
            <w:r w:rsidRPr="00720064">
              <w:rPr>
                <w:rFonts w:asciiTheme="minorHAnsi" w:eastAsia="Times New Roman" w:hAnsiTheme="minorHAnsi" w:cs="Arial"/>
                <w:sz w:val="20"/>
                <w:szCs w:val="20"/>
                <w:lang w:eastAsia="sk-SK"/>
              </w:rPr>
              <w:t>73</w:t>
            </w:r>
          </w:p>
        </w:tc>
      </w:tr>
      <w:tr w:rsidR="000A7301" w:rsidRPr="00720064" w:rsidTr="00CE307D">
        <w:trPr>
          <w:trHeight w:val="255"/>
        </w:trPr>
        <w:tc>
          <w:tcPr>
            <w:tcW w:w="143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A7301" w:rsidRPr="00720064" w:rsidRDefault="000A7301" w:rsidP="00CE307D">
            <w:pP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Spolu</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0A7301" w:rsidRPr="00720064" w:rsidRDefault="000A7301" w:rsidP="00720064">
            <w:pPr>
              <w:ind w:firstLineChars="100" w:firstLine="201"/>
              <w:jc w:val="cente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446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0A7301" w:rsidRPr="00720064" w:rsidRDefault="000A7301" w:rsidP="00720064">
            <w:pPr>
              <w:ind w:firstLineChars="100" w:firstLine="201"/>
              <w:jc w:val="cente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381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0A7301" w:rsidRPr="00720064" w:rsidRDefault="000A7301" w:rsidP="00720064">
            <w:pPr>
              <w:ind w:firstLineChars="100" w:firstLine="201"/>
              <w:jc w:val="cente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341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0A7301" w:rsidRPr="00720064" w:rsidRDefault="000A7301" w:rsidP="00720064">
            <w:pPr>
              <w:ind w:firstLineChars="100" w:firstLine="201"/>
              <w:jc w:val="cente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298</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0A7301" w:rsidRPr="00720064" w:rsidRDefault="000A7301" w:rsidP="00720064">
            <w:pPr>
              <w:ind w:firstLineChars="100" w:firstLine="201"/>
              <w:jc w:val="center"/>
              <w:rPr>
                <w:rFonts w:asciiTheme="minorHAnsi" w:eastAsia="Times New Roman" w:hAnsiTheme="minorHAnsi" w:cs="Arial"/>
                <w:b/>
                <w:bCs/>
                <w:sz w:val="20"/>
                <w:szCs w:val="20"/>
                <w:lang w:eastAsia="sk-SK"/>
              </w:rPr>
            </w:pPr>
            <w:r w:rsidRPr="00720064">
              <w:rPr>
                <w:rFonts w:asciiTheme="minorHAnsi" w:eastAsia="Times New Roman" w:hAnsiTheme="minorHAnsi" w:cs="Arial"/>
                <w:b/>
                <w:bCs/>
                <w:sz w:val="20"/>
                <w:szCs w:val="20"/>
                <w:lang w:eastAsia="sk-SK"/>
              </w:rPr>
              <w:t>296</w:t>
            </w:r>
          </w:p>
        </w:tc>
      </w:tr>
    </w:tbl>
    <w:p w:rsidR="000A7301" w:rsidRPr="00720064" w:rsidRDefault="000A7301" w:rsidP="000A7301">
      <w:pPr>
        <w:rPr>
          <w:rFonts w:asciiTheme="minorHAnsi" w:hAnsiTheme="minorHAnsi" w:cs="Calibri"/>
          <w:b/>
          <w:sz w:val="20"/>
          <w:szCs w:val="20"/>
        </w:rPr>
      </w:pPr>
    </w:p>
    <w:p w:rsidR="00414FDD" w:rsidRPr="00720064" w:rsidRDefault="00414FDD" w:rsidP="000A7301">
      <w:pPr>
        <w:rPr>
          <w:rFonts w:asciiTheme="minorHAnsi" w:hAnsiTheme="minorHAnsi" w:cs="Calibri"/>
          <w:b/>
          <w:sz w:val="20"/>
          <w:szCs w:val="20"/>
        </w:rPr>
      </w:pPr>
    </w:p>
    <w:p w:rsidR="000A7301" w:rsidRPr="00720064" w:rsidRDefault="000A7301" w:rsidP="000A7301">
      <w:pPr>
        <w:rPr>
          <w:rFonts w:asciiTheme="minorHAnsi" w:hAnsiTheme="minorHAnsi" w:cs="Calibri"/>
          <w:b/>
          <w:sz w:val="20"/>
          <w:szCs w:val="20"/>
        </w:rPr>
      </w:pPr>
      <w:r w:rsidRPr="00720064">
        <w:rPr>
          <w:rFonts w:asciiTheme="minorHAnsi" w:hAnsiTheme="minorHAnsi" w:cs="Calibri"/>
          <w:b/>
          <w:sz w:val="20"/>
          <w:szCs w:val="20"/>
        </w:rPr>
        <w:t>Graf č. 3.6: Zahraniční študenti</w:t>
      </w:r>
    </w:p>
    <w:p w:rsidR="000A7301" w:rsidRPr="00720064" w:rsidRDefault="000A7301" w:rsidP="000A7301">
      <w:pPr>
        <w:rPr>
          <w:rFonts w:asciiTheme="minorHAnsi" w:hAnsiTheme="minorHAnsi"/>
          <w:sz w:val="20"/>
          <w:szCs w:val="20"/>
        </w:rPr>
      </w:pPr>
      <w:r w:rsidRPr="00720064">
        <w:rPr>
          <w:rFonts w:asciiTheme="minorHAnsi" w:hAnsiTheme="minorHAnsi"/>
          <w:noProof/>
          <w:sz w:val="20"/>
          <w:szCs w:val="20"/>
          <w:lang w:eastAsia="sk-SK"/>
        </w:rPr>
        <w:drawing>
          <wp:inline distT="0" distB="0" distL="0" distR="0" wp14:anchorId="56A32125" wp14:editId="4B3B680D">
            <wp:extent cx="4572000" cy="2743200"/>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431E" w:rsidRPr="002D7A10" w:rsidRDefault="007E431E" w:rsidP="000A7301">
      <w:pPr>
        <w:rPr>
          <w:rFonts w:asciiTheme="minorHAnsi" w:hAnsiTheme="minorHAnsi"/>
        </w:rPr>
      </w:pPr>
    </w:p>
    <w:p w:rsidR="007E431E" w:rsidRPr="0032657C" w:rsidRDefault="007E431E" w:rsidP="0032657C">
      <w:pPr>
        <w:pStyle w:val="Nadpis2"/>
        <w:rPr>
          <w:rFonts w:asciiTheme="minorHAnsi" w:hAnsiTheme="minorHAnsi"/>
          <w:sz w:val="24"/>
          <w:szCs w:val="24"/>
        </w:rPr>
      </w:pPr>
      <w:bookmarkStart w:id="12" w:name="_Toc448261555"/>
      <w:r w:rsidRPr="002D7A10">
        <w:rPr>
          <w:rFonts w:asciiTheme="minorHAnsi" w:hAnsiTheme="minorHAnsi"/>
          <w:sz w:val="24"/>
          <w:szCs w:val="24"/>
        </w:rPr>
        <w:t>Informácie o akademickej mobilite študentov STU</w:t>
      </w:r>
      <w:bookmarkEnd w:id="12"/>
    </w:p>
    <w:p w:rsidR="00A51316" w:rsidRPr="002D7A10" w:rsidRDefault="00A51316" w:rsidP="00A51316">
      <w:pPr>
        <w:pStyle w:val="Normlnywebov"/>
        <w:spacing w:before="0" w:beforeAutospacing="0" w:after="120" w:afterAutospacing="0"/>
        <w:rPr>
          <w:rFonts w:asciiTheme="minorHAnsi" w:hAnsiTheme="minorHAnsi"/>
        </w:rPr>
      </w:pPr>
      <w:r w:rsidRPr="002D7A10">
        <w:rPr>
          <w:rFonts w:asciiTheme="minorHAnsi" w:hAnsiTheme="minorHAnsi"/>
        </w:rPr>
        <w:t>Mobility študentov sú jedným z významných nástrojov stratégie internacionalizácie STU. Cieľom mobilít študentov je v súlade s Dlhodobým zámerom rozvoja STU otvárať univerzitu medzinárodnému prostrediu s cieľom poskytovať kvalitné, široko dostupné, medzinárodne porovnateľné vzdelávanie v technických a na ne nadväzujúcich odboroch. Účastníci mobilít okrem nových vedomostí získavajú v zahraničí kompetencie potrebné v dnešnom globalizovanom svete. Zoznámia so s novými kultúrami, sú schopní pristupovať k riešeniu problémov novým spôsobom, pracovať v medzinárodnom/</w:t>
      </w:r>
      <w:proofErr w:type="spellStart"/>
      <w:r w:rsidRPr="002D7A10">
        <w:rPr>
          <w:rFonts w:asciiTheme="minorHAnsi" w:hAnsiTheme="minorHAnsi"/>
        </w:rPr>
        <w:t>multikulturálnom</w:t>
      </w:r>
      <w:proofErr w:type="spellEnd"/>
      <w:r w:rsidRPr="002D7A10">
        <w:rPr>
          <w:rFonts w:asciiTheme="minorHAnsi" w:hAnsiTheme="minorHAnsi"/>
        </w:rPr>
        <w:t xml:space="preserve"> tíme, získavajú lepšie komunikačné zručnosti v cudzom jazyku, učia sa samostatnosti, sú flexibilnejší a často kreatívnejší.</w:t>
      </w:r>
    </w:p>
    <w:p w:rsidR="00A51316" w:rsidRPr="002D7A10" w:rsidRDefault="00A51316" w:rsidP="00A51316">
      <w:pPr>
        <w:pStyle w:val="Normlnywebov"/>
        <w:spacing w:before="0" w:beforeAutospacing="0" w:after="120" w:afterAutospacing="0"/>
        <w:rPr>
          <w:rFonts w:asciiTheme="minorHAnsi" w:hAnsiTheme="minorHAnsi"/>
        </w:rPr>
      </w:pPr>
      <w:r w:rsidRPr="002D7A10">
        <w:rPr>
          <w:rFonts w:asciiTheme="minorHAnsi" w:hAnsiTheme="minorHAnsi"/>
        </w:rPr>
        <w:t>STU vysiela študentov na medzinárodné akademické mobility</w:t>
      </w:r>
      <w:r w:rsidRPr="002D7A10">
        <w:rPr>
          <w:rFonts w:asciiTheme="minorHAnsi" w:hAnsiTheme="minorHAnsi"/>
          <w:spacing w:val="22"/>
        </w:rPr>
        <w:t xml:space="preserve"> </w:t>
      </w:r>
      <w:r w:rsidRPr="002D7A10">
        <w:rPr>
          <w:rFonts w:asciiTheme="minorHAnsi" w:hAnsiTheme="minorHAnsi"/>
        </w:rPr>
        <w:t>za</w:t>
      </w:r>
      <w:r w:rsidRPr="002D7A10">
        <w:rPr>
          <w:rFonts w:asciiTheme="minorHAnsi" w:hAnsiTheme="minorHAnsi"/>
          <w:w w:val="99"/>
        </w:rPr>
        <w:t xml:space="preserve"> </w:t>
      </w:r>
      <w:r w:rsidRPr="002D7A10">
        <w:rPr>
          <w:rFonts w:asciiTheme="minorHAnsi" w:hAnsiTheme="minorHAnsi"/>
        </w:rPr>
        <w:t>účelom štúdia na zahraničných univerzitách alebo na odbornú prax</w:t>
      </w:r>
      <w:r w:rsidRPr="002D7A10">
        <w:rPr>
          <w:rFonts w:asciiTheme="minorHAnsi" w:hAnsiTheme="minorHAnsi"/>
          <w:w w:val="99"/>
        </w:rPr>
        <w:t xml:space="preserve"> </w:t>
      </w:r>
      <w:r w:rsidRPr="002D7A10">
        <w:rPr>
          <w:rFonts w:asciiTheme="minorHAnsi" w:hAnsiTheme="minorHAnsi"/>
        </w:rPr>
        <w:t>v zahraničných podnikoch na rôzne dlhé časové obdobia. Rovnako</w:t>
      </w:r>
      <w:r w:rsidRPr="002D7A10">
        <w:rPr>
          <w:rFonts w:asciiTheme="minorHAnsi" w:hAnsiTheme="minorHAnsi"/>
          <w:spacing w:val="31"/>
        </w:rPr>
        <w:t xml:space="preserve"> </w:t>
      </w:r>
      <w:r w:rsidRPr="002D7A10">
        <w:rPr>
          <w:rFonts w:asciiTheme="minorHAnsi" w:hAnsiTheme="minorHAnsi"/>
        </w:rPr>
        <w:t>STU</w:t>
      </w:r>
      <w:r w:rsidRPr="002D7A10">
        <w:rPr>
          <w:rFonts w:asciiTheme="minorHAnsi" w:hAnsiTheme="minorHAnsi"/>
          <w:w w:val="99"/>
        </w:rPr>
        <w:t xml:space="preserve"> </w:t>
      </w:r>
      <w:r w:rsidRPr="002D7A10">
        <w:rPr>
          <w:rFonts w:asciiTheme="minorHAnsi" w:hAnsiTheme="minorHAnsi"/>
        </w:rPr>
        <w:t>prijíma študentov zahraničných vysokých škôl/univerzít. Takéto mobility sú podložené buď grantovým programom alebo uzatvorenou zmluvou medzi STU a zahraničnou inštitúciou.</w:t>
      </w:r>
    </w:p>
    <w:p w:rsidR="00A51316" w:rsidRPr="002D7A10" w:rsidRDefault="00A51316" w:rsidP="0032657C">
      <w:pPr>
        <w:pStyle w:val="Zkladntext2"/>
        <w:rPr>
          <w:rFonts w:asciiTheme="minorHAnsi" w:hAnsiTheme="minorHAnsi" w:cs="Calibri"/>
          <w:sz w:val="24"/>
          <w:szCs w:val="24"/>
        </w:rPr>
      </w:pPr>
      <w:r w:rsidRPr="002D7A10">
        <w:rPr>
          <w:rFonts w:asciiTheme="minorHAnsi" w:hAnsiTheme="minorHAnsi" w:cs="Calibri"/>
          <w:sz w:val="24"/>
          <w:szCs w:val="24"/>
        </w:rPr>
        <w:t>Mobility sa realizujú cez programy, granty a zmluvy, ako sú najmä:</w:t>
      </w:r>
    </w:p>
    <w:p w:rsidR="00A51316" w:rsidRPr="002D7A10" w:rsidRDefault="00A51316" w:rsidP="0032657C">
      <w:pPr>
        <w:pStyle w:val="Zkladntext2"/>
        <w:numPr>
          <w:ilvl w:val="0"/>
          <w:numId w:val="24"/>
        </w:numPr>
        <w:ind w:left="714" w:hanging="357"/>
        <w:rPr>
          <w:rFonts w:asciiTheme="minorHAnsi" w:hAnsiTheme="minorHAnsi" w:cs="Calibri"/>
          <w:sz w:val="24"/>
          <w:szCs w:val="24"/>
        </w:rPr>
      </w:pPr>
      <w:r w:rsidRPr="002D7A10">
        <w:rPr>
          <w:rFonts w:asciiTheme="minorHAnsi" w:hAnsiTheme="minorHAnsi"/>
          <w:sz w:val="24"/>
          <w:szCs w:val="24"/>
        </w:rPr>
        <w:t xml:space="preserve">Program </w:t>
      </w:r>
      <w:proofErr w:type="spellStart"/>
      <w:r w:rsidRPr="002D7A10">
        <w:rPr>
          <w:rFonts w:asciiTheme="minorHAnsi" w:hAnsiTheme="minorHAnsi"/>
          <w:b/>
          <w:sz w:val="24"/>
          <w:szCs w:val="24"/>
        </w:rPr>
        <w:t>Erasmus</w:t>
      </w:r>
      <w:proofErr w:type="spellEnd"/>
      <w:r w:rsidRPr="002D7A10">
        <w:rPr>
          <w:rFonts w:asciiTheme="minorHAnsi" w:hAnsiTheme="minorHAnsi"/>
          <w:b/>
          <w:sz w:val="24"/>
          <w:szCs w:val="24"/>
        </w:rPr>
        <w:t>+</w:t>
      </w:r>
      <w:r w:rsidRPr="002D7A10">
        <w:rPr>
          <w:rFonts w:asciiTheme="minorHAnsi" w:hAnsiTheme="minorHAnsi"/>
          <w:sz w:val="24"/>
          <w:szCs w:val="24"/>
        </w:rPr>
        <w:t xml:space="preserve">, ktorý zlučuje všetky doterajšie programy EÚ pre vzdelávanie, odbornú prípravu, mládež a šport vrátane programu </w:t>
      </w:r>
      <w:r w:rsidRPr="002D7A10">
        <w:rPr>
          <w:rFonts w:asciiTheme="minorHAnsi" w:hAnsiTheme="minorHAnsi"/>
          <w:sz w:val="24"/>
          <w:szCs w:val="24"/>
        </w:rPr>
        <w:lastRenderedPageBreak/>
        <w:t>celoživotného vzdelávania (</w:t>
      </w:r>
      <w:proofErr w:type="spellStart"/>
      <w:r w:rsidRPr="002D7A10">
        <w:rPr>
          <w:rFonts w:asciiTheme="minorHAnsi" w:hAnsiTheme="minorHAnsi"/>
          <w:sz w:val="24"/>
          <w:szCs w:val="24"/>
        </w:rPr>
        <w:t>Erasmus</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Leonardo</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da</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Vinci</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Comenius</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Grundtvig</w:t>
      </w:r>
      <w:proofErr w:type="spellEnd"/>
      <w:r w:rsidRPr="002D7A10">
        <w:rPr>
          <w:rFonts w:asciiTheme="minorHAnsi" w:hAnsiTheme="minorHAnsi"/>
          <w:sz w:val="24"/>
          <w:szCs w:val="24"/>
        </w:rPr>
        <w:t>), programu Mládež v akcii a piatich programov medzinárodnej spolupráce (</w:t>
      </w:r>
      <w:proofErr w:type="spellStart"/>
      <w:r w:rsidRPr="002D7A10">
        <w:rPr>
          <w:rFonts w:asciiTheme="minorHAnsi" w:hAnsiTheme="minorHAnsi"/>
          <w:sz w:val="24"/>
          <w:szCs w:val="24"/>
        </w:rPr>
        <w:t>Erasmus</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Mundus</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Tempus</w:t>
      </w:r>
      <w:proofErr w:type="spellEnd"/>
      <w:r w:rsidRPr="002D7A10">
        <w:rPr>
          <w:rFonts w:asciiTheme="minorHAnsi" w:hAnsiTheme="minorHAnsi"/>
          <w:sz w:val="24"/>
          <w:szCs w:val="24"/>
        </w:rPr>
        <w:t xml:space="preserve">, Alfa, </w:t>
      </w:r>
      <w:proofErr w:type="spellStart"/>
      <w:r w:rsidRPr="002D7A10">
        <w:rPr>
          <w:rFonts w:asciiTheme="minorHAnsi" w:hAnsiTheme="minorHAnsi"/>
          <w:sz w:val="24"/>
          <w:szCs w:val="24"/>
        </w:rPr>
        <w:t>Edulink</w:t>
      </w:r>
      <w:proofErr w:type="spellEnd"/>
      <w:r w:rsidRPr="002D7A10">
        <w:rPr>
          <w:rFonts w:asciiTheme="minorHAnsi" w:hAnsiTheme="minorHAnsi"/>
          <w:sz w:val="24"/>
          <w:szCs w:val="24"/>
        </w:rPr>
        <w:t xml:space="preserve"> a program pre spoluprácu s industrializovanými krajinami).</w:t>
      </w:r>
    </w:p>
    <w:p w:rsidR="00A51316" w:rsidRPr="002D7A10" w:rsidRDefault="00A51316" w:rsidP="0032657C">
      <w:pPr>
        <w:pStyle w:val="Zkladntext2"/>
        <w:numPr>
          <w:ilvl w:val="0"/>
          <w:numId w:val="24"/>
        </w:numPr>
        <w:ind w:left="714" w:hanging="357"/>
        <w:rPr>
          <w:rFonts w:asciiTheme="minorHAnsi" w:hAnsiTheme="minorHAnsi" w:cs="Calibri"/>
          <w:sz w:val="24"/>
          <w:szCs w:val="24"/>
        </w:rPr>
      </w:pPr>
      <w:r w:rsidRPr="002D7A10">
        <w:rPr>
          <w:rFonts w:asciiTheme="minorHAnsi" w:hAnsiTheme="minorHAnsi" w:cs="Calibri"/>
          <w:sz w:val="24"/>
          <w:szCs w:val="24"/>
        </w:rPr>
        <w:t xml:space="preserve">Program </w:t>
      </w:r>
      <w:r w:rsidRPr="002D7A10">
        <w:rPr>
          <w:rFonts w:asciiTheme="minorHAnsi" w:hAnsiTheme="minorHAnsi" w:cs="Calibri"/>
          <w:b/>
          <w:sz w:val="24"/>
          <w:szCs w:val="24"/>
        </w:rPr>
        <w:t xml:space="preserve">CEEPUS </w:t>
      </w:r>
      <w:r w:rsidRPr="002D7A10">
        <w:rPr>
          <w:rFonts w:asciiTheme="minorHAnsi" w:hAnsiTheme="minorHAnsi" w:cs="Calibri"/>
          <w:sz w:val="24"/>
          <w:szCs w:val="24"/>
        </w:rPr>
        <w:t>(</w:t>
      </w:r>
      <w:proofErr w:type="spellStart"/>
      <w:r w:rsidRPr="002D7A10">
        <w:rPr>
          <w:rFonts w:asciiTheme="minorHAnsi" w:hAnsiTheme="minorHAnsi" w:cs="Calibri"/>
          <w:sz w:val="24"/>
          <w:szCs w:val="24"/>
        </w:rPr>
        <w:t>Central</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European</w:t>
      </w:r>
      <w:proofErr w:type="spellEnd"/>
      <w:r w:rsidRPr="002D7A10">
        <w:rPr>
          <w:rFonts w:asciiTheme="minorHAnsi" w:hAnsiTheme="minorHAnsi" w:cs="Calibri"/>
          <w:sz w:val="24"/>
          <w:szCs w:val="24"/>
        </w:rPr>
        <w:t xml:space="preserve"> Exchange Program</w:t>
      </w:r>
      <w:r w:rsidRPr="002D7A10">
        <w:rPr>
          <w:rFonts w:asciiTheme="minorHAnsi" w:hAnsiTheme="minorHAnsi" w:cs="Calibri"/>
          <w:b/>
          <w:sz w:val="24"/>
          <w:szCs w:val="24"/>
        </w:rPr>
        <w:t xml:space="preserve"> </w:t>
      </w:r>
      <w:proofErr w:type="spellStart"/>
      <w:r w:rsidRPr="002D7A10">
        <w:rPr>
          <w:rFonts w:asciiTheme="minorHAnsi" w:hAnsiTheme="minorHAnsi" w:cs="Calibri"/>
          <w:sz w:val="24"/>
          <w:szCs w:val="24"/>
        </w:rPr>
        <w:t>for</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University</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Studies</w:t>
      </w:r>
      <w:proofErr w:type="spellEnd"/>
      <w:r w:rsidRPr="002D7A10">
        <w:rPr>
          <w:rFonts w:asciiTheme="minorHAnsi" w:hAnsiTheme="minorHAnsi" w:cs="Calibri"/>
          <w:sz w:val="24"/>
          <w:szCs w:val="24"/>
        </w:rPr>
        <w:t>), ktorý podporuje</w:t>
      </w:r>
      <w:r w:rsidRPr="002D7A10">
        <w:rPr>
          <w:rFonts w:asciiTheme="minorHAnsi" w:hAnsiTheme="minorHAnsi" w:cs="Calibri"/>
          <w:b/>
          <w:sz w:val="24"/>
          <w:szCs w:val="24"/>
        </w:rPr>
        <w:t xml:space="preserve"> </w:t>
      </w:r>
      <w:r w:rsidRPr="002D7A10">
        <w:rPr>
          <w:rFonts w:asciiTheme="minorHAnsi" w:hAnsiTheme="minorHAnsi" w:cs="Calibri"/>
          <w:sz w:val="24"/>
          <w:szCs w:val="24"/>
        </w:rPr>
        <w:t>študijné</w:t>
      </w:r>
      <w:r w:rsidRPr="002D7A10">
        <w:rPr>
          <w:rFonts w:asciiTheme="minorHAnsi" w:hAnsiTheme="minorHAnsi" w:cs="Calibri"/>
          <w:b/>
          <w:sz w:val="24"/>
          <w:szCs w:val="24"/>
        </w:rPr>
        <w:t xml:space="preserve"> </w:t>
      </w:r>
      <w:r w:rsidRPr="002D7A10">
        <w:rPr>
          <w:rFonts w:asciiTheme="minorHAnsi" w:hAnsiTheme="minorHAnsi" w:cs="Calibri"/>
          <w:sz w:val="24"/>
          <w:szCs w:val="24"/>
        </w:rPr>
        <w:t>výmenné pobyty na univerzitách v štátoch strednej Európy.</w:t>
      </w:r>
    </w:p>
    <w:p w:rsidR="00A51316" w:rsidRPr="002D7A10" w:rsidRDefault="00A51316" w:rsidP="0032657C">
      <w:pPr>
        <w:pStyle w:val="Zkladntext2"/>
        <w:numPr>
          <w:ilvl w:val="0"/>
          <w:numId w:val="24"/>
        </w:numPr>
        <w:ind w:left="714" w:hanging="357"/>
        <w:rPr>
          <w:rFonts w:asciiTheme="minorHAnsi" w:hAnsiTheme="minorHAnsi" w:cs="Calibri"/>
          <w:sz w:val="24"/>
          <w:szCs w:val="24"/>
        </w:rPr>
      </w:pPr>
      <w:r w:rsidRPr="002D7A10">
        <w:rPr>
          <w:rFonts w:asciiTheme="minorHAnsi" w:hAnsiTheme="minorHAnsi" w:cs="Calibri"/>
          <w:b/>
          <w:sz w:val="24"/>
          <w:szCs w:val="24"/>
        </w:rPr>
        <w:t>Národný štipendijný program Slovenskej republiky</w:t>
      </w:r>
      <w:r w:rsidRPr="002D7A10">
        <w:rPr>
          <w:rFonts w:asciiTheme="minorHAnsi" w:hAnsiTheme="minorHAnsi" w:cs="Calibri"/>
          <w:sz w:val="24"/>
          <w:szCs w:val="24"/>
        </w:rPr>
        <w:t xml:space="preserve"> (NŠP), ktorého cieľom je podpora mobilít študentov, doktorandov, vysokoškolských učiteľov a vedeckých pracovníkov. </w:t>
      </w:r>
    </w:p>
    <w:p w:rsidR="00A51316" w:rsidRPr="002D7A10" w:rsidRDefault="00A51316" w:rsidP="0032657C">
      <w:pPr>
        <w:pStyle w:val="Zkladntext2"/>
        <w:numPr>
          <w:ilvl w:val="0"/>
          <w:numId w:val="24"/>
        </w:numPr>
        <w:ind w:left="714" w:hanging="357"/>
        <w:rPr>
          <w:rFonts w:asciiTheme="minorHAnsi" w:hAnsiTheme="minorHAnsi" w:cs="Calibri"/>
          <w:sz w:val="24"/>
          <w:szCs w:val="24"/>
        </w:rPr>
      </w:pPr>
      <w:r w:rsidRPr="002D7A10">
        <w:rPr>
          <w:rFonts w:asciiTheme="minorHAnsi" w:hAnsiTheme="minorHAnsi" w:cs="Calibri"/>
          <w:b/>
          <w:sz w:val="24"/>
          <w:szCs w:val="24"/>
        </w:rPr>
        <w:t xml:space="preserve">IAESTE </w:t>
      </w:r>
      <w:r w:rsidRPr="002D7A10">
        <w:rPr>
          <w:rFonts w:asciiTheme="minorHAnsi" w:hAnsiTheme="minorHAnsi" w:cs="Calibri"/>
          <w:sz w:val="24"/>
          <w:szCs w:val="24"/>
        </w:rPr>
        <w:t>(</w:t>
      </w:r>
      <w:proofErr w:type="spellStart"/>
      <w:r w:rsidRPr="002D7A10">
        <w:rPr>
          <w:rFonts w:asciiTheme="minorHAnsi" w:hAnsiTheme="minorHAnsi" w:cs="Calibri"/>
          <w:sz w:val="24"/>
          <w:szCs w:val="24"/>
        </w:rPr>
        <w:t>The</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International</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Association</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for</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the</w:t>
      </w:r>
      <w:proofErr w:type="spellEnd"/>
      <w:r w:rsidRPr="002D7A10">
        <w:rPr>
          <w:rFonts w:asciiTheme="minorHAnsi" w:hAnsiTheme="minorHAnsi" w:cs="Calibri"/>
          <w:sz w:val="24"/>
          <w:szCs w:val="24"/>
        </w:rPr>
        <w:t xml:space="preserve"> Exchange </w:t>
      </w:r>
      <w:proofErr w:type="spellStart"/>
      <w:r w:rsidRPr="002D7A10">
        <w:rPr>
          <w:rFonts w:asciiTheme="minorHAnsi" w:hAnsiTheme="minorHAnsi" w:cs="Calibri"/>
          <w:sz w:val="24"/>
          <w:szCs w:val="24"/>
        </w:rPr>
        <w:t>of</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Students</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for</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Technical</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xperience</w:t>
      </w:r>
      <w:proofErr w:type="spellEnd"/>
      <w:r w:rsidRPr="002D7A10">
        <w:rPr>
          <w:rFonts w:asciiTheme="minorHAnsi" w:hAnsiTheme="minorHAnsi" w:cs="Calibri"/>
          <w:sz w:val="24"/>
          <w:szCs w:val="24"/>
        </w:rPr>
        <w:t xml:space="preserve">), </w:t>
      </w:r>
      <w:r w:rsidRPr="002D7A10">
        <w:rPr>
          <w:rFonts w:asciiTheme="minorHAnsi" w:hAnsiTheme="minorHAnsi"/>
          <w:sz w:val="24"/>
          <w:szCs w:val="24"/>
        </w:rPr>
        <w:t>ktoré zabezpečuje výmenný program odborných stáží pre študentov technických vysokých škôl.</w:t>
      </w:r>
    </w:p>
    <w:p w:rsidR="00A51316" w:rsidRPr="002D7A10" w:rsidRDefault="00A51316" w:rsidP="0032657C">
      <w:pPr>
        <w:pStyle w:val="Zkladntext2"/>
        <w:numPr>
          <w:ilvl w:val="0"/>
          <w:numId w:val="24"/>
        </w:numPr>
        <w:ind w:left="714" w:hanging="357"/>
        <w:rPr>
          <w:rFonts w:asciiTheme="minorHAnsi" w:hAnsiTheme="minorHAnsi" w:cs="Calibri"/>
          <w:sz w:val="24"/>
          <w:szCs w:val="24"/>
        </w:rPr>
      </w:pPr>
      <w:r w:rsidRPr="002D7A10">
        <w:rPr>
          <w:rFonts w:asciiTheme="minorHAnsi" w:hAnsiTheme="minorHAnsi" w:cs="Calibri"/>
          <w:sz w:val="24"/>
          <w:szCs w:val="24"/>
        </w:rPr>
        <w:t xml:space="preserve">Na základe </w:t>
      </w:r>
      <w:r w:rsidRPr="002D7A10">
        <w:rPr>
          <w:rFonts w:asciiTheme="minorHAnsi" w:hAnsiTheme="minorHAnsi" w:cs="Calibri"/>
          <w:b/>
          <w:sz w:val="24"/>
          <w:szCs w:val="24"/>
        </w:rPr>
        <w:t>univerzitnej dohody</w:t>
      </w:r>
      <w:r w:rsidRPr="002D7A10">
        <w:rPr>
          <w:rFonts w:asciiTheme="minorHAnsi" w:hAnsiTheme="minorHAnsi" w:cs="Calibri"/>
          <w:sz w:val="24"/>
          <w:szCs w:val="24"/>
        </w:rPr>
        <w:t xml:space="preserve"> vysiela STU svojich študentov do Japonska na štipendijné študijné pobyty na </w:t>
      </w:r>
      <w:proofErr w:type="spellStart"/>
      <w:r w:rsidRPr="002D7A10">
        <w:rPr>
          <w:rFonts w:asciiTheme="minorHAnsi" w:hAnsiTheme="minorHAnsi" w:cs="Calibri"/>
          <w:b/>
          <w:sz w:val="24"/>
          <w:szCs w:val="24"/>
        </w:rPr>
        <w:t>Kanazawa</w:t>
      </w:r>
      <w:proofErr w:type="spellEnd"/>
      <w:r w:rsidRPr="002D7A10">
        <w:rPr>
          <w:rFonts w:asciiTheme="minorHAnsi" w:hAnsiTheme="minorHAnsi" w:cs="Calibri"/>
          <w:b/>
          <w:sz w:val="24"/>
          <w:szCs w:val="24"/>
        </w:rPr>
        <w:t xml:space="preserve"> </w:t>
      </w:r>
      <w:proofErr w:type="spellStart"/>
      <w:r w:rsidRPr="002D7A10">
        <w:rPr>
          <w:rFonts w:asciiTheme="minorHAnsi" w:hAnsiTheme="minorHAnsi" w:cs="Calibri"/>
          <w:b/>
          <w:sz w:val="24"/>
          <w:szCs w:val="24"/>
        </w:rPr>
        <w:t>University</w:t>
      </w:r>
      <w:proofErr w:type="spellEnd"/>
      <w:r w:rsidRPr="002D7A10">
        <w:rPr>
          <w:rFonts w:asciiTheme="minorHAnsi" w:hAnsiTheme="minorHAnsi" w:cs="Calibri"/>
          <w:b/>
          <w:sz w:val="24"/>
          <w:szCs w:val="24"/>
        </w:rPr>
        <w:t>.</w:t>
      </w:r>
    </w:p>
    <w:p w:rsidR="00A51316" w:rsidRPr="002D7A10" w:rsidRDefault="00A51316" w:rsidP="0032657C">
      <w:pPr>
        <w:pStyle w:val="Zkladntext2"/>
        <w:numPr>
          <w:ilvl w:val="0"/>
          <w:numId w:val="24"/>
        </w:numPr>
        <w:ind w:left="714" w:hanging="357"/>
        <w:rPr>
          <w:rFonts w:asciiTheme="minorHAnsi" w:hAnsiTheme="minorHAnsi" w:cs="Calibri"/>
          <w:sz w:val="24"/>
          <w:szCs w:val="24"/>
        </w:rPr>
      </w:pPr>
      <w:r w:rsidRPr="002D7A10">
        <w:rPr>
          <w:rFonts w:asciiTheme="minorHAnsi" w:hAnsiTheme="minorHAnsi" w:cs="Calibri"/>
          <w:sz w:val="24"/>
          <w:szCs w:val="24"/>
        </w:rPr>
        <w:t xml:space="preserve">V rámci medzinárodného programu Európskej únie a Japan Centre </w:t>
      </w:r>
      <w:proofErr w:type="spellStart"/>
      <w:r w:rsidRPr="002D7A10">
        <w:rPr>
          <w:rFonts w:asciiTheme="minorHAnsi" w:hAnsiTheme="minorHAnsi" w:cs="Calibri"/>
          <w:sz w:val="24"/>
          <w:szCs w:val="24"/>
        </w:rPr>
        <w:t>for</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Industrial</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Cooperation</w:t>
      </w:r>
      <w:proofErr w:type="spellEnd"/>
      <w:r w:rsidRPr="002D7A10">
        <w:rPr>
          <w:rFonts w:asciiTheme="minorHAnsi" w:hAnsiTheme="minorHAnsi" w:cs="Calibri"/>
          <w:sz w:val="24"/>
          <w:szCs w:val="24"/>
        </w:rPr>
        <w:t xml:space="preserve"> nazývaného </w:t>
      </w:r>
      <w:proofErr w:type="spellStart"/>
      <w:r w:rsidRPr="002D7A10">
        <w:rPr>
          <w:rFonts w:asciiTheme="minorHAnsi" w:hAnsiTheme="minorHAnsi" w:cs="Calibri"/>
          <w:b/>
          <w:sz w:val="24"/>
          <w:szCs w:val="24"/>
        </w:rPr>
        <w:t>Vulcanus</w:t>
      </w:r>
      <w:proofErr w:type="spellEnd"/>
      <w:r w:rsidRPr="002D7A10">
        <w:rPr>
          <w:rFonts w:asciiTheme="minorHAnsi" w:hAnsiTheme="minorHAnsi" w:cs="Calibri"/>
          <w:sz w:val="24"/>
          <w:szCs w:val="24"/>
        </w:rPr>
        <w:t xml:space="preserve"> odchádzajú študenti STU na pracovné stáže do</w:t>
      </w:r>
      <w:r w:rsidRPr="002D7A10">
        <w:rPr>
          <w:rFonts w:asciiTheme="minorHAnsi" w:hAnsiTheme="minorHAnsi"/>
          <w:sz w:val="24"/>
          <w:szCs w:val="24"/>
        </w:rPr>
        <w:t> </w:t>
      </w:r>
      <w:r w:rsidRPr="002D7A10">
        <w:rPr>
          <w:rFonts w:asciiTheme="minorHAnsi" w:hAnsiTheme="minorHAnsi" w:cs="Calibri"/>
          <w:sz w:val="24"/>
          <w:szCs w:val="24"/>
        </w:rPr>
        <w:t>japonských firiem.</w:t>
      </w:r>
    </w:p>
    <w:p w:rsidR="00A51316" w:rsidRPr="002D7A10" w:rsidRDefault="00A51316" w:rsidP="0032657C">
      <w:pPr>
        <w:pStyle w:val="Zkladntext2"/>
        <w:numPr>
          <w:ilvl w:val="0"/>
          <w:numId w:val="24"/>
        </w:numPr>
        <w:ind w:left="714" w:hanging="357"/>
        <w:rPr>
          <w:rFonts w:asciiTheme="minorHAnsi" w:hAnsiTheme="minorHAnsi" w:cs="Calibri"/>
          <w:sz w:val="24"/>
          <w:szCs w:val="24"/>
        </w:rPr>
      </w:pPr>
      <w:r w:rsidRPr="002D7A10">
        <w:rPr>
          <w:rFonts w:asciiTheme="minorHAnsi" w:hAnsiTheme="minorHAnsi" w:cs="Calibri"/>
          <w:b/>
          <w:sz w:val="24"/>
          <w:szCs w:val="24"/>
        </w:rPr>
        <w:t xml:space="preserve">Štipendijný program EHP, </w:t>
      </w:r>
      <w:r w:rsidRPr="002D7A10">
        <w:rPr>
          <w:rFonts w:asciiTheme="minorHAnsi" w:hAnsiTheme="minorHAnsi" w:cs="Calibri"/>
          <w:sz w:val="24"/>
          <w:szCs w:val="24"/>
        </w:rPr>
        <w:t xml:space="preserve">ktorý zabezpečuje mobility študentov a doktorandov na partnerských organizáciách v </w:t>
      </w:r>
      <w:proofErr w:type="spellStart"/>
      <w:r w:rsidRPr="002D7A10">
        <w:rPr>
          <w:rFonts w:asciiTheme="minorHAnsi" w:hAnsiTheme="minorHAnsi" w:cs="Calibri"/>
          <w:sz w:val="24"/>
          <w:szCs w:val="24"/>
        </w:rPr>
        <w:t>donorských</w:t>
      </w:r>
      <w:proofErr w:type="spellEnd"/>
      <w:r w:rsidRPr="002D7A10">
        <w:rPr>
          <w:rFonts w:asciiTheme="minorHAnsi" w:hAnsiTheme="minorHAnsi" w:cs="Calibri"/>
          <w:sz w:val="24"/>
          <w:szCs w:val="24"/>
        </w:rPr>
        <w:t xml:space="preserve"> štátoch Nórsku, Islande a Lichtenštajnsku.</w:t>
      </w:r>
    </w:p>
    <w:p w:rsidR="00A51316" w:rsidRPr="002D7A10" w:rsidRDefault="00A51316" w:rsidP="00A51316">
      <w:pPr>
        <w:pStyle w:val="Zkladntext2"/>
        <w:spacing w:after="120"/>
        <w:rPr>
          <w:rFonts w:asciiTheme="minorHAnsi" w:hAnsiTheme="minorHAnsi" w:cs="Calibri"/>
          <w:sz w:val="24"/>
          <w:szCs w:val="24"/>
        </w:rPr>
      </w:pPr>
      <w:r w:rsidRPr="002D7A10">
        <w:rPr>
          <w:rFonts w:asciiTheme="minorHAnsi" w:hAnsiTheme="minorHAnsi" w:cs="Calibri"/>
          <w:sz w:val="24"/>
          <w:szCs w:val="24"/>
        </w:rPr>
        <w:t xml:space="preserve">Ďalšou možnosťou je mobilita typu </w:t>
      </w:r>
      <w:proofErr w:type="spellStart"/>
      <w:r w:rsidRPr="002D7A10">
        <w:rPr>
          <w:rFonts w:asciiTheme="minorHAnsi" w:hAnsiTheme="minorHAnsi" w:cs="Calibri"/>
          <w:sz w:val="24"/>
          <w:szCs w:val="24"/>
        </w:rPr>
        <w:t>Free</w:t>
      </w:r>
      <w:proofErr w:type="spellEnd"/>
      <w:r w:rsidRPr="002D7A10">
        <w:rPr>
          <w:rFonts w:asciiTheme="minorHAnsi" w:hAnsiTheme="minorHAnsi" w:cs="Calibri"/>
          <w:sz w:val="24"/>
          <w:szCs w:val="24"/>
        </w:rPr>
        <w:t xml:space="preserve"> – </w:t>
      </w:r>
      <w:proofErr w:type="spellStart"/>
      <w:r w:rsidRPr="002D7A10">
        <w:rPr>
          <w:rFonts w:asciiTheme="minorHAnsi" w:hAnsiTheme="minorHAnsi" w:cs="Calibri"/>
          <w:sz w:val="24"/>
          <w:szCs w:val="24"/>
        </w:rPr>
        <w:t>movers</w:t>
      </w:r>
      <w:proofErr w:type="spellEnd"/>
      <w:r w:rsidRPr="002D7A10">
        <w:rPr>
          <w:rFonts w:asciiTheme="minorHAnsi" w:hAnsiTheme="minorHAnsi" w:cs="Calibri"/>
          <w:sz w:val="24"/>
          <w:szCs w:val="24"/>
        </w:rPr>
        <w:t>,</w:t>
      </w:r>
      <w:r w:rsidRPr="002D7A10">
        <w:rPr>
          <w:rFonts w:asciiTheme="minorHAnsi" w:hAnsiTheme="minorHAnsi" w:cs="Calibri"/>
          <w:b/>
          <w:sz w:val="24"/>
          <w:szCs w:val="24"/>
        </w:rPr>
        <w:t xml:space="preserve"> </w:t>
      </w:r>
      <w:proofErr w:type="spellStart"/>
      <w:r w:rsidRPr="002D7A10">
        <w:rPr>
          <w:rFonts w:asciiTheme="minorHAnsi" w:hAnsiTheme="minorHAnsi" w:cs="Calibri"/>
          <w:sz w:val="24"/>
          <w:szCs w:val="24"/>
        </w:rPr>
        <w:t>mobilitný</w:t>
      </w:r>
      <w:proofErr w:type="spellEnd"/>
      <w:r w:rsidRPr="002D7A10">
        <w:rPr>
          <w:rFonts w:asciiTheme="minorHAnsi" w:hAnsiTheme="minorHAnsi" w:cs="Calibri"/>
          <w:sz w:val="24"/>
          <w:szCs w:val="24"/>
        </w:rPr>
        <w:t xml:space="preserve"> program, ktorý môže (ale nemusí byť) zastrešený bilaterálnou zmluvou a študent si mobilitu hradí individuálne zo svojich finančných zdrojov. </w:t>
      </w:r>
    </w:p>
    <w:p w:rsidR="00A51316" w:rsidRPr="002D7A10" w:rsidRDefault="00A51316" w:rsidP="00A51316">
      <w:pPr>
        <w:pStyle w:val="Zkladntext2"/>
        <w:ind w:right="-2"/>
        <w:rPr>
          <w:rFonts w:asciiTheme="minorHAnsi" w:hAnsiTheme="minorHAnsi" w:cs="Calibri"/>
          <w:sz w:val="24"/>
          <w:szCs w:val="24"/>
        </w:rPr>
      </w:pPr>
      <w:r w:rsidRPr="002D7A10">
        <w:rPr>
          <w:rFonts w:asciiTheme="minorHAnsi" w:hAnsiTheme="minorHAnsi"/>
          <w:b/>
          <w:sz w:val="24"/>
          <w:szCs w:val="24"/>
        </w:rPr>
        <w:t>STU spolu v akad. roku 2014/2015.vyslala</w:t>
      </w:r>
      <w:r w:rsidRPr="002D7A10">
        <w:rPr>
          <w:rFonts w:asciiTheme="minorHAnsi" w:hAnsiTheme="minorHAnsi"/>
          <w:b/>
          <w:spacing w:val="6"/>
          <w:sz w:val="24"/>
          <w:szCs w:val="24"/>
        </w:rPr>
        <w:t xml:space="preserve"> 387</w:t>
      </w:r>
      <w:r w:rsidRPr="002D7A10">
        <w:rPr>
          <w:rFonts w:asciiTheme="minorHAnsi" w:hAnsiTheme="minorHAnsi"/>
          <w:b/>
          <w:sz w:val="24"/>
          <w:szCs w:val="24"/>
        </w:rPr>
        <w:t xml:space="preserve"> študentov a prijala 155 zahraničných</w:t>
      </w:r>
      <w:r w:rsidRPr="002D7A10">
        <w:rPr>
          <w:rFonts w:asciiTheme="minorHAnsi" w:hAnsiTheme="minorHAnsi"/>
          <w:b/>
          <w:spacing w:val="-8"/>
          <w:sz w:val="24"/>
          <w:szCs w:val="24"/>
        </w:rPr>
        <w:t xml:space="preserve"> </w:t>
      </w:r>
      <w:r w:rsidRPr="002D7A10">
        <w:rPr>
          <w:rFonts w:asciiTheme="minorHAnsi" w:hAnsiTheme="minorHAnsi"/>
          <w:b/>
          <w:sz w:val="24"/>
          <w:szCs w:val="24"/>
        </w:rPr>
        <w:t>študentov</w:t>
      </w:r>
      <w:r w:rsidRPr="002D7A10">
        <w:rPr>
          <w:rFonts w:asciiTheme="minorHAnsi" w:hAnsiTheme="minorHAnsi"/>
          <w:sz w:val="24"/>
          <w:szCs w:val="24"/>
        </w:rPr>
        <w:t xml:space="preserve"> cez programy </w:t>
      </w:r>
      <w:proofErr w:type="spellStart"/>
      <w:r w:rsidRPr="002D7A10">
        <w:rPr>
          <w:rFonts w:asciiTheme="minorHAnsi" w:hAnsiTheme="minorHAnsi"/>
          <w:sz w:val="24"/>
          <w:szCs w:val="24"/>
        </w:rPr>
        <w:t>Erasmus</w:t>
      </w:r>
      <w:proofErr w:type="spellEnd"/>
      <w:r w:rsidRPr="002D7A10">
        <w:rPr>
          <w:rFonts w:asciiTheme="minorHAnsi" w:hAnsiTheme="minorHAnsi"/>
          <w:sz w:val="24"/>
          <w:szCs w:val="24"/>
        </w:rPr>
        <w:t xml:space="preserve">, NŠP a CEEPUS, ktoré sú najfrekventovanejšie využívanými </w:t>
      </w:r>
      <w:proofErr w:type="spellStart"/>
      <w:r w:rsidRPr="002D7A10">
        <w:rPr>
          <w:rFonts w:asciiTheme="minorHAnsi" w:hAnsiTheme="minorHAnsi"/>
          <w:sz w:val="24"/>
          <w:szCs w:val="24"/>
        </w:rPr>
        <w:t>mobilitnými</w:t>
      </w:r>
      <w:proofErr w:type="spellEnd"/>
      <w:r w:rsidRPr="002D7A10">
        <w:rPr>
          <w:rFonts w:asciiTheme="minorHAnsi" w:hAnsiTheme="minorHAnsi"/>
          <w:sz w:val="24"/>
          <w:szCs w:val="24"/>
        </w:rPr>
        <w:t xml:space="preserve"> programami. (</w:t>
      </w:r>
      <w:r w:rsidR="007E431E" w:rsidRPr="002D7A10">
        <w:rPr>
          <w:rFonts w:asciiTheme="minorHAnsi" w:hAnsiTheme="minorHAnsi"/>
          <w:sz w:val="24"/>
          <w:szCs w:val="24"/>
        </w:rPr>
        <w:t>t</w:t>
      </w:r>
      <w:r w:rsidRPr="002D7A10">
        <w:rPr>
          <w:rFonts w:asciiTheme="minorHAnsi" w:hAnsiTheme="minorHAnsi"/>
          <w:sz w:val="24"/>
          <w:szCs w:val="24"/>
        </w:rPr>
        <w:t xml:space="preserve">abuľka </w:t>
      </w:r>
      <w:r w:rsidRPr="002D7A10">
        <w:rPr>
          <w:rFonts w:asciiTheme="minorHAnsi" w:hAnsiTheme="minorHAnsi" w:cs="Calibri"/>
          <w:sz w:val="24"/>
          <w:szCs w:val="24"/>
        </w:rPr>
        <w:t>č. </w:t>
      </w:r>
      <w:r w:rsidR="007E431E" w:rsidRPr="002D7A10">
        <w:rPr>
          <w:rFonts w:asciiTheme="minorHAnsi" w:hAnsiTheme="minorHAnsi" w:cs="Calibri"/>
          <w:sz w:val="24"/>
          <w:szCs w:val="24"/>
        </w:rPr>
        <w:t>3.</w:t>
      </w:r>
      <w:r w:rsidRPr="002D7A10">
        <w:rPr>
          <w:rFonts w:asciiTheme="minorHAnsi" w:hAnsiTheme="minorHAnsi" w:cs="Calibri"/>
          <w:sz w:val="24"/>
          <w:szCs w:val="24"/>
        </w:rPr>
        <w:t>13).</w:t>
      </w:r>
    </w:p>
    <w:p w:rsidR="00A51316" w:rsidRPr="002D7A10" w:rsidRDefault="00A51316" w:rsidP="00A51316">
      <w:pPr>
        <w:rPr>
          <w:rFonts w:asciiTheme="minorHAnsi" w:eastAsia="Times New Roman" w:hAnsiTheme="minorHAnsi" w:cs="Calibri"/>
          <w:lang w:eastAsia="ko-KR"/>
        </w:rPr>
      </w:pPr>
    </w:p>
    <w:p w:rsidR="00A51316" w:rsidRPr="002443E0" w:rsidRDefault="00A51316" w:rsidP="00A51316">
      <w:pPr>
        <w:pStyle w:val="Zkladntext2"/>
        <w:rPr>
          <w:rFonts w:asciiTheme="minorHAnsi" w:hAnsiTheme="minorHAnsi" w:cs="Calibri"/>
          <w:b/>
          <w:bCs/>
          <w:sz w:val="20"/>
          <w:lang w:eastAsia="sk-SK"/>
        </w:rPr>
      </w:pPr>
      <w:r w:rsidRPr="002443E0">
        <w:rPr>
          <w:rFonts w:asciiTheme="minorHAnsi" w:hAnsiTheme="minorHAnsi" w:cs="Calibri"/>
          <w:b/>
          <w:bCs/>
          <w:sz w:val="20"/>
          <w:lang w:eastAsia="sk-SK"/>
        </w:rPr>
        <w:t xml:space="preserve">Tabuľka </w:t>
      </w:r>
      <w:r w:rsidR="007E431E" w:rsidRPr="002443E0">
        <w:rPr>
          <w:rFonts w:asciiTheme="minorHAnsi" w:hAnsiTheme="minorHAnsi" w:cs="Calibri"/>
          <w:b/>
          <w:bCs/>
          <w:sz w:val="20"/>
          <w:lang w:eastAsia="sk-SK"/>
        </w:rPr>
        <w:t>3.</w:t>
      </w:r>
      <w:r w:rsidRPr="002443E0">
        <w:rPr>
          <w:rFonts w:asciiTheme="minorHAnsi" w:hAnsiTheme="minorHAnsi" w:cs="Calibri"/>
          <w:b/>
          <w:bCs/>
          <w:sz w:val="20"/>
          <w:lang w:eastAsia="sk-SK"/>
        </w:rPr>
        <w:t>13: Mobility študentov v akad. roku 2014/2015</w:t>
      </w:r>
    </w:p>
    <w:tbl>
      <w:tblPr>
        <w:tblW w:w="8820" w:type="dxa"/>
        <w:tblInd w:w="55" w:type="dxa"/>
        <w:tblCellMar>
          <w:left w:w="70" w:type="dxa"/>
          <w:right w:w="70" w:type="dxa"/>
        </w:tblCellMar>
        <w:tblLook w:val="04A0" w:firstRow="1" w:lastRow="0" w:firstColumn="1" w:lastColumn="0" w:noHBand="0" w:noVBand="1"/>
      </w:tblPr>
      <w:tblGrid>
        <w:gridCol w:w="1140"/>
        <w:gridCol w:w="960"/>
        <w:gridCol w:w="960"/>
        <w:gridCol w:w="960"/>
        <w:gridCol w:w="960"/>
        <w:gridCol w:w="960"/>
        <w:gridCol w:w="960"/>
        <w:gridCol w:w="960"/>
        <w:gridCol w:w="960"/>
      </w:tblGrid>
      <w:tr w:rsidR="00A51316" w:rsidRPr="002443E0" w:rsidTr="00CE307D">
        <w:trPr>
          <w:trHeight w:val="255"/>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316" w:rsidRPr="002443E0" w:rsidRDefault="00A51316" w:rsidP="00CE307D">
            <w:pP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ERASMUS+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NŠP</w:t>
            </w:r>
          </w:p>
        </w:tc>
        <w:tc>
          <w:tcPr>
            <w:tcW w:w="1920" w:type="dxa"/>
            <w:gridSpan w:val="2"/>
            <w:tcBorders>
              <w:top w:val="single" w:sz="4" w:space="0" w:color="auto"/>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CEEPUS</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Spolu</w:t>
            </w:r>
          </w:p>
        </w:tc>
      </w:tr>
      <w:tr w:rsidR="00A51316" w:rsidRPr="002443E0" w:rsidTr="00CE307D">
        <w:trPr>
          <w:trHeight w:val="25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51316" w:rsidRPr="002443E0" w:rsidRDefault="00A51316" w:rsidP="00CE307D">
            <w:pP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Fakulty</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V</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P</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V</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P</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V</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P</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V</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P</w:t>
            </w:r>
          </w:p>
        </w:tc>
      </w:tr>
      <w:tr w:rsidR="00A51316" w:rsidRPr="002443E0" w:rsidTr="00CE307D">
        <w:trPr>
          <w:trHeight w:val="27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51316" w:rsidRPr="002443E0" w:rsidRDefault="00A51316" w:rsidP="00CE307D">
            <w:pP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SvF</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84</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32</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3</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38</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3</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125</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36</w:t>
            </w:r>
          </w:p>
        </w:tc>
      </w:tr>
      <w:tr w:rsidR="00A51316" w:rsidRPr="002443E0" w:rsidTr="00CE307D">
        <w:trPr>
          <w:trHeight w:val="27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51316" w:rsidRPr="002443E0" w:rsidRDefault="00A51316" w:rsidP="00CE307D">
            <w:pP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SjF</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29</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11</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5</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31</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35</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43</w:t>
            </w:r>
          </w:p>
        </w:tc>
      </w:tr>
      <w:tr w:rsidR="00A51316" w:rsidRPr="002443E0" w:rsidTr="00CE307D">
        <w:trPr>
          <w:trHeight w:val="27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51316" w:rsidRPr="002443E0" w:rsidRDefault="00A51316" w:rsidP="00CE307D">
            <w:pP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FEI</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23</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11</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4</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0</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0</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0</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27</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11</w:t>
            </w:r>
          </w:p>
        </w:tc>
      </w:tr>
      <w:tr w:rsidR="00A51316" w:rsidRPr="002443E0" w:rsidTr="00CE307D">
        <w:trPr>
          <w:trHeight w:val="27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51316" w:rsidRPr="002443E0" w:rsidRDefault="00A51316" w:rsidP="00CE307D">
            <w:pP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FCHPT</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24</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13</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4</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3</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29</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17</w:t>
            </w:r>
          </w:p>
        </w:tc>
      </w:tr>
      <w:tr w:rsidR="00A51316" w:rsidRPr="002443E0" w:rsidTr="00CE307D">
        <w:trPr>
          <w:trHeight w:val="27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51316" w:rsidRPr="002443E0" w:rsidRDefault="00A51316" w:rsidP="00CE307D">
            <w:pP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FA</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111</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25</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0</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0</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112</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26</w:t>
            </w:r>
          </w:p>
        </w:tc>
      </w:tr>
      <w:tr w:rsidR="00A51316" w:rsidRPr="002443E0" w:rsidTr="00CE307D">
        <w:trPr>
          <w:trHeight w:val="27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51316" w:rsidRPr="002443E0" w:rsidRDefault="00A51316" w:rsidP="00CE307D">
            <w:pP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MTF</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13</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4</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16</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9</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31</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15</w:t>
            </w:r>
          </w:p>
        </w:tc>
      </w:tr>
      <w:tr w:rsidR="00A51316" w:rsidRPr="002443E0" w:rsidTr="00CE307D">
        <w:trPr>
          <w:trHeight w:val="27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51316" w:rsidRPr="002443E0" w:rsidRDefault="00A51316" w:rsidP="00CE307D">
            <w:pP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FIIT</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12</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0</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0</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 0</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12</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3</w:t>
            </w:r>
          </w:p>
        </w:tc>
      </w:tr>
      <w:tr w:rsidR="00A51316" w:rsidRPr="002443E0" w:rsidTr="00CE307D">
        <w:trPr>
          <w:trHeight w:val="27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A51316" w:rsidRPr="002443E0" w:rsidRDefault="00A51316" w:rsidP="00CE307D">
            <w:pP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ÚM</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9</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4</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0</w:t>
            </w:r>
          </w:p>
        </w:tc>
        <w:tc>
          <w:tcPr>
            <w:tcW w:w="960"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0</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7</w:t>
            </w:r>
          </w:p>
        </w:tc>
        <w:tc>
          <w:tcPr>
            <w:tcW w:w="960"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0</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16</w:t>
            </w:r>
          </w:p>
        </w:tc>
        <w:tc>
          <w:tcPr>
            <w:tcW w:w="960"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4</w:t>
            </w:r>
          </w:p>
        </w:tc>
      </w:tr>
      <w:tr w:rsidR="00A51316" w:rsidRPr="002443E0" w:rsidTr="00CE307D">
        <w:trPr>
          <w:trHeight w:val="270"/>
        </w:trPr>
        <w:tc>
          <w:tcPr>
            <w:tcW w:w="1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Spolu</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305</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100</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15</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8</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67</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47</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387</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155</w:t>
            </w:r>
          </w:p>
        </w:tc>
      </w:tr>
      <w:tr w:rsidR="00A51316" w:rsidRPr="002443E0" w:rsidTr="00CE307D">
        <w:trPr>
          <w:trHeight w:val="255"/>
        </w:trPr>
        <w:tc>
          <w:tcPr>
            <w:tcW w:w="1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 </w:t>
            </w:r>
          </w:p>
        </w:tc>
        <w:tc>
          <w:tcPr>
            <w:tcW w:w="192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∑405</w:t>
            </w:r>
          </w:p>
        </w:tc>
        <w:tc>
          <w:tcPr>
            <w:tcW w:w="192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∑23</w:t>
            </w:r>
          </w:p>
        </w:tc>
        <w:tc>
          <w:tcPr>
            <w:tcW w:w="192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∑114</w:t>
            </w:r>
          </w:p>
        </w:tc>
        <w:tc>
          <w:tcPr>
            <w:tcW w:w="192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∑542</w:t>
            </w:r>
          </w:p>
        </w:tc>
      </w:tr>
    </w:tbl>
    <w:p w:rsidR="00A51316" w:rsidRPr="002443E0" w:rsidRDefault="00A51316" w:rsidP="00A51316">
      <w:pPr>
        <w:pStyle w:val="Zkladntext2"/>
        <w:rPr>
          <w:rFonts w:asciiTheme="minorHAnsi" w:hAnsiTheme="minorHAnsi" w:cs="Arial"/>
          <w:sz w:val="20"/>
          <w:lang w:eastAsia="sk-SK"/>
        </w:rPr>
      </w:pPr>
      <w:r w:rsidRPr="002443E0">
        <w:rPr>
          <w:rFonts w:asciiTheme="minorHAnsi" w:hAnsiTheme="minorHAnsi" w:cs="Arial"/>
          <w:sz w:val="20"/>
          <w:lang w:eastAsia="sk-SK"/>
        </w:rPr>
        <w:t>Vysvetlivky: V - vyslaní študenti; P - prijatí študenti</w:t>
      </w:r>
    </w:p>
    <w:p w:rsidR="00A51316" w:rsidRPr="002D7A10" w:rsidRDefault="00A51316" w:rsidP="00A51316">
      <w:pPr>
        <w:pStyle w:val="Zkladntext2"/>
        <w:rPr>
          <w:rFonts w:asciiTheme="minorHAnsi" w:hAnsiTheme="minorHAnsi" w:cs="Arial"/>
          <w:sz w:val="24"/>
          <w:szCs w:val="24"/>
          <w:lang w:eastAsia="sk-SK"/>
        </w:rPr>
      </w:pPr>
    </w:p>
    <w:p w:rsidR="00414FDD" w:rsidRPr="002D7A10" w:rsidRDefault="00A51316" w:rsidP="00A51316">
      <w:pPr>
        <w:pStyle w:val="Zkladntext2"/>
        <w:rPr>
          <w:rFonts w:asciiTheme="minorHAnsi" w:hAnsiTheme="minorHAnsi" w:cs="Calibri"/>
          <w:sz w:val="24"/>
          <w:szCs w:val="24"/>
        </w:rPr>
      </w:pPr>
      <w:r w:rsidRPr="002D7A10">
        <w:rPr>
          <w:rFonts w:asciiTheme="minorHAnsi" w:hAnsiTheme="minorHAnsi" w:cs="Calibri"/>
          <w:sz w:val="24"/>
          <w:szCs w:val="24"/>
        </w:rPr>
        <w:t>Okrem toho evidujeme ďalšie n</w:t>
      </w:r>
      <w:r w:rsidR="00414FDD" w:rsidRPr="002D7A10">
        <w:rPr>
          <w:rFonts w:asciiTheme="minorHAnsi" w:hAnsiTheme="minorHAnsi" w:cs="Calibri"/>
          <w:sz w:val="24"/>
          <w:szCs w:val="24"/>
        </w:rPr>
        <w:t>asledovné mobility študentov</w:t>
      </w:r>
      <w:r w:rsidR="002443E0">
        <w:rPr>
          <w:rFonts w:asciiTheme="minorHAnsi" w:hAnsiTheme="minorHAnsi" w:cs="Calibri"/>
          <w:sz w:val="24"/>
          <w:szCs w:val="24"/>
        </w:rPr>
        <w:t>:</w:t>
      </w:r>
    </w:p>
    <w:p w:rsidR="00A51316" w:rsidRPr="002D7A10" w:rsidRDefault="00A51316" w:rsidP="00A51316">
      <w:pPr>
        <w:pStyle w:val="Zkladntext2"/>
        <w:rPr>
          <w:rFonts w:asciiTheme="minorHAnsi" w:hAnsiTheme="minorHAnsi" w:cs="Calibri"/>
          <w:sz w:val="24"/>
          <w:szCs w:val="24"/>
        </w:rPr>
      </w:pPr>
      <w:r w:rsidRPr="002D7A10">
        <w:rPr>
          <w:rFonts w:asciiTheme="minorHAnsi" w:hAnsiTheme="minorHAnsi" w:cs="Calibri"/>
          <w:b/>
          <w:sz w:val="24"/>
          <w:szCs w:val="24"/>
        </w:rPr>
        <w:t>SvF</w:t>
      </w:r>
      <w:r w:rsidRPr="002D7A10">
        <w:rPr>
          <w:rFonts w:asciiTheme="minorHAnsi" w:hAnsiTheme="minorHAnsi" w:cs="Calibri"/>
          <w:sz w:val="24"/>
          <w:szCs w:val="24"/>
        </w:rPr>
        <w:t>:</w:t>
      </w:r>
    </w:p>
    <w:p w:rsidR="00A51316" w:rsidRPr="002D7A10" w:rsidRDefault="00A51316" w:rsidP="00D31559">
      <w:pPr>
        <w:pStyle w:val="Zkladntext2"/>
        <w:numPr>
          <w:ilvl w:val="0"/>
          <w:numId w:val="12"/>
        </w:numPr>
        <w:rPr>
          <w:rFonts w:asciiTheme="minorHAnsi" w:hAnsiTheme="minorHAnsi" w:cs="Calibri"/>
          <w:sz w:val="24"/>
          <w:szCs w:val="24"/>
        </w:rPr>
      </w:pPr>
      <w:r w:rsidRPr="002D7A10">
        <w:rPr>
          <w:rFonts w:asciiTheme="minorHAnsi" w:hAnsiTheme="minorHAnsi" w:cs="Calibri"/>
          <w:sz w:val="24"/>
          <w:szCs w:val="24"/>
        </w:rPr>
        <w:t>Akcia Rakúsko - Slovensko: vyslaný 1 študent</w:t>
      </w:r>
    </w:p>
    <w:p w:rsidR="00A51316" w:rsidRPr="002D7A10" w:rsidRDefault="00A51316" w:rsidP="00D31559">
      <w:pPr>
        <w:pStyle w:val="Zkladntext2"/>
        <w:numPr>
          <w:ilvl w:val="0"/>
          <w:numId w:val="12"/>
        </w:numPr>
        <w:rPr>
          <w:rFonts w:asciiTheme="minorHAnsi" w:hAnsiTheme="minorHAnsi" w:cs="Calibri"/>
          <w:sz w:val="24"/>
          <w:szCs w:val="24"/>
        </w:rPr>
      </w:pPr>
      <w:r w:rsidRPr="002D7A10">
        <w:rPr>
          <w:rFonts w:asciiTheme="minorHAnsi" w:hAnsiTheme="minorHAnsi" w:cs="Calibri"/>
          <w:sz w:val="24"/>
          <w:szCs w:val="24"/>
        </w:rPr>
        <w:lastRenderedPageBreak/>
        <w:t xml:space="preserve">Štipendijný pobyt na </w:t>
      </w:r>
      <w:proofErr w:type="spellStart"/>
      <w:r w:rsidRPr="002D7A10">
        <w:rPr>
          <w:rFonts w:asciiTheme="minorHAnsi" w:hAnsiTheme="minorHAnsi" w:cs="Calibri"/>
          <w:sz w:val="24"/>
          <w:szCs w:val="24"/>
        </w:rPr>
        <w:t>Kanazawa</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University</w:t>
      </w:r>
      <w:proofErr w:type="spellEnd"/>
      <w:r w:rsidRPr="002D7A10">
        <w:rPr>
          <w:rFonts w:asciiTheme="minorHAnsi" w:hAnsiTheme="minorHAnsi" w:cs="Calibri"/>
          <w:sz w:val="24"/>
          <w:szCs w:val="24"/>
        </w:rPr>
        <w:t>: vyslaný 1 študent</w:t>
      </w:r>
    </w:p>
    <w:p w:rsidR="00A51316" w:rsidRPr="002D7A10" w:rsidRDefault="00A51316" w:rsidP="00D31559">
      <w:pPr>
        <w:pStyle w:val="Zkladntext2"/>
        <w:numPr>
          <w:ilvl w:val="0"/>
          <w:numId w:val="12"/>
        </w:numPr>
        <w:rPr>
          <w:rFonts w:asciiTheme="minorHAnsi" w:hAnsiTheme="minorHAnsi" w:cs="Calibri"/>
          <w:sz w:val="24"/>
          <w:szCs w:val="24"/>
        </w:rPr>
      </w:pPr>
      <w:r w:rsidRPr="002D7A10">
        <w:rPr>
          <w:rFonts w:asciiTheme="minorHAnsi" w:hAnsiTheme="minorHAnsi" w:cs="Calibri"/>
          <w:sz w:val="24"/>
          <w:szCs w:val="24"/>
        </w:rPr>
        <w:t>Iné (</w:t>
      </w:r>
      <w:proofErr w:type="spellStart"/>
      <w:r w:rsidRPr="002D7A10">
        <w:rPr>
          <w:rFonts w:asciiTheme="minorHAnsi" w:hAnsiTheme="minorHAnsi" w:cs="Calibri"/>
          <w:sz w:val="24"/>
          <w:szCs w:val="24"/>
        </w:rPr>
        <w:t>freemovers</w:t>
      </w:r>
      <w:proofErr w:type="spellEnd"/>
      <w:r w:rsidRPr="002D7A10">
        <w:rPr>
          <w:rFonts w:asciiTheme="minorHAnsi" w:hAnsiTheme="minorHAnsi" w:cs="Calibri"/>
          <w:sz w:val="24"/>
          <w:szCs w:val="24"/>
        </w:rPr>
        <w:t>): prijatých 6 študentov</w:t>
      </w:r>
    </w:p>
    <w:p w:rsidR="00A51316" w:rsidRPr="002D7A10" w:rsidRDefault="00A51316" w:rsidP="00A51316">
      <w:pPr>
        <w:pStyle w:val="Zkladntext2"/>
        <w:rPr>
          <w:rFonts w:asciiTheme="minorHAnsi" w:hAnsiTheme="minorHAnsi" w:cs="Calibri"/>
          <w:sz w:val="24"/>
          <w:szCs w:val="24"/>
        </w:rPr>
      </w:pPr>
      <w:r w:rsidRPr="002D7A10">
        <w:rPr>
          <w:rFonts w:asciiTheme="minorHAnsi" w:hAnsiTheme="minorHAnsi" w:cs="Calibri"/>
          <w:b/>
          <w:sz w:val="24"/>
          <w:szCs w:val="24"/>
        </w:rPr>
        <w:t>SjF</w:t>
      </w:r>
      <w:r w:rsidRPr="002D7A10">
        <w:rPr>
          <w:rFonts w:asciiTheme="minorHAnsi" w:hAnsiTheme="minorHAnsi" w:cs="Calibri"/>
          <w:sz w:val="24"/>
          <w:szCs w:val="24"/>
        </w:rPr>
        <w:t xml:space="preserve">: </w:t>
      </w:r>
    </w:p>
    <w:p w:rsidR="00A51316" w:rsidRPr="002D7A10" w:rsidRDefault="00A51316" w:rsidP="00D31559">
      <w:pPr>
        <w:pStyle w:val="Zkladntext2"/>
        <w:numPr>
          <w:ilvl w:val="0"/>
          <w:numId w:val="12"/>
        </w:numPr>
        <w:rPr>
          <w:rFonts w:asciiTheme="minorHAnsi" w:hAnsiTheme="minorHAnsi" w:cs="Calibri"/>
          <w:sz w:val="24"/>
          <w:szCs w:val="24"/>
        </w:rPr>
      </w:pPr>
      <w:r w:rsidRPr="002D7A10">
        <w:rPr>
          <w:rFonts w:asciiTheme="minorHAnsi" w:hAnsiTheme="minorHAnsi" w:cs="Calibri"/>
          <w:sz w:val="24"/>
          <w:szCs w:val="24"/>
        </w:rPr>
        <w:t>IAESTE: prijatý 1 študent</w:t>
      </w:r>
    </w:p>
    <w:p w:rsidR="00A51316" w:rsidRPr="002D7A10" w:rsidRDefault="00A51316" w:rsidP="00D31559">
      <w:pPr>
        <w:pStyle w:val="Zkladntext2"/>
        <w:numPr>
          <w:ilvl w:val="0"/>
          <w:numId w:val="12"/>
        </w:numPr>
        <w:rPr>
          <w:rFonts w:asciiTheme="minorHAnsi" w:hAnsiTheme="minorHAnsi" w:cs="Calibri"/>
          <w:sz w:val="24"/>
          <w:szCs w:val="24"/>
        </w:rPr>
      </w:pPr>
      <w:r w:rsidRPr="002D7A10">
        <w:rPr>
          <w:rFonts w:asciiTheme="minorHAnsi" w:hAnsiTheme="minorHAnsi" w:cs="Calibri"/>
          <w:sz w:val="24"/>
          <w:szCs w:val="24"/>
        </w:rPr>
        <w:t xml:space="preserve">FH </w:t>
      </w:r>
      <w:proofErr w:type="spellStart"/>
      <w:r w:rsidRPr="002D7A10">
        <w:rPr>
          <w:rFonts w:asciiTheme="minorHAnsi" w:hAnsiTheme="minorHAnsi" w:cs="Calibri"/>
          <w:sz w:val="24"/>
          <w:szCs w:val="24"/>
        </w:rPr>
        <w:t>Ulm</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Danube</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Universities</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Programme</w:t>
      </w:r>
      <w:proofErr w:type="spellEnd"/>
      <w:r w:rsidRPr="002D7A10">
        <w:rPr>
          <w:rFonts w:asciiTheme="minorHAnsi" w:hAnsiTheme="minorHAnsi" w:cs="Calibri"/>
          <w:sz w:val="24"/>
          <w:szCs w:val="24"/>
        </w:rPr>
        <w:t>: 4 študenti</w:t>
      </w:r>
    </w:p>
    <w:p w:rsidR="00A51316" w:rsidRPr="002D7A10" w:rsidRDefault="00A51316" w:rsidP="00A51316">
      <w:pPr>
        <w:pStyle w:val="Zkladntext2"/>
        <w:rPr>
          <w:rFonts w:asciiTheme="minorHAnsi" w:hAnsiTheme="minorHAnsi" w:cs="Calibri"/>
          <w:sz w:val="24"/>
          <w:szCs w:val="24"/>
        </w:rPr>
      </w:pPr>
      <w:r w:rsidRPr="002D7A10">
        <w:rPr>
          <w:rFonts w:asciiTheme="minorHAnsi" w:hAnsiTheme="minorHAnsi" w:cs="Calibri"/>
          <w:b/>
          <w:sz w:val="24"/>
          <w:szCs w:val="24"/>
        </w:rPr>
        <w:t>FEI</w:t>
      </w:r>
      <w:r w:rsidRPr="002D7A10">
        <w:rPr>
          <w:rFonts w:asciiTheme="minorHAnsi" w:hAnsiTheme="minorHAnsi" w:cs="Calibri"/>
          <w:sz w:val="24"/>
          <w:szCs w:val="24"/>
        </w:rPr>
        <w:t xml:space="preserve">: </w:t>
      </w:r>
    </w:p>
    <w:p w:rsidR="00A51316" w:rsidRPr="002D7A10" w:rsidRDefault="00A51316" w:rsidP="00D31559">
      <w:pPr>
        <w:pStyle w:val="Zkladntext2"/>
        <w:numPr>
          <w:ilvl w:val="0"/>
          <w:numId w:val="12"/>
        </w:numPr>
        <w:rPr>
          <w:rFonts w:asciiTheme="minorHAnsi" w:hAnsiTheme="minorHAnsi" w:cs="Calibri"/>
          <w:sz w:val="24"/>
          <w:szCs w:val="24"/>
        </w:rPr>
      </w:pPr>
      <w:r w:rsidRPr="002D7A10">
        <w:rPr>
          <w:rFonts w:asciiTheme="minorHAnsi" w:hAnsiTheme="minorHAnsi" w:cs="Calibri"/>
          <w:bCs/>
          <w:sz w:val="24"/>
          <w:szCs w:val="24"/>
        </w:rPr>
        <w:t>Štipendijný program EHP Slovensko: vyslaných 5 študentov</w:t>
      </w:r>
    </w:p>
    <w:p w:rsidR="00A51316" w:rsidRPr="002D7A10" w:rsidRDefault="00A51316" w:rsidP="00D31559">
      <w:pPr>
        <w:pStyle w:val="Zkladntext2"/>
        <w:numPr>
          <w:ilvl w:val="0"/>
          <w:numId w:val="12"/>
        </w:numPr>
        <w:rPr>
          <w:rFonts w:asciiTheme="minorHAnsi" w:hAnsiTheme="minorHAnsi" w:cs="Calibri"/>
          <w:sz w:val="24"/>
          <w:szCs w:val="24"/>
        </w:rPr>
      </w:pPr>
      <w:r w:rsidRPr="002D7A10">
        <w:rPr>
          <w:rFonts w:asciiTheme="minorHAnsi" w:hAnsiTheme="minorHAnsi" w:cs="Calibri"/>
          <w:bCs/>
          <w:sz w:val="24"/>
          <w:szCs w:val="24"/>
        </w:rPr>
        <w:t>Dvojstranná dohoda medzi Fakultou prírodných vied BUTE Budapešť a FEI STU: vyslaných 9 študentov, prijatých 7 študentov</w:t>
      </w:r>
    </w:p>
    <w:p w:rsidR="00A51316" w:rsidRPr="002D7A10" w:rsidRDefault="00A51316" w:rsidP="00D31559">
      <w:pPr>
        <w:pStyle w:val="Zkladntext2"/>
        <w:numPr>
          <w:ilvl w:val="0"/>
          <w:numId w:val="12"/>
        </w:numPr>
        <w:rPr>
          <w:rFonts w:asciiTheme="minorHAnsi" w:hAnsiTheme="minorHAnsi" w:cs="Calibri"/>
          <w:sz w:val="24"/>
          <w:szCs w:val="24"/>
        </w:rPr>
      </w:pPr>
      <w:proofErr w:type="spellStart"/>
      <w:r w:rsidRPr="002D7A10">
        <w:rPr>
          <w:rFonts w:asciiTheme="minorHAnsi" w:hAnsiTheme="minorHAnsi" w:cs="Calibri"/>
          <w:sz w:val="24"/>
          <w:szCs w:val="24"/>
        </w:rPr>
        <w:t>Internship</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Contract</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Faculté</w:t>
      </w:r>
      <w:proofErr w:type="spellEnd"/>
      <w:r w:rsidRPr="002D7A10">
        <w:rPr>
          <w:rFonts w:asciiTheme="minorHAnsi" w:hAnsiTheme="minorHAnsi" w:cs="Calibri"/>
          <w:sz w:val="24"/>
          <w:szCs w:val="24"/>
        </w:rPr>
        <w:t xml:space="preserve"> des </w:t>
      </w:r>
      <w:proofErr w:type="spellStart"/>
      <w:r w:rsidRPr="002D7A10">
        <w:rPr>
          <w:rFonts w:asciiTheme="minorHAnsi" w:hAnsiTheme="minorHAnsi" w:cs="Calibri"/>
          <w:sz w:val="24"/>
          <w:szCs w:val="24"/>
        </w:rPr>
        <w:t>Sciences</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et</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Techniques</w:t>
      </w:r>
      <w:proofErr w:type="spellEnd"/>
      <w:r w:rsidRPr="002D7A10">
        <w:rPr>
          <w:rFonts w:asciiTheme="minorHAnsi" w:hAnsiTheme="minorHAnsi" w:cs="Calibri"/>
          <w:sz w:val="24"/>
          <w:szCs w:val="24"/>
        </w:rPr>
        <w:t xml:space="preserve"> deľ </w:t>
      </w:r>
      <w:proofErr w:type="spellStart"/>
      <w:r w:rsidRPr="002D7A10">
        <w:rPr>
          <w:rFonts w:asciiTheme="minorHAnsi" w:hAnsiTheme="minorHAnsi" w:cs="Calibri"/>
          <w:sz w:val="24"/>
          <w:szCs w:val="24"/>
        </w:rPr>
        <w:t>Université</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Jean</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Monnet</w:t>
      </w:r>
      <w:proofErr w:type="spellEnd"/>
      <w:r w:rsidRPr="002D7A10">
        <w:rPr>
          <w:rFonts w:asciiTheme="minorHAnsi" w:hAnsiTheme="minorHAnsi" w:cs="Calibri"/>
          <w:sz w:val="24"/>
          <w:szCs w:val="24"/>
        </w:rPr>
        <w:t xml:space="preserve"> – St. </w:t>
      </w:r>
      <w:proofErr w:type="spellStart"/>
      <w:r w:rsidRPr="002D7A10">
        <w:rPr>
          <w:rFonts w:asciiTheme="minorHAnsi" w:hAnsiTheme="minorHAnsi" w:cs="Calibri"/>
          <w:sz w:val="24"/>
          <w:szCs w:val="24"/>
        </w:rPr>
        <w:t>Etienne</w:t>
      </w:r>
      <w:proofErr w:type="spellEnd"/>
      <w:r w:rsidRPr="002D7A10">
        <w:rPr>
          <w:rFonts w:asciiTheme="minorHAnsi" w:hAnsiTheme="minorHAnsi" w:cs="Calibri"/>
          <w:sz w:val="24"/>
          <w:szCs w:val="24"/>
        </w:rPr>
        <w:t>: vyslaný 1 študent</w:t>
      </w:r>
    </w:p>
    <w:p w:rsidR="00A51316" w:rsidRPr="002D7A10" w:rsidRDefault="00A51316" w:rsidP="00D31559">
      <w:pPr>
        <w:pStyle w:val="Zkladntext2"/>
        <w:numPr>
          <w:ilvl w:val="0"/>
          <w:numId w:val="12"/>
        </w:numPr>
        <w:rPr>
          <w:rFonts w:asciiTheme="minorHAnsi" w:hAnsiTheme="minorHAnsi" w:cs="Calibri"/>
          <w:sz w:val="24"/>
          <w:szCs w:val="24"/>
        </w:rPr>
      </w:pPr>
      <w:r w:rsidRPr="002D7A10">
        <w:rPr>
          <w:rFonts w:asciiTheme="minorHAnsi" w:hAnsiTheme="minorHAnsi" w:cs="Calibri"/>
          <w:sz w:val="24"/>
          <w:szCs w:val="24"/>
        </w:rPr>
        <w:t>Akcia Rakúsko – Slovensko: vyslaný 1 študent</w:t>
      </w:r>
    </w:p>
    <w:p w:rsidR="00A51316" w:rsidRPr="002D7A10" w:rsidRDefault="00A51316" w:rsidP="00D31559">
      <w:pPr>
        <w:pStyle w:val="Zkladntext2"/>
        <w:numPr>
          <w:ilvl w:val="0"/>
          <w:numId w:val="12"/>
        </w:numPr>
        <w:rPr>
          <w:rFonts w:asciiTheme="minorHAnsi" w:hAnsiTheme="minorHAnsi" w:cs="Calibri"/>
          <w:sz w:val="24"/>
          <w:szCs w:val="24"/>
        </w:rPr>
      </w:pPr>
      <w:r w:rsidRPr="002D7A10">
        <w:rPr>
          <w:rFonts w:asciiTheme="minorHAnsi" w:hAnsiTheme="minorHAnsi" w:cs="Calibri"/>
          <w:sz w:val="24"/>
          <w:szCs w:val="24"/>
        </w:rPr>
        <w:t>EUJEP2 – vyslaný 1 študent</w:t>
      </w:r>
    </w:p>
    <w:p w:rsidR="00A51316" w:rsidRPr="002D7A10" w:rsidRDefault="00A51316" w:rsidP="00A51316">
      <w:pPr>
        <w:pStyle w:val="Zkladntext2"/>
        <w:rPr>
          <w:rFonts w:asciiTheme="minorHAnsi" w:hAnsiTheme="minorHAnsi" w:cs="Calibri"/>
          <w:sz w:val="24"/>
          <w:szCs w:val="24"/>
        </w:rPr>
      </w:pPr>
      <w:r w:rsidRPr="002D7A10">
        <w:rPr>
          <w:rFonts w:asciiTheme="minorHAnsi" w:hAnsiTheme="minorHAnsi" w:cs="Calibri"/>
          <w:b/>
          <w:sz w:val="24"/>
          <w:szCs w:val="24"/>
        </w:rPr>
        <w:t>FCHPT</w:t>
      </w:r>
      <w:r w:rsidRPr="002D7A10">
        <w:rPr>
          <w:rFonts w:asciiTheme="minorHAnsi" w:hAnsiTheme="minorHAnsi" w:cs="Calibri"/>
          <w:sz w:val="24"/>
          <w:szCs w:val="24"/>
        </w:rPr>
        <w:t xml:space="preserve">: </w:t>
      </w:r>
    </w:p>
    <w:p w:rsidR="00A51316" w:rsidRPr="002D7A10" w:rsidRDefault="00A51316" w:rsidP="00D31559">
      <w:pPr>
        <w:pStyle w:val="Zkladntext2"/>
        <w:numPr>
          <w:ilvl w:val="0"/>
          <w:numId w:val="12"/>
        </w:numPr>
        <w:rPr>
          <w:rFonts w:asciiTheme="minorHAnsi" w:hAnsiTheme="minorHAnsi" w:cs="Calibri"/>
          <w:sz w:val="24"/>
          <w:szCs w:val="24"/>
        </w:rPr>
      </w:pPr>
      <w:r w:rsidRPr="002D7A10">
        <w:rPr>
          <w:rFonts w:asciiTheme="minorHAnsi" w:hAnsiTheme="minorHAnsi" w:cs="Calibri"/>
          <w:sz w:val="24"/>
          <w:szCs w:val="24"/>
        </w:rPr>
        <w:t>IAESTE: vyslaní 3 študenti, prijatí 2 študenti</w:t>
      </w:r>
    </w:p>
    <w:p w:rsidR="00A51316" w:rsidRPr="002D7A10" w:rsidRDefault="00A51316" w:rsidP="00D31559">
      <w:pPr>
        <w:pStyle w:val="Zkladntext2"/>
        <w:numPr>
          <w:ilvl w:val="0"/>
          <w:numId w:val="12"/>
        </w:numPr>
        <w:rPr>
          <w:rFonts w:asciiTheme="minorHAnsi" w:hAnsiTheme="minorHAnsi" w:cs="Calibri"/>
          <w:sz w:val="24"/>
          <w:szCs w:val="24"/>
        </w:rPr>
      </w:pPr>
      <w:r w:rsidRPr="002D7A10">
        <w:rPr>
          <w:rFonts w:asciiTheme="minorHAnsi" w:hAnsiTheme="minorHAnsi" w:cs="Calibri"/>
          <w:sz w:val="24"/>
          <w:szCs w:val="24"/>
        </w:rPr>
        <w:t>Medzinárodný Vyšehradský fond: prijatý 1 študent</w:t>
      </w:r>
    </w:p>
    <w:p w:rsidR="00A51316" w:rsidRPr="002D7A10" w:rsidRDefault="00A51316" w:rsidP="00D31559">
      <w:pPr>
        <w:pStyle w:val="Zkladntext2"/>
        <w:numPr>
          <w:ilvl w:val="0"/>
          <w:numId w:val="12"/>
        </w:numPr>
        <w:rPr>
          <w:rFonts w:asciiTheme="minorHAnsi" w:hAnsiTheme="minorHAnsi" w:cs="Calibri"/>
          <w:sz w:val="24"/>
          <w:szCs w:val="24"/>
        </w:rPr>
      </w:pPr>
      <w:r w:rsidRPr="002D7A10">
        <w:rPr>
          <w:rFonts w:asciiTheme="minorHAnsi" w:hAnsiTheme="minorHAnsi" w:cs="Calibri"/>
          <w:sz w:val="24"/>
          <w:szCs w:val="24"/>
        </w:rPr>
        <w:t>Iné (</w:t>
      </w:r>
      <w:proofErr w:type="spellStart"/>
      <w:r w:rsidRPr="002D7A10">
        <w:rPr>
          <w:rFonts w:asciiTheme="minorHAnsi" w:hAnsiTheme="minorHAnsi" w:cs="Calibri"/>
          <w:sz w:val="24"/>
          <w:szCs w:val="24"/>
        </w:rPr>
        <w:t>freemovers</w:t>
      </w:r>
      <w:proofErr w:type="spellEnd"/>
      <w:r w:rsidRPr="002D7A10">
        <w:rPr>
          <w:rFonts w:asciiTheme="minorHAnsi" w:hAnsiTheme="minorHAnsi" w:cs="Calibri"/>
          <w:sz w:val="24"/>
          <w:szCs w:val="24"/>
        </w:rPr>
        <w:t>): vyslaní 7 študenti, prijatí 3 študenti</w:t>
      </w:r>
    </w:p>
    <w:p w:rsidR="00A51316" w:rsidRPr="002D7A10" w:rsidRDefault="00A51316" w:rsidP="00A51316">
      <w:pPr>
        <w:pStyle w:val="Zkladntext2"/>
        <w:rPr>
          <w:rFonts w:asciiTheme="minorHAnsi" w:hAnsiTheme="minorHAnsi" w:cs="Calibri"/>
          <w:sz w:val="24"/>
          <w:szCs w:val="24"/>
        </w:rPr>
      </w:pPr>
      <w:r w:rsidRPr="002D7A10">
        <w:rPr>
          <w:rFonts w:asciiTheme="minorHAnsi" w:hAnsiTheme="minorHAnsi" w:cs="Calibri"/>
          <w:b/>
          <w:sz w:val="24"/>
          <w:szCs w:val="24"/>
        </w:rPr>
        <w:t>MTF</w:t>
      </w:r>
      <w:r w:rsidRPr="002D7A10">
        <w:rPr>
          <w:rFonts w:asciiTheme="minorHAnsi" w:hAnsiTheme="minorHAnsi" w:cs="Calibri"/>
          <w:sz w:val="24"/>
          <w:szCs w:val="24"/>
        </w:rPr>
        <w:t>:</w:t>
      </w:r>
    </w:p>
    <w:p w:rsidR="00A51316" w:rsidRPr="002D7A10" w:rsidRDefault="00A51316" w:rsidP="00D31559">
      <w:pPr>
        <w:pStyle w:val="Zkladntext2"/>
        <w:numPr>
          <w:ilvl w:val="0"/>
          <w:numId w:val="13"/>
        </w:numPr>
        <w:rPr>
          <w:rFonts w:asciiTheme="minorHAnsi" w:hAnsiTheme="minorHAnsi" w:cs="Calibri"/>
          <w:sz w:val="24"/>
          <w:szCs w:val="24"/>
        </w:rPr>
      </w:pPr>
      <w:r w:rsidRPr="002D7A10">
        <w:rPr>
          <w:rFonts w:asciiTheme="minorHAnsi" w:hAnsiTheme="minorHAnsi" w:cs="Calibri"/>
          <w:sz w:val="24"/>
          <w:szCs w:val="24"/>
        </w:rPr>
        <w:t xml:space="preserve">VELUX </w:t>
      </w:r>
      <w:proofErr w:type="spellStart"/>
      <w:r w:rsidRPr="002D7A10">
        <w:rPr>
          <w:rFonts w:asciiTheme="minorHAnsi" w:hAnsiTheme="minorHAnsi" w:cs="Calibri"/>
          <w:sz w:val="24"/>
          <w:szCs w:val="24"/>
        </w:rPr>
        <w:t>Scholarship</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Programme</w:t>
      </w:r>
      <w:proofErr w:type="spellEnd"/>
      <w:r w:rsidRPr="002D7A10">
        <w:rPr>
          <w:rFonts w:asciiTheme="minorHAnsi" w:hAnsiTheme="minorHAnsi" w:cs="Calibri"/>
          <w:sz w:val="24"/>
          <w:szCs w:val="24"/>
        </w:rPr>
        <w:t>: vyslaný 1 študent</w:t>
      </w:r>
    </w:p>
    <w:p w:rsidR="00A51316" w:rsidRPr="002D7A10" w:rsidRDefault="00A51316" w:rsidP="00D31559">
      <w:pPr>
        <w:pStyle w:val="Zkladntext2"/>
        <w:numPr>
          <w:ilvl w:val="0"/>
          <w:numId w:val="13"/>
        </w:numPr>
        <w:rPr>
          <w:rFonts w:asciiTheme="minorHAnsi" w:hAnsiTheme="minorHAnsi" w:cs="Calibri"/>
          <w:sz w:val="24"/>
          <w:szCs w:val="24"/>
        </w:rPr>
      </w:pPr>
      <w:r w:rsidRPr="002D7A10">
        <w:rPr>
          <w:rFonts w:asciiTheme="minorHAnsi" w:hAnsiTheme="minorHAnsi" w:cs="Calibri"/>
          <w:sz w:val="24"/>
          <w:szCs w:val="24"/>
        </w:rPr>
        <w:t>Pobyt v rámci Dohody medzi MŠ SR a Ministerstvom vzdelávania a vedy Ruskej Federácie: prijatý 1 študent</w:t>
      </w:r>
    </w:p>
    <w:p w:rsidR="00A51316" w:rsidRPr="002D7A10" w:rsidRDefault="00A51316" w:rsidP="00D31559">
      <w:pPr>
        <w:pStyle w:val="Zkladntext2"/>
        <w:numPr>
          <w:ilvl w:val="0"/>
          <w:numId w:val="13"/>
        </w:numPr>
        <w:rPr>
          <w:rFonts w:asciiTheme="minorHAnsi" w:hAnsiTheme="minorHAnsi" w:cs="Calibri"/>
          <w:sz w:val="24"/>
          <w:szCs w:val="24"/>
        </w:rPr>
      </w:pPr>
      <w:r w:rsidRPr="002D7A10">
        <w:rPr>
          <w:rFonts w:asciiTheme="minorHAnsi" w:hAnsiTheme="minorHAnsi" w:cs="Calibri"/>
          <w:sz w:val="24"/>
          <w:szCs w:val="24"/>
        </w:rPr>
        <w:t xml:space="preserve">Pobyt v rámci Dohody o spolupráci a Dohody o výmene študentov - </w:t>
      </w:r>
      <w:proofErr w:type="spellStart"/>
      <w:r w:rsidRPr="002D7A10">
        <w:rPr>
          <w:rFonts w:asciiTheme="minorHAnsi" w:hAnsiTheme="minorHAnsi" w:cs="Calibri"/>
          <w:sz w:val="24"/>
          <w:szCs w:val="24"/>
        </w:rPr>
        <w:t>Kumoh</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National</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Institute</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of</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Technology</w:t>
      </w:r>
      <w:proofErr w:type="spellEnd"/>
      <w:r w:rsidRPr="002D7A10">
        <w:rPr>
          <w:rFonts w:asciiTheme="minorHAnsi" w:hAnsiTheme="minorHAnsi" w:cs="Calibri"/>
          <w:sz w:val="24"/>
          <w:szCs w:val="24"/>
        </w:rPr>
        <w:t xml:space="preserve">, </w:t>
      </w:r>
      <w:proofErr w:type="spellStart"/>
      <w:r w:rsidRPr="002D7A10">
        <w:rPr>
          <w:rFonts w:asciiTheme="minorHAnsi" w:hAnsiTheme="minorHAnsi" w:cs="Calibri"/>
          <w:sz w:val="24"/>
          <w:szCs w:val="24"/>
        </w:rPr>
        <w:t>Korea</w:t>
      </w:r>
      <w:proofErr w:type="spellEnd"/>
      <w:r w:rsidRPr="002D7A10">
        <w:rPr>
          <w:rFonts w:asciiTheme="minorHAnsi" w:hAnsiTheme="minorHAnsi" w:cs="Calibri"/>
          <w:sz w:val="24"/>
          <w:szCs w:val="24"/>
        </w:rPr>
        <w:t>: prijatý 1 študent</w:t>
      </w:r>
    </w:p>
    <w:p w:rsidR="00A51316" w:rsidRPr="002D7A10" w:rsidRDefault="00A51316" w:rsidP="00A51316">
      <w:pPr>
        <w:pStyle w:val="Zkladntext2"/>
        <w:rPr>
          <w:rFonts w:asciiTheme="minorHAnsi" w:hAnsiTheme="minorHAnsi" w:cs="Calibri"/>
          <w:color w:val="00B050"/>
          <w:sz w:val="24"/>
          <w:szCs w:val="24"/>
        </w:rPr>
      </w:pPr>
    </w:p>
    <w:p w:rsidR="00A51316" w:rsidRPr="002D7A10" w:rsidRDefault="00A51316" w:rsidP="00A51316">
      <w:pPr>
        <w:pStyle w:val="Zkladntext2"/>
        <w:rPr>
          <w:rFonts w:asciiTheme="minorHAnsi" w:hAnsiTheme="minorHAnsi" w:cs="Calibri"/>
          <w:sz w:val="24"/>
          <w:szCs w:val="24"/>
        </w:rPr>
      </w:pPr>
      <w:r w:rsidRPr="002D7A10">
        <w:rPr>
          <w:rFonts w:asciiTheme="minorHAnsi" w:hAnsiTheme="minorHAnsi" w:cs="Calibri"/>
          <w:sz w:val="24"/>
          <w:szCs w:val="24"/>
        </w:rPr>
        <w:t xml:space="preserve">Najvyšší počet medzinárodných mobilít zrealizovala STU cez program </w:t>
      </w:r>
      <w:proofErr w:type="spellStart"/>
      <w:r w:rsidRPr="002D7A10">
        <w:rPr>
          <w:rFonts w:asciiTheme="minorHAnsi" w:hAnsiTheme="minorHAnsi" w:cs="Calibri"/>
          <w:b/>
          <w:sz w:val="24"/>
          <w:szCs w:val="24"/>
        </w:rPr>
        <w:t>Erasmus</w:t>
      </w:r>
      <w:proofErr w:type="spellEnd"/>
      <w:r w:rsidRPr="002D7A10">
        <w:rPr>
          <w:rFonts w:asciiTheme="minorHAnsi" w:hAnsiTheme="minorHAnsi" w:cs="Calibri"/>
          <w:b/>
          <w:sz w:val="24"/>
          <w:szCs w:val="24"/>
        </w:rPr>
        <w:t xml:space="preserve">+. </w:t>
      </w:r>
      <w:r w:rsidRPr="002D7A10">
        <w:rPr>
          <w:rFonts w:asciiTheme="minorHAnsi" w:hAnsiTheme="minorHAnsi" w:cs="Calibri"/>
          <w:sz w:val="24"/>
          <w:szCs w:val="24"/>
        </w:rPr>
        <w:t xml:space="preserve">V akad. roku 2014/2015 STU vyslala a prijala v rámci tohto programu 405 študentov. Prehľad </w:t>
      </w:r>
      <w:proofErr w:type="spellStart"/>
      <w:r w:rsidRPr="002D7A10">
        <w:rPr>
          <w:rFonts w:asciiTheme="minorHAnsi" w:hAnsiTheme="minorHAnsi" w:cs="Calibri"/>
          <w:sz w:val="24"/>
          <w:szCs w:val="24"/>
        </w:rPr>
        <w:t>Erasmus</w:t>
      </w:r>
      <w:proofErr w:type="spellEnd"/>
      <w:r w:rsidRPr="002D7A10">
        <w:rPr>
          <w:rFonts w:asciiTheme="minorHAnsi" w:hAnsiTheme="minorHAnsi" w:cs="Calibri"/>
          <w:sz w:val="24"/>
          <w:szCs w:val="24"/>
        </w:rPr>
        <w:t>+ mobilít za posledných 5 rokov je uvedený v </w:t>
      </w:r>
      <w:r w:rsidR="007E431E" w:rsidRPr="002D7A10">
        <w:rPr>
          <w:rFonts w:asciiTheme="minorHAnsi" w:hAnsiTheme="minorHAnsi" w:cs="Calibri"/>
          <w:sz w:val="24"/>
          <w:szCs w:val="24"/>
        </w:rPr>
        <w:t>t</w:t>
      </w:r>
      <w:r w:rsidRPr="002D7A10">
        <w:rPr>
          <w:rFonts w:asciiTheme="minorHAnsi" w:hAnsiTheme="minorHAnsi" w:cs="Calibri"/>
          <w:sz w:val="24"/>
          <w:szCs w:val="24"/>
        </w:rPr>
        <w:t xml:space="preserve">abuľke č. </w:t>
      </w:r>
      <w:r w:rsidR="007E431E" w:rsidRPr="002D7A10">
        <w:rPr>
          <w:rFonts w:asciiTheme="minorHAnsi" w:hAnsiTheme="minorHAnsi" w:cs="Calibri"/>
          <w:sz w:val="24"/>
          <w:szCs w:val="24"/>
        </w:rPr>
        <w:t>3.</w:t>
      </w:r>
      <w:r w:rsidRPr="002D7A10">
        <w:rPr>
          <w:rFonts w:asciiTheme="minorHAnsi" w:hAnsiTheme="minorHAnsi" w:cs="Calibri"/>
          <w:sz w:val="24"/>
          <w:szCs w:val="24"/>
        </w:rPr>
        <w:t xml:space="preserve">14. V hodnotenom akad. roku bol zaznamenaný vysoký záujem študentov nielen o študijné pobyty, ale i o mobility - pracovné stáže. V počte realizovaných vyslaní študentov sú započítané i stáže absolventov, pretože program </w:t>
      </w:r>
      <w:proofErr w:type="spellStart"/>
      <w:r w:rsidRPr="002D7A10">
        <w:rPr>
          <w:rFonts w:asciiTheme="minorHAnsi" w:hAnsiTheme="minorHAnsi" w:cs="Calibri"/>
          <w:sz w:val="24"/>
          <w:szCs w:val="24"/>
        </w:rPr>
        <w:t>Erasmus</w:t>
      </w:r>
      <w:proofErr w:type="spellEnd"/>
      <w:r w:rsidRPr="002D7A10">
        <w:rPr>
          <w:rFonts w:asciiTheme="minorHAnsi" w:hAnsiTheme="minorHAnsi" w:cs="Calibri"/>
          <w:sz w:val="24"/>
          <w:szCs w:val="24"/>
        </w:rPr>
        <w:t>+ umožňuje realizovať i stáže absolventov najneskôr do jedného roka po riadnom skončení štúdia. Z počtu 305 vyslaní bolo 228 mobilít typu študijný pobyt a 77 pracovných stáží. Z počtu 77 pracovných stáží bolo realizovaných 33 stáží absolventov STU.</w:t>
      </w:r>
    </w:p>
    <w:p w:rsidR="00A51316" w:rsidRPr="002D7A10" w:rsidRDefault="00A51316" w:rsidP="00A51316">
      <w:pPr>
        <w:rPr>
          <w:rFonts w:asciiTheme="minorHAnsi" w:hAnsiTheme="minorHAnsi"/>
          <w:lang w:eastAsia="sk-SK"/>
        </w:rPr>
      </w:pPr>
    </w:p>
    <w:p w:rsidR="00A51316" w:rsidRPr="002443E0" w:rsidRDefault="00A51316" w:rsidP="00A51316">
      <w:pPr>
        <w:rPr>
          <w:rFonts w:asciiTheme="minorHAnsi" w:hAnsiTheme="minorHAnsi"/>
          <w:b/>
          <w:sz w:val="20"/>
          <w:szCs w:val="20"/>
          <w:lang w:eastAsia="sk-SK"/>
        </w:rPr>
      </w:pPr>
      <w:r w:rsidRPr="002443E0">
        <w:rPr>
          <w:rFonts w:asciiTheme="minorHAnsi" w:hAnsiTheme="minorHAnsi"/>
          <w:b/>
          <w:sz w:val="20"/>
          <w:szCs w:val="20"/>
          <w:lang w:eastAsia="sk-SK"/>
        </w:rPr>
        <w:t xml:space="preserve">Tabuľka č. </w:t>
      </w:r>
      <w:r w:rsidR="007E431E" w:rsidRPr="002443E0">
        <w:rPr>
          <w:rFonts w:asciiTheme="minorHAnsi" w:hAnsiTheme="minorHAnsi"/>
          <w:b/>
          <w:sz w:val="20"/>
          <w:szCs w:val="20"/>
          <w:lang w:eastAsia="sk-SK"/>
        </w:rPr>
        <w:t>3.</w:t>
      </w:r>
      <w:r w:rsidRPr="002443E0">
        <w:rPr>
          <w:rFonts w:asciiTheme="minorHAnsi" w:hAnsiTheme="minorHAnsi"/>
          <w:b/>
          <w:sz w:val="20"/>
          <w:szCs w:val="20"/>
          <w:lang w:eastAsia="sk-SK"/>
        </w:rPr>
        <w:t xml:space="preserve">14: Vyslaní a prijatí </w:t>
      </w:r>
      <w:proofErr w:type="spellStart"/>
      <w:r w:rsidRPr="002443E0">
        <w:rPr>
          <w:rFonts w:asciiTheme="minorHAnsi" w:hAnsiTheme="minorHAnsi"/>
          <w:b/>
          <w:sz w:val="20"/>
          <w:szCs w:val="20"/>
          <w:lang w:eastAsia="sk-SK"/>
        </w:rPr>
        <w:t>Erasmus</w:t>
      </w:r>
      <w:proofErr w:type="spellEnd"/>
      <w:r w:rsidRPr="002443E0">
        <w:rPr>
          <w:rFonts w:asciiTheme="minorHAnsi" w:hAnsiTheme="minorHAnsi"/>
          <w:b/>
          <w:sz w:val="20"/>
          <w:szCs w:val="20"/>
          <w:lang w:eastAsia="sk-SK"/>
        </w:rPr>
        <w:t>+ študenti STU za roky 2010 – 2015</w:t>
      </w:r>
    </w:p>
    <w:tbl>
      <w:tblPr>
        <w:tblW w:w="5103" w:type="dxa"/>
        <w:tblInd w:w="70" w:type="dxa"/>
        <w:tblCellMar>
          <w:left w:w="70" w:type="dxa"/>
          <w:right w:w="70" w:type="dxa"/>
        </w:tblCellMar>
        <w:tblLook w:val="04A0" w:firstRow="1" w:lastRow="0" w:firstColumn="1" w:lastColumn="0" w:noHBand="0" w:noVBand="1"/>
      </w:tblPr>
      <w:tblGrid>
        <w:gridCol w:w="1560"/>
        <w:gridCol w:w="1181"/>
        <w:gridCol w:w="1181"/>
        <w:gridCol w:w="1181"/>
      </w:tblGrid>
      <w:tr w:rsidR="00A51316" w:rsidRPr="002443E0" w:rsidTr="00CE307D">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316" w:rsidRPr="002443E0" w:rsidRDefault="00A51316" w:rsidP="002443E0">
            <w:pPr>
              <w:ind w:firstLineChars="100" w:firstLine="201"/>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akad. rok</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vyslaní</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prijatí</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spolu</w:t>
            </w:r>
          </w:p>
        </w:tc>
      </w:tr>
      <w:tr w:rsidR="00A51316" w:rsidRPr="002443E0" w:rsidTr="00CE307D">
        <w:trPr>
          <w:trHeight w:val="2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51316" w:rsidRPr="002443E0" w:rsidRDefault="00A51316" w:rsidP="002443E0">
            <w:pPr>
              <w:ind w:firstLineChars="100" w:firstLine="200"/>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2010/2011</w:t>
            </w:r>
          </w:p>
        </w:tc>
        <w:tc>
          <w:tcPr>
            <w:tcW w:w="1181"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138</w:t>
            </w:r>
          </w:p>
        </w:tc>
        <w:tc>
          <w:tcPr>
            <w:tcW w:w="1181"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45</w:t>
            </w:r>
          </w:p>
        </w:tc>
        <w:tc>
          <w:tcPr>
            <w:tcW w:w="1181"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183</w:t>
            </w:r>
          </w:p>
        </w:tc>
      </w:tr>
      <w:tr w:rsidR="00A51316" w:rsidRPr="002443E0" w:rsidTr="00CE307D">
        <w:trPr>
          <w:trHeight w:val="2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51316" w:rsidRPr="002443E0" w:rsidRDefault="00A51316" w:rsidP="002443E0">
            <w:pPr>
              <w:ind w:firstLineChars="100" w:firstLine="200"/>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2011/2012</w:t>
            </w:r>
          </w:p>
        </w:tc>
        <w:tc>
          <w:tcPr>
            <w:tcW w:w="1181"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176</w:t>
            </w:r>
          </w:p>
        </w:tc>
        <w:tc>
          <w:tcPr>
            <w:tcW w:w="1181"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54</w:t>
            </w:r>
          </w:p>
        </w:tc>
        <w:tc>
          <w:tcPr>
            <w:tcW w:w="1181" w:type="dxa"/>
            <w:tcBorders>
              <w:top w:val="nil"/>
              <w:left w:val="nil"/>
              <w:bottom w:val="single" w:sz="4" w:space="0" w:color="auto"/>
              <w:right w:val="single" w:sz="4" w:space="0" w:color="auto"/>
            </w:tcBorders>
            <w:shd w:val="clear" w:color="auto" w:fill="auto"/>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230</w:t>
            </w:r>
          </w:p>
        </w:tc>
      </w:tr>
      <w:tr w:rsidR="00A51316" w:rsidRPr="002443E0" w:rsidTr="00CE307D">
        <w:trPr>
          <w:trHeight w:val="25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A51316" w:rsidRPr="002443E0" w:rsidRDefault="00A51316" w:rsidP="002443E0">
            <w:pPr>
              <w:ind w:firstLineChars="100" w:firstLine="200"/>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2012/2013</w:t>
            </w:r>
          </w:p>
        </w:tc>
        <w:tc>
          <w:tcPr>
            <w:tcW w:w="1181"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192</w:t>
            </w:r>
          </w:p>
        </w:tc>
        <w:tc>
          <w:tcPr>
            <w:tcW w:w="1181"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76</w:t>
            </w:r>
          </w:p>
        </w:tc>
        <w:tc>
          <w:tcPr>
            <w:tcW w:w="1181"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268</w:t>
            </w:r>
          </w:p>
        </w:tc>
      </w:tr>
      <w:tr w:rsidR="00A51316" w:rsidRPr="002443E0" w:rsidTr="00CE307D">
        <w:trPr>
          <w:trHeight w:val="25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A51316" w:rsidRPr="002443E0" w:rsidRDefault="00A51316" w:rsidP="002443E0">
            <w:pPr>
              <w:ind w:firstLineChars="100" w:firstLine="200"/>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2013/2014</w:t>
            </w:r>
          </w:p>
        </w:tc>
        <w:tc>
          <w:tcPr>
            <w:tcW w:w="1181"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230</w:t>
            </w:r>
          </w:p>
        </w:tc>
        <w:tc>
          <w:tcPr>
            <w:tcW w:w="1181"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89</w:t>
            </w:r>
          </w:p>
        </w:tc>
        <w:tc>
          <w:tcPr>
            <w:tcW w:w="1181"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sz w:val="20"/>
                <w:szCs w:val="20"/>
                <w:lang w:eastAsia="sk-SK"/>
              </w:rPr>
            </w:pPr>
            <w:r w:rsidRPr="002443E0">
              <w:rPr>
                <w:rFonts w:asciiTheme="minorHAnsi" w:eastAsia="Times New Roman" w:hAnsiTheme="minorHAnsi" w:cs="Arial"/>
                <w:sz w:val="20"/>
                <w:szCs w:val="20"/>
                <w:lang w:eastAsia="sk-SK"/>
              </w:rPr>
              <w:t>319</w:t>
            </w:r>
          </w:p>
        </w:tc>
      </w:tr>
      <w:tr w:rsidR="00A51316" w:rsidRPr="002443E0" w:rsidTr="00CE307D">
        <w:trPr>
          <w:trHeight w:val="25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A51316" w:rsidRPr="002443E0" w:rsidRDefault="00A51316" w:rsidP="002443E0">
            <w:pPr>
              <w:ind w:firstLineChars="100" w:firstLine="201"/>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2014/2015</w:t>
            </w:r>
          </w:p>
        </w:tc>
        <w:tc>
          <w:tcPr>
            <w:tcW w:w="1181"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305</w:t>
            </w:r>
          </w:p>
        </w:tc>
        <w:tc>
          <w:tcPr>
            <w:tcW w:w="1181"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100</w:t>
            </w:r>
          </w:p>
        </w:tc>
        <w:tc>
          <w:tcPr>
            <w:tcW w:w="1181" w:type="dxa"/>
            <w:tcBorders>
              <w:top w:val="nil"/>
              <w:left w:val="nil"/>
              <w:bottom w:val="single" w:sz="4" w:space="0" w:color="auto"/>
              <w:right w:val="single" w:sz="4" w:space="0" w:color="auto"/>
            </w:tcBorders>
            <w:shd w:val="clear" w:color="000000" w:fill="FFFFFF"/>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405</w:t>
            </w:r>
          </w:p>
        </w:tc>
      </w:tr>
      <w:tr w:rsidR="00A51316" w:rsidRPr="002443E0" w:rsidTr="00CE307D">
        <w:trPr>
          <w:trHeight w:val="255"/>
        </w:trPr>
        <w:tc>
          <w:tcPr>
            <w:tcW w:w="1560" w:type="dxa"/>
            <w:tcBorders>
              <w:top w:val="nil"/>
              <w:left w:val="single" w:sz="4" w:space="0" w:color="auto"/>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Spolu</w:t>
            </w:r>
          </w:p>
        </w:tc>
        <w:tc>
          <w:tcPr>
            <w:tcW w:w="1181"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1 041</w:t>
            </w:r>
          </w:p>
        </w:tc>
        <w:tc>
          <w:tcPr>
            <w:tcW w:w="1181"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364</w:t>
            </w:r>
          </w:p>
        </w:tc>
        <w:tc>
          <w:tcPr>
            <w:tcW w:w="1181" w:type="dxa"/>
            <w:tcBorders>
              <w:top w:val="nil"/>
              <w:left w:val="nil"/>
              <w:bottom w:val="single" w:sz="4" w:space="0" w:color="auto"/>
              <w:right w:val="single" w:sz="4" w:space="0" w:color="auto"/>
            </w:tcBorders>
            <w:shd w:val="clear" w:color="000000" w:fill="D9D9D9"/>
            <w:vAlign w:val="center"/>
            <w:hideMark/>
          </w:tcPr>
          <w:p w:rsidR="00A51316" w:rsidRPr="002443E0" w:rsidRDefault="00A51316" w:rsidP="00CE307D">
            <w:pPr>
              <w:jc w:val="center"/>
              <w:rPr>
                <w:rFonts w:asciiTheme="minorHAnsi" w:eastAsia="Times New Roman" w:hAnsiTheme="minorHAnsi" w:cs="Arial"/>
                <w:b/>
                <w:bCs/>
                <w:sz w:val="20"/>
                <w:szCs w:val="20"/>
                <w:lang w:eastAsia="sk-SK"/>
              </w:rPr>
            </w:pPr>
            <w:r w:rsidRPr="002443E0">
              <w:rPr>
                <w:rFonts w:asciiTheme="minorHAnsi" w:eastAsia="Times New Roman" w:hAnsiTheme="minorHAnsi" w:cs="Arial"/>
                <w:b/>
                <w:bCs/>
                <w:sz w:val="20"/>
                <w:szCs w:val="20"/>
                <w:lang w:eastAsia="sk-SK"/>
              </w:rPr>
              <w:t>1 405</w:t>
            </w:r>
          </w:p>
        </w:tc>
      </w:tr>
    </w:tbl>
    <w:p w:rsidR="00414FDD" w:rsidRPr="002D7A10" w:rsidRDefault="00414FDD" w:rsidP="00A51316">
      <w:pPr>
        <w:pStyle w:val="Zkladntext2"/>
        <w:rPr>
          <w:rFonts w:asciiTheme="minorHAnsi" w:hAnsiTheme="minorHAnsi" w:cs="Calibri"/>
          <w:sz w:val="24"/>
          <w:szCs w:val="24"/>
        </w:rPr>
      </w:pPr>
    </w:p>
    <w:p w:rsidR="0005714D" w:rsidRDefault="00A51316" w:rsidP="0005714D">
      <w:pPr>
        <w:pStyle w:val="Zkladntext2"/>
        <w:rPr>
          <w:rFonts w:asciiTheme="minorHAnsi" w:hAnsiTheme="minorHAnsi" w:cs="Calibri"/>
          <w:sz w:val="24"/>
          <w:szCs w:val="24"/>
        </w:rPr>
      </w:pPr>
      <w:r w:rsidRPr="002D7A10">
        <w:rPr>
          <w:rFonts w:asciiTheme="minorHAnsi" w:hAnsiTheme="minorHAnsi" w:cs="Calibri"/>
          <w:sz w:val="24"/>
          <w:szCs w:val="24"/>
        </w:rPr>
        <w:t xml:space="preserve">Percentuálne najvyšší počet vyslaných študentov v programe </w:t>
      </w:r>
      <w:proofErr w:type="spellStart"/>
      <w:r w:rsidRPr="002D7A10">
        <w:rPr>
          <w:rFonts w:asciiTheme="minorHAnsi" w:hAnsiTheme="minorHAnsi" w:cs="Calibri"/>
          <w:sz w:val="24"/>
          <w:szCs w:val="24"/>
        </w:rPr>
        <w:t>Erasmus</w:t>
      </w:r>
      <w:proofErr w:type="spellEnd"/>
      <w:r w:rsidRPr="002D7A10">
        <w:rPr>
          <w:rFonts w:asciiTheme="minorHAnsi" w:hAnsiTheme="minorHAnsi" w:cs="Calibri"/>
          <w:sz w:val="24"/>
          <w:szCs w:val="24"/>
        </w:rPr>
        <w:t>+ z STU predstavujú študenti druhého stupňa štúdia (</w:t>
      </w:r>
      <w:r w:rsidR="007E431E" w:rsidRPr="002D7A10">
        <w:rPr>
          <w:rFonts w:asciiTheme="minorHAnsi" w:hAnsiTheme="minorHAnsi" w:cs="Calibri"/>
          <w:sz w:val="24"/>
          <w:szCs w:val="24"/>
        </w:rPr>
        <w:t>g</w:t>
      </w:r>
      <w:r w:rsidRPr="002D7A10">
        <w:rPr>
          <w:rFonts w:asciiTheme="minorHAnsi" w:hAnsiTheme="minorHAnsi" w:cs="Calibri"/>
          <w:sz w:val="24"/>
          <w:szCs w:val="24"/>
        </w:rPr>
        <w:t xml:space="preserve">raf č. </w:t>
      </w:r>
      <w:r w:rsidR="007E431E" w:rsidRPr="002D7A10">
        <w:rPr>
          <w:rFonts w:asciiTheme="minorHAnsi" w:hAnsiTheme="minorHAnsi" w:cs="Calibri"/>
          <w:sz w:val="24"/>
          <w:szCs w:val="24"/>
        </w:rPr>
        <w:t>3.</w:t>
      </w:r>
      <w:r w:rsidRPr="002D7A10">
        <w:rPr>
          <w:rFonts w:asciiTheme="minorHAnsi" w:hAnsiTheme="minorHAnsi" w:cs="Calibri"/>
          <w:sz w:val="24"/>
          <w:szCs w:val="24"/>
        </w:rPr>
        <w:t>7).</w:t>
      </w:r>
      <w:r w:rsidR="0005714D" w:rsidRPr="0005714D">
        <w:rPr>
          <w:rFonts w:asciiTheme="minorHAnsi" w:hAnsiTheme="minorHAnsi" w:cs="Calibri"/>
          <w:sz w:val="24"/>
          <w:szCs w:val="24"/>
        </w:rPr>
        <w:t xml:space="preserve"> </w:t>
      </w:r>
    </w:p>
    <w:p w:rsidR="00DC21A8" w:rsidRPr="0005714D" w:rsidRDefault="0005714D" w:rsidP="00A51316">
      <w:pPr>
        <w:pStyle w:val="Zkladntext2"/>
        <w:rPr>
          <w:rFonts w:asciiTheme="minorHAnsi" w:hAnsiTheme="minorHAnsi" w:cs="Calibri"/>
          <w:sz w:val="24"/>
          <w:szCs w:val="24"/>
        </w:rPr>
      </w:pPr>
      <w:r w:rsidRPr="002D7A10">
        <w:rPr>
          <w:rFonts w:asciiTheme="minorHAnsi" w:hAnsiTheme="minorHAnsi" w:cs="Calibri"/>
          <w:sz w:val="24"/>
          <w:szCs w:val="24"/>
        </w:rPr>
        <w:lastRenderedPageBreak/>
        <w:t xml:space="preserve">Mobility </w:t>
      </w:r>
      <w:proofErr w:type="spellStart"/>
      <w:r w:rsidRPr="002D7A10">
        <w:rPr>
          <w:rFonts w:asciiTheme="minorHAnsi" w:hAnsiTheme="minorHAnsi" w:cs="Calibri"/>
          <w:sz w:val="24"/>
          <w:szCs w:val="24"/>
        </w:rPr>
        <w:t>Erasmus</w:t>
      </w:r>
      <w:proofErr w:type="spellEnd"/>
      <w:r w:rsidRPr="002D7A10">
        <w:rPr>
          <w:rFonts w:asciiTheme="minorHAnsi" w:hAnsiTheme="minorHAnsi" w:cs="Calibri"/>
          <w:sz w:val="24"/>
          <w:szCs w:val="24"/>
        </w:rPr>
        <w:t xml:space="preserve">+ boli realizované v </w:t>
      </w:r>
      <w:r w:rsidRPr="002D7A10">
        <w:rPr>
          <w:rFonts w:asciiTheme="minorHAnsi" w:hAnsiTheme="minorHAnsi" w:cs="Calibri"/>
          <w:b/>
          <w:sz w:val="24"/>
          <w:szCs w:val="24"/>
        </w:rPr>
        <w:t>25</w:t>
      </w:r>
      <w:r w:rsidRPr="002D7A10">
        <w:rPr>
          <w:rFonts w:asciiTheme="minorHAnsi" w:hAnsiTheme="minorHAnsi" w:cs="Calibri"/>
          <w:sz w:val="24"/>
          <w:szCs w:val="24"/>
        </w:rPr>
        <w:t xml:space="preserve"> štátoch participujúcich v programe ako uvádza graf č. 3.</w:t>
      </w:r>
      <w:r>
        <w:rPr>
          <w:rFonts w:asciiTheme="minorHAnsi" w:hAnsiTheme="minorHAnsi" w:cs="Calibri"/>
          <w:sz w:val="24"/>
          <w:szCs w:val="24"/>
        </w:rPr>
        <w:t>8.</w:t>
      </w:r>
    </w:p>
    <w:p w:rsidR="00DC21A8" w:rsidRDefault="00DC21A8" w:rsidP="00A51316">
      <w:pPr>
        <w:pStyle w:val="Zkladntext2"/>
        <w:rPr>
          <w:rFonts w:asciiTheme="minorHAnsi" w:hAnsiTheme="minorHAnsi" w:cs="Calibri"/>
          <w:b/>
          <w:sz w:val="20"/>
        </w:rPr>
      </w:pPr>
    </w:p>
    <w:p w:rsidR="00A51316" w:rsidRPr="00115315" w:rsidRDefault="00A51316" w:rsidP="00A51316">
      <w:pPr>
        <w:pStyle w:val="Zkladntext2"/>
        <w:rPr>
          <w:rFonts w:asciiTheme="minorHAnsi" w:hAnsiTheme="minorHAnsi" w:cs="Calibri"/>
          <w:b/>
          <w:sz w:val="20"/>
        </w:rPr>
      </w:pPr>
      <w:r w:rsidRPr="00115315">
        <w:rPr>
          <w:rFonts w:asciiTheme="minorHAnsi" w:hAnsiTheme="minorHAnsi" w:cs="Calibri"/>
          <w:b/>
          <w:sz w:val="20"/>
        </w:rPr>
        <w:t xml:space="preserve">Graf č. </w:t>
      </w:r>
      <w:r w:rsidR="007E431E" w:rsidRPr="00115315">
        <w:rPr>
          <w:rFonts w:asciiTheme="minorHAnsi" w:hAnsiTheme="minorHAnsi" w:cs="Calibri"/>
          <w:b/>
          <w:sz w:val="20"/>
        </w:rPr>
        <w:t>3.</w:t>
      </w:r>
      <w:r w:rsidRPr="00115315">
        <w:rPr>
          <w:rFonts w:asciiTheme="minorHAnsi" w:hAnsiTheme="minorHAnsi" w:cs="Calibri"/>
          <w:b/>
          <w:sz w:val="20"/>
        </w:rPr>
        <w:t xml:space="preserve">7: Percentuálne zastúpenie vyslaných študentov v programe </w:t>
      </w:r>
      <w:proofErr w:type="spellStart"/>
      <w:r w:rsidRPr="00115315">
        <w:rPr>
          <w:rFonts w:asciiTheme="minorHAnsi" w:hAnsiTheme="minorHAnsi" w:cs="Calibri"/>
          <w:b/>
          <w:sz w:val="20"/>
        </w:rPr>
        <w:t>Erasmus</w:t>
      </w:r>
      <w:proofErr w:type="spellEnd"/>
      <w:r w:rsidRPr="00115315">
        <w:rPr>
          <w:rFonts w:asciiTheme="minorHAnsi" w:hAnsiTheme="minorHAnsi" w:cs="Calibri"/>
          <w:b/>
          <w:sz w:val="20"/>
        </w:rPr>
        <w:t>+ podľa stupňa štúdia</w:t>
      </w:r>
    </w:p>
    <w:p w:rsidR="00A51316" w:rsidRPr="00115315" w:rsidRDefault="00A51316" w:rsidP="00A51316">
      <w:pPr>
        <w:pStyle w:val="Zkladntext2"/>
        <w:rPr>
          <w:rFonts w:asciiTheme="minorHAnsi" w:hAnsiTheme="minorHAnsi" w:cs="Calibri"/>
          <w:sz w:val="20"/>
        </w:rPr>
      </w:pPr>
      <w:r w:rsidRPr="00115315">
        <w:rPr>
          <w:rFonts w:asciiTheme="minorHAnsi" w:hAnsiTheme="minorHAnsi"/>
          <w:noProof/>
          <w:sz w:val="20"/>
          <w:lang w:eastAsia="sk-SK"/>
        </w:rPr>
        <w:drawing>
          <wp:inline distT="0" distB="0" distL="0" distR="0" wp14:anchorId="41138BDF" wp14:editId="25E9B8FD">
            <wp:extent cx="4124325" cy="2647950"/>
            <wp:effectExtent l="3810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315" w:rsidRDefault="00115315" w:rsidP="00A51316">
      <w:pPr>
        <w:pStyle w:val="Zkladntext2"/>
        <w:rPr>
          <w:rFonts w:asciiTheme="minorHAnsi" w:hAnsiTheme="minorHAnsi" w:cs="Calibri"/>
          <w:sz w:val="24"/>
          <w:szCs w:val="24"/>
        </w:rPr>
      </w:pPr>
    </w:p>
    <w:p w:rsidR="00C75D0B" w:rsidRDefault="00C75D0B" w:rsidP="00A51316">
      <w:pPr>
        <w:pStyle w:val="Zkladntext2"/>
        <w:rPr>
          <w:rFonts w:asciiTheme="minorHAnsi" w:hAnsiTheme="minorHAnsi" w:cs="Calibri"/>
          <w:sz w:val="24"/>
          <w:szCs w:val="24"/>
        </w:rPr>
      </w:pPr>
    </w:p>
    <w:p w:rsidR="00A51316" w:rsidRPr="00115315" w:rsidRDefault="00A51316" w:rsidP="00A51316">
      <w:pPr>
        <w:pStyle w:val="Zkladntext2"/>
        <w:rPr>
          <w:rFonts w:asciiTheme="minorHAnsi" w:hAnsiTheme="minorHAnsi" w:cs="Calibri"/>
          <w:sz w:val="20"/>
          <w:lang w:eastAsia="sk-SK"/>
        </w:rPr>
      </w:pPr>
      <w:r w:rsidRPr="00C75D0B">
        <w:rPr>
          <w:rFonts w:asciiTheme="minorHAnsi" w:hAnsiTheme="minorHAnsi" w:cs="Calibri"/>
          <w:b/>
          <w:sz w:val="20"/>
          <w:lang w:eastAsia="sk-SK"/>
        </w:rPr>
        <w:t>Gr</w:t>
      </w:r>
      <w:r w:rsidRPr="00115315">
        <w:rPr>
          <w:rFonts w:asciiTheme="minorHAnsi" w:hAnsiTheme="minorHAnsi" w:cs="Calibri"/>
          <w:b/>
          <w:sz w:val="20"/>
          <w:lang w:eastAsia="sk-SK"/>
        </w:rPr>
        <w:t xml:space="preserve">af č. </w:t>
      </w:r>
      <w:r w:rsidR="007E431E" w:rsidRPr="00115315">
        <w:rPr>
          <w:rFonts w:asciiTheme="minorHAnsi" w:hAnsiTheme="minorHAnsi" w:cs="Calibri"/>
          <w:b/>
          <w:sz w:val="20"/>
          <w:lang w:eastAsia="sk-SK"/>
        </w:rPr>
        <w:t>3.</w:t>
      </w:r>
      <w:r w:rsidRPr="00115315">
        <w:rPr>
          <w:rFonts w:asciiTheme="minorHAnsi" w:hAnsiTheme="minorHAnsi" w:cs="Calibri"/>
          <w:b/>
          <w:sz w:val="20"/>
          <w:lang w:eastAsia="sk-SK"/>
        </w:rPr>
        <w:t xml:space="preserve">8: Vyslaní a prijatí </w:t>
      </w:r>
      <w:proofErr w:type="spellStart"/>
      <w:r w:rsidRPr="00115315">
        <w:rPr>
          <w:rFonts w:asciiTheme="minorHAnsi" w:hAnsiTheme="minorHAnsi" w:cs="Calibri"/>
          <w:b/>
          <w:sz w:val="20"/>
          <w:lang w:eastAsia="sk-SK"/>
        </w:rPr>
        <w:t>Erasmus</w:t>
      </w:r>
      <w:proofErr w:type="spellEnd"/>
      <w:r w:rsidRPr="00115315">
        <w:rPr>
          <w:rFonts w:asciiTheme="minorHAnsi" w:hAnsiTheme="minorHAnsi" w:cs="Calibri"/>
          <w:b/>
          <w:sz w:val="20"/>
          <w:lang w:eastAsia="sk-SK"/>
        </w:rPr>
        <w:t>+ študenti v akad. roku 2014/2015 podľa štátov</w:t>
      </w:r>
    </w:p>
    <w:p w:rsidR="00A51316" w:rsidRPr="00115315" w:rsidRDefault="00A51316" w:rsidP="00A51316">
      <w:pPr>
        <w:pStyle w:val="Zkladntext2"/>
        <w:rPr>
          <w:rFonts w:asciiTheme="minorHAnsi" w:hAnsiTheme="minorHAnsi" w:cs="Calibri"/>
          <w:sz w:val="20"/>
          <w:lang w:eastAsia="sk-SK"/>
        </w:rPr>
      </w:pPr>
      <w:r w:rsidRPr="00115315">
        <w:rPr>
          <w:rFonts w:asciiTheme="minorHAnsi" w:hAnsiTheme="minorHAnsi"/>
          <w:noProof/>
          <w:sz w:val="20"/>
          <w:lang w:eastAsia="sk-SK"/>
        </w:rPr>
        <w:drawing>
          <wp:inline distT="0" distB="0" distL="0" distR="0" wp14:anchorId="126A869F" wp14:editId="1BBB4AE5">
            <wp:extent cx="5534025" cy="2752725"/>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14FDD" w:rsidRPr="00115315" w:rsidRDefault="00414FDD" w:rsidP="00414FDD">
      <w:pPr>
        <w:rPr>
          <w:rFonts w:asciiTheme="minorHAnsi" w:hAnsiTheme="minorHAnsi" w:cs="Calibri"/>
          <w:sz w:val="20"/>
          <w:szCs w:val="20"/>
          <w:lang w:eastAsia="sk-SK"/>
        </w:rPr>
      </w:pPr>
    </w:p>
    <w:p w:rsidR="00A51316" w:rsidRDefault="00A51316" w:rsidP="00414FDD">
      <w:pPr>
        <w:rPr>
          <w:rFonts w:asciiTheme="minorHAnsi" w:hAnsiTheme="minorHAnsi"/>
        </w:rPr>
      </w:pPr>
      <w:r w:rsidRPr="002D7A10">
        <w:rPr>
          <w:rFonts w:asciiTheme="minorHAnsi" w:hAnsiTheme="minorHAnsi" w:cs="Calibri"/>
        </w:rPr>
        <w:t xml:space="preserve">Celkovo je možné registrovať narastajúci trend medzinárodných mobilít študentov na STU, hlavne v rámci programu </w:t>
      </w:r>
      <w:proofErr w:type="spellStart"/>
      <w:r w:rsidRPr="002D7A10">
        <w:rPr>
          <w:rFonts w:asciiTheme="minorHAnsi" w:hAnsiTheme="minorHAnsi" w:cs="Calibri"/>
        </w:rPr>
        <w:t>Erasmus</w:t>
      </w:r>
      <w:proofErr w:type="spellEnd"/>
      <w:r w:rsidRPr="002D7A10">
        <w:rPr>
          <w:rFonts w:asciiTheme="minorHAnsi" w:hAnsiTheme="minorHAnsi" w:cs="Calibri"/>
        </w:rPr>
        <w:t>+ (</w:t>
      </w:r>
      <w:r w:rsidR="007E431E" w:rsidRPr="002D7A10">
        <w:rPr>
          <w:rFonts w:asciiTheme="minorHAnsi" w:hAnsiTheme="minorHAnsi" w:cs="Calibri"/>
        </w:rPr>
        <w:t>t</w:t>
      </w:r>
      <w:r w:rsidRPr="002D7A10">
        <w:rPr>
          <w:rFonts w:asciiTheme="minorHAnsi" w:hAnsiTheme="minorHAnsi" w:cs="Calibri"/>
        </w:rPr>
        <w:t>abuľka č.</w:t>
      </w:r>
      <w:r w:rsidR="007E431E" w:rsidRPr="002D7A10">
        <w:rPr>
          <w:rFonts w:asciiTheme="minorHAnsi" w:hAnsiTheme="minorHAnsi" w:cs="Calibri"/>
        </w:rPr>
        <w:t>3.</w:t>
      </w:r>
      <w:r w:rsidRPr="002D7A10">
        <w:rPr>
          <w:rFonts w:asciiTheme="minorHAnsi" w:hAnsiTheme="minorHAnsi" w:cs="Calibri"/>
        </w:rPr>
        <w:t xml:space="preserve">15). K nárastu mobilít prispieva </w:t>
      </w:r>
      <w:r w:rsidRPr="002D7A10">
        <w:rPr>
          <w:rFonts w:asciiTheme="minorHAnsi" w:hAnsiTheme="minorHAnsi"/>
        </w:rPr>
        <w:t>aj</w:t>
      </w:r>
      <w:r w:rsidRPr="002D7A10">
        <w:rPr>
          <w:rFonts w:asciiTheme="minorHAnsi" w:hAnsiTheme="minorHAnsi"/>
          <w:spacing w:val="39"/>
        </w:rPr>
        <w:t xml:space="preserve"> </w:t>
      </w:r>
      <w:r w:rsidRPr="002D7A10">
        <w:rPr>
          <w:rFonts w:asciiTheme="minorHAnsi" w:hAnsiTheme="minorHAnsi"/>
        </w:rPr>
        <w:t>fakt,</w:t>
      </w:r>
      <w:r w:rsidRPr="002D7A10">
        <w:rPr>
          <w:rFonts w:asciiTheme="minorHAnsi" w:hAnsiTheme="minorHAnsi"/>
          <w:spacing w:val="39"/>
        </w:rPr>
        <w:t xml:space="preserve"> </w:t>
      </w:r>
      <w:r w:rsidRPr="002D7A10">
        <w:rPr>
          <w:rFonts w:asciiTheme="minorHAnsi" w:hAnsiTheme="minorHAnsi"/>
        </w:rPr>
        <w:t>že</w:t>
      </w:r>
      <w:r w:rsidRPr="002D7A10">
        <w:rPr>
          <w:rFonts w:asciiTheme="minorHAnsi" w:hAnsiTheme="minorHAnsi"/>
          <w:spacing w:val="39"/>
        </w:rPr>
        <w:t xml:space="preserve"> </w:t>
      </w:r>
      <w:r w:rsidRPr="002D7A10">
        <w:rPr>
          <w:rFonts w:asciiTheme="minorHAnsi" w:hAnsiTheme="minorHAnsi"/>
        </w:rPr>
        <w:t>STU</w:t>
      </w:r>
      <w:r w:rsidRPr="002D7A10">
        <w:rPr>
          <w:rFonts w:asciiTheme="minorHAnsi" w:hAnsiTheme="minorHAnsi"/>
          <w:spacing w:val="39"/>
        </w:rPr>
        <w:t xml:space="preserve"> </w:t>
      </w:r>
      <w:r w:rsidRPr="002D7A10">
        <w:rPr>
          <w:rFonts w:asciiTheme="minorHAnsi" w:hAnsiTheme="minorHAnsi"/>
        </w:rPr>
        <w:t>je</w:t>
      </w:r>
      <w:r w:rsidRPr="002D7A10">
        <w:rPr>
          <w:rFonts w:asciiTheme="minorHAnsi" w:hAnsiTheme="minorHAnsi"/>
          <w:spacing w:val="39"/>
        </w:rPr>
        <w:t xml:space="preserve"> </w:t>
      </w:r>
      <w:r w:rsidRPr="002D7A10">
        <w:rPr>
          <w:rFonts w:asciiTheme="minorHAnsi" w:hAnsiTheme="minorHAnsi"/>
        </w:rPr>
        <w:t xml:space="preserve">nositeľom ECST </w:t>
      </w:r>
      <w:proofErr w:type="spellStart"/>
      <w:r w:rsidRPr="002D7A10">
        <w:rPr>
          <w:rFonts w:asciiTheme="minorHAnsi" w:hAnsiTheme="minorHAnsi"/>
        </w:rPr>
        <w:t>Label</w:t>
      </w:r>
      <w:proofErr w:type="spellEnd"/>
      <w:r w:rsidRPr="002D7A10">
        <w:rPr>
          <w:rFonts w:asciiTheme="minorHAnsi" w:hAnsiTheme="minorHAnsi"/>
        </w:rPr>
        <w:t xml:space="preserve"> a DS</w:t>
      </w:r>
      <w:r w:rsidRPr="002D7A10">
        <w:rPr>
          <w:rFonts w:asciiTheme="minorHAnsi" w:hAnsiTheme="minorHAnsi"/>
          <w:spacing w:val="-10"/>
        </w:rPr>
        <w:t xml:space="preserve"> </w:t>
      </w:r>
      <w:proofErr w:type="spellStart"/>
      <w:r w:rsidRPr="002D7A10">
        <w:rPr>
          <w:rFonts w:asciiTheme="minorHAnsi" w:hAnsiTheme="minorHAnsi"/>
        </w:rPr>
        <w:t>Label</w:t>
      </w:r>
      <w:proofErr w:type="spellEnd"/>
      <w:r w:rsidRPr="002D7A10">
        <w:rPr>
          <w:rFonts w:asciiTheme="minorHAnsi" w:hAnsiTheme="minorHAnsi"/>
        </w:rPr>
        <w:t xml:space="preserve">. </w:t>
      </w:r>
    </w:p>
    <w:p w:rsidR="0005714D" w:rsidRPr="002D7A10" w:rsidRDefault="0005714D" w:rsidP="0005714D">
      <w:pPr>
        <w:rPr>
          <w:rFonts w:asciiTheme="minorHAnsi" w:hAnsiTheme="minorHAnsi" w:cs="Calibri"/>
        </w:rPr>
      </w:pPr>
      <w:r w:rsidRPr="002D7A10">
        <w:rPr>
          <w:rFonts w:asciiTheme="minorHAnsi" w:hAnsiTheme="minorHAnsi" w:cs="Calibri"/>
        </w:rPr>
        <w:t>STU má záujem na zvyšovaní mobilít študentov, nakoľko pobyt študenta na zahraničnej inštitúcii je vždy pozitívnym prvkom v skladbe štúdia študenta. Jednoznačne sa tento prínos prejaví nielen počas ďalšieho štúdia na univerzite, ale i po absolvovaní univerzity pri hľadaní si práce na trhu práce.</w:t>
      </w:r>
    </w:p>
    <w:p w:rsidR="0005714D" w:rsidRPr="002D7A10" w:rsidRDefault="0005714D" w:rsidP="00414FDD">
      <w:pPr>
        <w:rPr>
          <w:rFonts w:asciiTheme="minorHAnsi" w:eastAsia="Times New Roman" w:hAnsiTheme="minorHAnsi" w:cs="Calibri"/>
          <w:lang w:eastAsia="sk-SK"/>
        </w:rPr>
      </w:pPr>
    </w:p>
    <w:p w:rsidR="00A51316" w:rsidRPr="00E64229" w:rsidRDefault="00A51316" w:rsidP="00A51316">
      <w:pPr>
        <w:ind w:right="-2"/>
        <w:rPr>
          <w:rFonts w:asciiTheme="minorHAnsi" w:eastAsia="Calibri" w:hAnsiTheme="minorHAnsi" w:cs="Calibri"/>
          <w:sz w:val="20"/>
          <w:szCs w:val="20"/>
        </w:rPr>
      </w:pPr>
    </w:p>
    <w:p w:rsidR="00A51316" w:rsidRPr="00E64229" w:rsidRDefault="00A51316" w:rsidP="00A51316">
      <w:pPr>
        <w:tabs>
          <w:tab w:val="left" w:pos="5700"/>
        </w:tabs>
        <w:rPr>
          <w:rFonts w:asciiTheme="minorHAnsi" w:hAnsiTheme="minorHAnsi"/>
          <w:b/>
          <w:sz w:val="20"/>
          <w:szCs w:val="20"/>
          <w:lang w:eastAsia="sk-SK"/>
        </w:rPr>
      </w:pPr>
      <w:r w:rsidRPr="00E64229">
        <w:rPr>
          <w:rFonts w:asciiTheme="minorHAnsi" w:hAnsiTheme="minorHAnsi"/>
          <w:b/>
          <w:sz w:val="20"/>
          <w:szCs w:val="20"/>
          <w:lang w:eastAsia="sk-SK"/>
        </w:rPr>
        <w:lastRenderedPageBreak/>
        <w:t xml:space="preserve">Tabuľka č. </w:t>
      </w:r>
      <w:r w:rsidR="007E431E" w:rsidRPr="00E64229">
        <w:rPr>
          <w:rFonts w:asciiTheme="minorHAnsi" w:hAnsiTheme="minorHAnsi"/>
          <w:b/>
          <w:sz w:val="20"/>
          <w:szCs w:val="20"/>
          <w:lang w:eastAsia="sk-SK"/>
        </w:rPr>
        <w:t>3.</w:t>
      </w:r>
      <w:r w:rsidRPr="00E64229">
        <w:rPr>
          <w:rFonts w:asciiTheme="minorHAnsi" w:hAnsiTheme="minorHAnsi"/>
          <w:b/>
          <w:sz w:val="20"/>
          <w:szCs w:val="20"/>
          <w:lang w:eastAsia="sk-SK"/>
        </w:rPr>
        <w:t>15: Mobility na STU za roky 2010 – 2015</w:t>
      </w:r>
    </w:p>
    <w:tbl>
      <w:tblPr>
        <w:tblW w:w="9371" w:type="dxa"/>
        <w:tblInd w:w="55" w:type="dxa"/>
        <w:tblLayout w:type="fixed"/>
        <w:tblCellMar>
          <w:left w:w="70" w:type="dxa"/>
          <w:right w:w="70" w:type="dxa"/>
        </w:tblCellMar>
        <w:tblLook w:val="04A0" w:firstRow="1" w:lastRow="0" w:firstColumn="1" w:lastColumn="0" w:noHBand="0" w:noVBand="1"/>
      </w:tblPr>
      <w:tblGrid>
        <w:gridCol w:w="1008"/>
        <w:gridCol w:w="992"/>
        <w:gridCol w:w="641"/>
        <w:gridCol w:w="918"/>
        <w:gridCol w:w="614"/>
        <w:gridCol w:w="662"/>
        <w:gridCol w:w="992"/>
        <w:gridCol w:w="589"/>
        <w:gridCol w:w="970"/>
        <w:gridCol w:w="567"/>
        <w:gridCol w:w="679"/>
        <w:gridCol w:w="739"/>
      </w:tblGrid>
      <w:tr w:rsidR="00A51316" w:rsidRPr="00E64229" w:rsidTr="00CE307D">
        <w:trPr>
          <w:trHeight w:val="255"/>
        </w:trPr>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1316" w:rsidRPr="00E64229" w:rsidRDefault="00A51316" w:rsidP="00CE307D">
            <w:pP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Akad. rok</w:t>
            </w:r>
          </w:p>
        </w:tc>
        <w:tc>
          <w:tcPr>
            <w:tcW w:w="3827" w:type="dxa"/>
            <w:gridSpan w:val="5"/>
            <w:tcBorders>
              <w:top w:val="single" w:sz="4" w:space="0" w:color="000000"/>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vyslaní</w:t>
            </w:r>
          </w:p>
        </w:tc>
        <w:tc>
          <w:tcPr>
            <w:tcW w:w="3797" w:type="dxa"/>
            <w:gridSpan w:val="5"/>
            <w:tcBorders>
              <w:top w:val="single" w:sz="4" w:space="0" w:color="000000"/>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prijatí</w:t>
            </w:r>
          </w:p>
        </w:tc>
        <w:tc>
          <w:tcPr>
            <w:tcW w:w="739" w:type="dxa"/>
            <w:vMerge w:val="restart"/>
            <w:tcBorders>
              <w:top w:val="single" w:sz="4" w:space="0" w:color="000000"/>
              <w:left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Spolu</w:t>
            </w:r>
          </w:p>
        </w:tc>
      </w:tr>
      <w:tr w:rsidR="00A51316" w:rsidRPr="00E64229" w:rsidTr="00CE307D">
        <w:trPr>
          <w:trHeight w:val="255"/>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A51316" w:rsidRPr="00E64229" w:rsidRDefault="00A51316" w:rsidP="00CE307D">
            <w:pPr>
              <w:rPr>
                <w:rFonts w:asciiTheme="minorHAnsi" w:eastAsia="Times New Roman" w:hAnsiTheme="minorHAnsi" w:cs="Arial"/>
                <w:b/>
                <w:bCs/>
                <w:sz w:val="20"/>
                <w:szCs w:val="20"/>
                <w:lang w:eastAsia="sk-SK"/>
              </w:rPr>
            </w:pPr>
          </w:p>
        </w:tc>
        <w:tc>
          <w:tcPr>
            <w:tcW w:w="992"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proofErr w:type="spellStart"/>
            <w:r w:rsidRPr="00E64229">
              <w:rPr>
                <w:rFonts w:asciiTheme="minorHAnsi" w:eastAsia="Times New Roman" w:hAnsiTheme="minorHAnsi" w:cs="Arial"/>
                <w:b/>
                <w:bCs/>
                <w:sz w:val="20"/>
                <w:szCs w:val="20"/>
                <w:lang w:eastAsia="sk-SK"/>
              </w:rPr>
              <w:t>Erasmus</w:t>
            </w:r>
            <w:proofErr w:type="spellEnd"/>
            <w:r w:rsidRPr="00E64229">
              <w:rPr>
                <w:rFonts w:asciiTheme="minorHAnsi" w:eastAsia="Times New Roman" w:hAnsiTheme="minorHAnsi" w:cs="Arial"/>
                <w:b/>
                <w:bCs/>
                <w:sz w:val="20"/>
                <w:szCs w:val="20"/>
                <w:lang w:eastAsia="sk-SK"/>
              </w:rPr>
              <w:t>+</w:t>
            </w:r>
          </w:p>
        </w:tc>
        <w:tc>
          <w:tcPr>
            <w:tcW w:w="641"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NŠP</w:t>
            </w:r>
          </w:p>
        </w:tc>
        <w:tc>
          <w:tcPr>
            <w:tcW w:w="918"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CEEPUS</w:t>
            </w:r>
          </w:p>
        </w:tc>
        <w:tc>
          <w:tcPr>
            <w:tcW w:w="614"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iné</w:t>
            </w:r>
          </w:p>
        </w:tc>
        <w:tc>
          <w:tcPr>
            <w:tcW w:w="662" w:type="dxa"/>
            <w:tcBorders>
              <w:top w:val="nil"/>
              <w:left w:val="nil"/>
              <w:bottom w:val="single" w:sz="4" w:space="0" w:color="000000"/>
              <w:right w:val="single" w:sz="4" w:space="0" w:color="000000"/>
            </w:tcBorders>
            <w:shd w:val="clear" w:color="000000" w:fill="D9D9D9"/>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spolu</w:t>
            </w:r>
          </w:p>
        </w:tc>
        <w:tc>
          <w:tcPr>
            <w:tcW w:w="992"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proofErr w:type="spellStart"/>
            <w:r w:rsidRPr="00E64229">
              <w:rPr>
                <w:rFonts w:asciiTheme="minorHAnsi" w:eastAsia="Times New Roman" w:hAnsiTheme="minorHAnsi" w:cs="Arial"/>
                <w:b/>
                <w:bCs/>
                <w:sz w:val="20"/>
                <w:szCs w:val="20"/>
                <w:lang w:eastAsia="sk-SK"/>
              </w:rPr>
              <w:t>Erasmus</w:t>
            </w:r>
            <w:proofErr w:type="spellEnd"/>
            <w:r w:rsidRPr="00E64229">
              <w:rPr>
                <w:rFonts w:asciiTheme="minorHAnsi" w:eastAsia="Times New Roman" w:hAnsiTheme="minorHAnsi" w:cs="Arial"/>
                <w:b/>
                <w:bCs/>
                <w:sz w:val="20"/>
                <w:szCs w:val="20"/>
                <w:lang w:eastAsia="sk-SK"/>
              </w:rPr>
              <w:t>+</w:t>
            </w:r>
          </w:p>
        </w:tc>
        <w:tc>
          <w:tcPr>
            <w:tcW w:w="589"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NŠP</w:t>
            </w:r>
          </w:p>
        </w:tc>
        <w:tc>
          <w:tcPr>
            <w:tcW w:w="970"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CEEPUS</w:t>
            </w:r>
          </w:p>
        </w:tc>
        <w:tc>
          <w:tcPr>
            <w:tcW w:w="567"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iné</w:t>
            </w:r>
          </w:p>
        </w:tc>
        <w:tc>
          <w:tcPr>
            <w:tcW w:w="679" w:type="dxa"/>
            <w:tcBorders>
              <w:top w:val="nil"/>
              <w:left w:val="nil"/>
              <w:bottom w:val="single" w:sz="4" w:space="0" w:color="000000"/>
              <w:right w:val="single" w:sz="4" w:space="0" w:color="000000"/>
            </w:tcBorders>
            <w:shd w:val="clear" w:color="000000" w:fill="D9D9D9"/>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spolu</w:t>
            </w:r>
          </w:p>
        </w:tc>
        <w:tc>
          <w:tcPr>
            <w:tcW w:w="739" w:type="dxa"/>
            <w:vMerge/>
            <w:tcBorders>
              <w:left w:val="single" w:sz="4" w:space="0" w:color="000000"/>
              <w:bottom w:val="single" w:sz="4" w:space="0" w:color="000000"/>
              <w:right w:val="single" w:sz="4" w:space="0" w:color="000000"/>
            </w:tcBorders>
            <w:vAlign w:val="center"/>
            <w:hideMark/>
          </w:tcPr>
          <w:p w:rsidR="00A51316" w:rsidRPr="00E64229" w:rsidRDefault="00A51316" w:rsidP="00CE307D">
            <w:pPr>
              <w:rPr>
                <w:rFonts w:asciiTheme="minorHAnsi" w:eastAsia="Times New Roman" w:hAnsiTheme="minorHAnsi" w:cs="Arial"/>
                <w:b/>
                <w:bCs/>
                <w:sz w:val="20"/>
                <w:szCs w:val="20"/>
                <w:lang w:eastAsia="sk-SK"/>
              </w:rPr>
            </w:pPr>
          </w:p>
        </w:tc>
      </w:tr>
      <w:tr w:rsidR="00A51316" w:rsidRPr="00E64229" w:rsidTr="00CE307D">
        <w:trPr>
          <w:trHeight w:val="255"/>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A51316" w:rsidRPr="00E64229" w:rsidRDefault="00A51316" w:rsidP="00CE307D">
            <w:pP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2010/11</w:t>
            </w:r>
          </w:p>
        </w:tc>
        <w:tc>
          <w:tcPr>
            <w:tcW w:w="992"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123</w:t>
            </w:r>
          </w:p>
        </w:tc>
        <w:tc>
          <w:tcPr>
            <w:tcW w:w="641"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5</w:t>
            </w:r>
          </w:p>
        </w:tc>
        <w:tc>
          <w:tcPr>
            <w:tcW w:w="918"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27</w:t>
            </w:r>
          </w:p>
        </w:tc>
        <w:tc>
          <w:tcPr>
            <w:tcW w:w="614"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w:t>
            </w:r>
          </w:p>
        </w:tc>
        <w:tc>
          <w:tcPr>
            <w:tcW w:w="662" w:type="dxa"/>
            <w:tcBorders>
              <w:top w:val="nil"/>
              <w:left w:val="nil"/>
              <w:bottom w:val="single" w:sz="4" w:space="0" w:color="000000"/>
              <w:right w:val="single" w:sz="4" w:space="0" w:color="000000"/>
            </w:tcBorders>
            <w:shd w:val="clear" w:color="000000" w:fill="D9D9D9"/>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155</w:t>
            </w:r>
          </w:p>
        </w:tc>
        <w:tc>
          <w:tcPr>
            <w:tcW w:w="992"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45</w:t>
            </w:r>
          </w:p>
        </w:tc>
        <w:tc>
          <w:tcPr>
            <w:tcW w:w="589"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8</w:t>
            </w:r>
          </w:p>
        </w:tc>
        <w:tc>
          <w:tcPr>
            <w:tcW w:w="970"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28</w:t>
            </w:r>
          </w:p>
        </w:tc>
        <w:tc>
          <w:tcPr>
            <w:tcW w:w="567"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w:t>
            </w:r>
          </w:p>
        </w:tc>
        <w:tc>
          <w:tcPr>
            <w:tcW w:w="679" w:type="dxa"/>
            <w:tcBorders>
              <w:top w:val="nil"/>
              <w:left w:val="nil"/>
              <w:bottom w:val="single" w:sz="4" w:space="0" w:color="000000"/>
              <w:right w:val="single" w:sz="4" w:space="0" w:color="000000"/>
            </w:tcBorders>
            <w:shd w:val="clear" w:color="000000" w:fill="D9D9D9"/>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81</w:t>
            </w:r>
          </w:p>
        </w:tc>
        <w:tc>
          <w:tcPr>
            <w:tcW w:w="739"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236</w:t>
            </w:r>
          </w:p>
        </w:tc>
      </w:tr>
      <w:tr w:rsidR="00A51316" w:rsidRPr="00E64229" w:rsidTr="00CE307D">
        <w:trPr>
          <w:trHeight w:val="255"/>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A51316" w:rsidRPr="00E64229" w:rsidRDefault="00A51316" w:rsidP="00CE307D">
            <w:pP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2011/12</w:t>
            </w:r>
          </w:p>
        </w:tc>
        <w:tc>
          <w:tcPr>
            <w:tcW w:w="992"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176</w:t>
            </w:r>
          </w:p>
        </w:tc>
        <w:tc>
          <w:tcPr>
            <w:tcW w:w="641"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28</w:t>
            </w:r>
          </w:p>
        </w:tc>
        <w:tc>
          <w:tcPr>
            <w:tcW w:w="918"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59</w:t>
            </w:r>
          </w:p>
        </w:tc>
        <w:tc>
          <w:tcPr>
            <w:tcW w:w="614"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w:t>
            </w:r>
          </w:p>
        </w:tc>
        <w:tc>
          <w:tcPr>
            <w:tcW w:w="662" w:type="dxa"/>
            <w:tcBorders>
              <w:top w:val="nil"/>
              <w:left w:val="nil"/>
              <w:bottom w:val="single" w:sz="4" w:space="0" w:color="000000"/>
              <w:right w:val="single" w:sz="4" w:space="0" w:color="000000"/>
            </w:tcBorders>
            <w:shd w:val="clear" w:color="000000" w:fill="D9D9D9"/>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263</w:t>
            </w:r>
          </w:p>
        </w:tc>
        <w:tc>
          <w:tcPr>
            <w:tcW w:w="992"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57</w:t>
            </w:r>
          </w:p>
        </w:tc>
        <w:tc>
          <w:tcPr>
            <w:tcW w:w="589"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5</w:t>
            </w:r>
          </w:p>
        </w:tc>
        <w:tc>
          <w:tcPr>
            <w:tcW w:w="970"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24</w:t>
            </w:r>
          </w:p>
        </w:tc>
        <w:tc>
          <w:tcPr>
            <w:tcW w:w="567"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w:t>
            </w:r>
          </w:p>
        </w:tc>
        <w:tc>
          <w:tcPr>
            <w:tcW w:w="679" w:type="dxa"/>
            <w:tcBorders>
              <w:top w:val="nil"/>
              <w:left w:val="nil"/>
              <w:bottom w:val="single" w:sz="4" w:space="0" w:color="000000"/>
              <w:right w:val="single" w:sz="4" w:space="0" w:color="000000"/>
            </w:tcBorders>
            <w:shd w:val="clear" w:color="000000" w:fill="D9D9D9"/>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86</w:t>
            </w:r>
          </w:p>
        </w:tc>
        <w:tc>
          <w:tcPr>
            <w:tcW w:w="739"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349</w:t>
            </w:r>
          </w:p>
        </w:tc>
      </w:tr>
      <w:tr w:rsidR="00A51316" w:rsidRPr="00E64229" w:rsidTr="00CE307D">
        <w:trPr>
          <w:trHeight w:val="255"/>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A51316" w:rsidRPr="00E64229" w:rsidRDefault="00A51316" w:rsidP="00CE307D">
            <w:pP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2012/13</w:t>
            </w:r>
          </w:p>
        </w:tc>
        <w:tc>
          <w:tcPr>
            <w:tcW w:w="992"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192</w:t>
            </w:r>
          </w:p>
        </w:tc>
        <w:tc>
          <w:tcPr>
            <w:tcW w:w="641"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22</w:t>
            </w:r>
          </w:p>
        </w:tc>
        <w:tc>
          <w:tcPr>
            <w:tcW w:w="918"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w:t>
            </w:r>
          </w:p>
        </w:tc>
        <w:tc>
          <w:tcPr>
            <w:tcW w:w="614"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w:t>
            </w:r>
          </w:p>
        </w:tc>
        <w:tc>
          <w:tcPr>
            <w:tcW w:w="662" w:type="dxa"/>
            <w:tcBorders>
              <w:top w:val="nil"/>
              <w:left w:val="nil"/>
              <w:bottom w:val="single" w:sz="4" w:space="0" w:color="000000"/>
              <w:right w:val="single" w:sz="4" w:space="0" w:color="000000"/>
            </w:tcBorders>
            <w:shd w:val="clear" w:color="000000" w:fill="D9D9D9"/>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214</w:t>
            </w:r>
          </w:p>
        </w:tc>
        <w:tc>
          <w:tcPr>
            <w:tcW w:w="992"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76</w:t>
            </w:r>
          </w:p>
        </w:tc>
        <w:tc>
          <w:tcPr>
            <w:tcW w:w="589"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13</w:t>
            </w:r>
          </w:p>
        </w:tc>
        <w:tc>
          <w:tcPr>
            <w:tcW w:w="970"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23</w:t>
            </w:r>
          </w:p>
        </w:tc>
        <w:tc>
          <w:tcPr>
            <w:tcW w:w="567"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w:t>
            </w:r>
          </w:p>
        </w:tc>
        <w:tc>
          <w:tcPr>
            <w:tcW w:w="679" w:type="dxa"/>
            <w:tcBorders>
              <w:top w:val="nil"/>
              <w:left w:val="nil"/>
              <w:bottom w:val="single" w:sz="4" w:space="0" w:color="000000"/>
              <w:right w:val="single" w:sz="4" w:space="0" w:color="000000"/>
            </w:tcBorders>
            <w:shd w:val="clear" w:color="000000" w:fill="D9D9D9"/>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112</w:t>
            </w:r>
          </w:p>
        </w:tc>
        <w:tc>
          <w:tcPr>
            <w:tcW w:w="739"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326</w:t>
            </w:r>
          </w:p>
        </w:tc>
      </w:tr>
      <w:tr w:rsidR="00A51316" w:rsidRPr="00E64229" w:rsidTr="00CE307D">
        <w:trPr>
          <w:trHeight w:val="255"/>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A51316" w:rsidRPr="00E64229" w:rsidRDefault="00A51316" w:rsidP="00CE307D">
            <w:pP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2013/14</w:t>
            </w:r>
          </w:p>
        </w:tc>
        <w:tc>
          <w:tcPr>
            <w:tcW w:w="992"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230</w:t>
            </w:r>
          </w:p>
        </w:tc>
        <w:tc>
          <w:tcPr>
            <w:tcW w:w="641"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33</w:t>
            </w:r>
          </w:p>
        </w:tc>
        <w:tc>
          <w:tcPr>
            <w:tcW w:w="918"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35</w:t>
            </w:r>
          </w:p>
        </w:tc>
        <w:tc>
          <w:tcPr>
            <w:tcW w:w="614"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34</w:t>
            </w:r>
          </w:p>
        </w:tc>
        <w:tc>
          <w:tcPr>
            <w:tcW w:w="662" w:type="dxa"/>
            <w:tcBorders>
              <w:top w:val="nil"/>
              <w:left w:val="nil"/>
              <w:bottom w:val="single" w:sz="4" w:space="0" w:color="000000"/>
              <w:right w:val="single" w:sz="4" w:space="0" w:color="000000"/>
            </w:tcBorders>
            <w:shd w:val="clear" w:color="000000" w:fill="D9D9D9"/>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332</w:t>
            </w:r>
          </w:p>
        </w:tc>
        <w:tc>
          <w:tcPr>
            <w:tcW w:w="992"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89</w:t>
            </w:r>
          </w:p>
        </w:tc>
        <w:tc>
          <w:tcPr>
            <w:tcW w:w="589"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13</w:t>
            </w:r>
          </w:p>
        </w:tc>
        <w:tc>
          <w:tcPr>
            <w:tcW w:w="970"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34</w:t>
            </w:r>
          </w:p>
        </w:tc>
        <w:tc>
          <w:tcPr>
            <w:tcW w:w="567"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30</w:t>
            </w:r>
          </w:p>
        </w:tc>
        <w:tc>
          <w:tcPr>
            <w:tcW w:w="679" w:type="dxa"/>
            <w:tcBorders>
              <w:top w:val="nil"/>
              <w:left w:val="nil"/>
              <w:bottom w:val="single" w:sz="4" w:space="0" w:color="000000"/>
              <w:right w:val="single" w:sz="4" w:space="0" w:color="000000"/>
            </w:tcBorders>
            <w:shd w:val="clear" w:color="000000" w:fill="D9D9D9"/>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166</w:t>
            </w:r>
          </w:p>
        </w:tc>
        <w:tc>
          <w:tcPr>
            <w:tcW w:w="739"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498</w:t>
            </w:r>
          </w:p>
        </w:tc>
      </w:tr>
      <w:tr w:rsidR="00A51316" w:rsidRPr="00E64229" w:rsidTr="00CE307D">
        <w:trPr>
          <w:trHeight w:val="255"/>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A51316" w:rsidRPr="00E64229" w:rsidRDefault="00A51316" w:rsidP="00CE307D">
            <w:pP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2014/15</w:t>
            </w:r>
          </w:p>
        </w:tc>
        <w:tc>
          <w:tcPr>
            <w:tcW w:w="992"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305</w:t>
            </w:r>
          </w:p>
        </w:tc>
        <w:tc>
          <w:tcPr>
            <w:tcW w:w="641"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15</w:t>
            </w:r>
          </w:p>
        </w:tc>
        <w:tc>
          <w:tcPr>
            <w:tcW w:w="918"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67</w:t>
            </w:r>
          </w:p>
        </w:tc>
        <w:tc>
          <w:tcPr>
            <w:tcW w:w="614"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30</w:t>
            </w:r>
          </w:p>
        </w:tc>
        <w:tc>
          <w:tcPr>
            <w:tcW w:w="662" w:type="dxa"/>
            <w:tcBorders>
              <w:top w:val="nil"/>
              <w:left w:val="nil"/>
              <w:bottom w:val="single" w:sz="4" w:space="0" w:color="000000"/>
              <w:right w:val="single" w:sz="4" w:space="0" w:color="000000"/>
            </w:tcBorders>
            <w:shd w:val="clear" w:color="000000" w:fill="D9D9D9"/>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417</w:t>
            </w:r>
          </w:p>
        </w:tc>
        <w:tc>
          <w:tcPr>
            <w:tcW w:w="992"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100</w:t>
            </w:r>
          </w:p>
        </w:tc>
        <w:tc>
          <w:tcPr>
            <w:tcW w:w="589"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8</w:t>
            </w:r>
          </w:p>
        </w:tc>
        <w:tc>
          <w:tcPr>
            <w:tcW w:w="970"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47</w:t>
            </w:r>
          </w:p>
        </w:tc>
        <w:tc>
          <w:tcPr>
            <w:tcW w:w="567"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22</w:t>
            </w:r>
          </w:p>
        </w:tc>
        <w:tc>
          <w:tcPr>
            <w:tcW w:w="679" w:type="dxa"/>
            <w:tcBorders>
              <w:top w:val="nil"/>
              <w:left w:val="nil"/>
              <w:bottom w:val="single" w:sz="4" w:space="0" w:color="000000"/>
              <w:right w:val="single" w:sz="4" w:space="0" w:color="000000"/>
            </w:tcBorders>
            <w:shd w:val="clear" w:color="000000" w:fill="D9D9D9"/>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177</w:t>
            </w:r>
          </w:p>
        </w:tc>
        <w:tc>
          <w:tcPr>
            <w:tcW w:w="739" w:type="dxa"/>
            <w:tcBorders>
              <w:top w:val="nil"/>
              <w:left w:val="nil"/>
              <w:bottom w:val="single" w:sz="4" w:space="0" w:color="000000"/>
              <w:right w:val="single" w:sz="4" w:space="0" w:color="000000"/>
            </w:tcBorders>
            <w:shd w:val="clear" w:color="auto" w:fill="auto"/>
            <w:vAlign w:val="center"/>
            <w:hideMark/>
          </w:tcPr>
          <w:p w:rsidR="00A51316" w:rsidRPr="00E64229" w:rsidRDefault="00A51316"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594</w:t>
            </w:r>
          </w:p>
        </w:tc>
      </w:tr>
    </w:tbl>
    <w:p w:rsidR="00A51316" w:rsidRPr="00E64229" w:rsidRDefault="00A51316" w:rsidP="00A51316">
      <w:pPr>
        <w:rPr>
          <w:rFonts w:asciiTheme="minorHAnsi" w:hAnsiTheme="minorHAnsi" w:cs="Calibri"/>
          <w:sz w:val="20"/>
          <w:szCs w:val="20"/>
        </w:rPr>
      </w:pPr>
      <w:r w:rsidRPr="00E64229">
        <w:rPr>
          <w:rFonts w:asciiTheme="minorHAnsi" w:hAnsiTheme="minorHAnsi" w:cs="Calibri"/>
          <w:sz w:val="20"/>
          <w:szCs w:val="20"/>
        </w:rPr>
        <w:t>Vysvetlivky: * v danom akademickom roku neboli údaje k dispozícii</w:t>
      </w:r>
    </w:p>
    <w:p w:rsidR="00A51316" w:rsidRPr="00E64229" w:rsidRDefault="00A51316" w:rsidP="00A51316">
      <w:pPr>
        <w:rPr>
          <w:rFonts w:asciiTheme="minorHAnsi" w:hAnsiTheme="minorHAnsi" w:cs="Calibri"/>
          <w:sz w:val="20"/>
          <w:szCs w:val="20"/>
        </w:rPr>
      </w:pPr>
    </w:p>
    <w:p w:rsidR="00A51316" w:rsidRPr="0005714D" w:rsidRDefault="00A51316" w:rsidP="00A51316">
      <w:pPr>
        <w:rPr>
          <w:rFonts w:asciiTheme="minorHAnsi" w:hAnsiTheme="minorHAnsi" w:cs="Calibri"/>
          <w:b/>
          <w:sz w:val="20"/>
          <w:szCs w:val="20"/>
        </w:rPr>
      </w:pPr>
      <w:r w:rsidRPr="00E64229">
        <w:rPr>
          <w:rFonts w:asciiTheme="minorHAnsi" w:hAnsiTheme="minorHAnsi" w:cs="Calibri"/>
          <w:b/>
          <w:sz w:val="20"/>
          <w:szCs w:val="20"/>
        </w:rPr>
        <w:t xml:space="preserve">Graf č. </w:t>
      </w:r>
      <w:r w:rsidR="007E431E" w:rsidRPr="00E64229">
        <w:rPr>
          <w:rFonts w:asciiTheme="minorHAnsi" w:hAnsiTheme="minorHAnsi" w:cs="Calibri"/>
          <w:b/>
          <w:sz w:val="20"/>
          <w:szCs w:val="20"/>
        </w:rPr>
        <w:t>3.</w:t>
      </w:r>
      <w:r w:rsidRPr="00E64229">
        <w:rPr>
          <w:rFonts w:asciiTheme="minorHAnsi" w:hAnsiTheme="minorHAnsi" w:cs="Calibri"/>
          <w:b/>
          <w:sz w:val="20"/>
          <w:szCs w:val="20"/>
        </w:rPr>
        <w:t>9: Počet prijatých a vyslaných študentov v rámci medzinárodných</w:t>
      </w:r>
      <w:r w:rsidR="0032657C">
        <w:rPr>
          <w:rFonts w:asciiTheme="minorHAnsi" w:hAnsiTheme="minorHAnsi" w:cs="Calibri"/>
          <w:b/>
          <w:sz w:val="20"/>
          <w:szCs w:val="20"/>
        </w:rPr>
        <w:t xml:space="preserve"> mobilít za posledných päť rokov</w:t>
      </w:r>
    </w:p>
    <w:p w:rsidR="00A51316" w:rsidRPr="00E64229" w:rsidRDefault="00A51316" w:rsidP="00A51316">
      <w:pPr>
        <w:rPr>
          <w:rFonts w:asciiTheme="minorHAnsi" w:hAnsiTheme="minorHAnsi" w:cs="Calibri"/>
          <w:sz w:val="20"/>
          <w:szCs w:val="20"/>
        </w:rPr>
      </w:pPr>
      <w:r w:rsidRPr="00E64229">
        <w:rPr>
          <w:rFonts w:asciiTheme="minorHAnsi" w:hAnsiTheme="minorHAnsi"/>
          <w:noProof/>
          <w:sz w:val="20"/>
          <w:szCs w:val="20"/>
          <w:lang w:eastAsia="sk-SK"/>
        </w:rPr>
        <w:drawing>
          <wp:inline distT="0" distB="0" distL="0" distR="0" wp14:anchorId="7B34F174" wp14:editId="391FED2C">
            <wp:extent cx="4572000" cy="2743200"/>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51749" w:rsidRPr="002D7A10" w:rsidRDefault="00B51749" w:rsidP="00B51749">
      <w:pPr>
        <w:rPr>
          <w:rFonts w:asciiTheme="minorHAnsi" w:hAnsiTheme="minorHAnsi"/>
          <w:b/>
          <w:color w:val="FF0000"/>
        </w:rPr>
      </w:pPr>
    </w:p>
    <w:p w:rsidR="00B51749" w:rsidRPr="002D7A10" w:rsidRDefault="00B51749" w:rsidP="00B51749">
      <w:pPr>
        <w:pStyle w:val="Nadpis2"/>
        <w:rPr>
          <w:rFonts w:asciiTheme="minorHAnsi" w:hAnsiTheme="minorHAnsi"/>
          <w:color w:val="auto"/>
          <w:sz w:val="24"/>
          <w:szCs w:val="24"/>
        </w:rPr>
      </w:pPr>
      <w:bookmarkStart w:id="13" w:name="_Toc448261556"/>
      <w:r w:rsidRPr="002D7A10">
        <w:rPr>
          <w:rFonts w:asciiTheme="minorHAnsi" w:hAnsiTheme="minorHAnsi"/>
          <w:color w:val="auto"/>
          <w:sz w:val="24"/>
          <w:szCs w:val="24"/>
        </w:rPr>
        <w:t>Záujem o štúdium a výsledky prijímacieho konania</w:t>
      </w:r>
      <w:bookmarkEnd w:id="13"/>
    </w:p>
    <w:p w:rsidR="00D947F5" w:rsidRDefault="00A51316" w:rsidP="0005714D">
      <w:pPr>
        <w:rPr>
          <w:rFonts w:asciiTheme="minorHAnsi" w:hAnsiTheme="minorHAnsi" w:cs="Calibri"/>
        </w:rPr>
      </w:pPr>
      <w:r w:rsidRPr="002D7A10">
        <w:rPr>
          <w:rFonts w:asciiTheme="minorHAnsi" w:hAnsiTheme="minorHAnsi" w:cs="Calibri"/>
        </w:rPr>
        <w:t>Prijímacie konanie na všetky stupne vysokoškolského vzdelávania je na STU zamerané na získanie najmä tých študentov, ktorí majú najlepšie predpoklady zvládnuť štú</w:t>
      </w:r>
      <w:r w:rsidR="00D947F5">
        <w:rPr>
          <w:rFonts w:asciiTheme="minorHAnsi" w:hAnsiTheme="minorHAnsi" w:cs="Calibri"/>
        </w:rPr>
        <w:t xml:space="preserve">dium na technickej univerzite. </w:t>
      </w:r>
      <w:r w:rsidRPr="002D7A10">
        <w:rPr>
          <w:rFonts w:asciiTheme="minorHAnsi" w:hAnsiTheme="minorHAnsi" w:cs="Calibri"/>
        </w:rPr>
        <w:t>Proces prijímacieho konania sa riadi § 55 - 58 zákona. V rámci jeho prípravy akademické senáty fakúlt a univerzity schválili ďalšie podmienky prijatia na štúdium študijných programov predkladané dekanmi, resp. rektorom univerzity. Ďalšie podmienky spolu s harmonogramom prijímacieho konania boli v zákonom stanovenom termíne a s</w:t>
      </w:r>
      <w:r w:rsidR="00D947F5">
        <w:rPr>
          <w:rFonts w:asciiTheme="minorHAnsi" w:hAnsiTheme="minorHAnsi" w:cs="Calibri"/>
        </w:rPr>
        <w:t xml:space="preserve">tanoveným spôsobom zverejnené. </w:t>
      </w:r>
      <w:r w:rsidRPr="002D7A10">
        <w:rPr>
          <w:rFonts w:asciiTheme="minorHAnsi" w:hAnsiTheme="minorHAnsi" w:cs="Calibri"/>
        </w:rPr>
        <w:t>Uchádzači o štúdium na STU na všetky tri stupne štúdia využili vyplnenie prihlášky elektronickou formou prostredníctvom</w:t>
      </w:r>
      <w:r w:rsidR="00D947F5">
        <w:rPr>
          <w:rFonts w:asciiTheme="minorHAnsi" w:hAnsiTheme="minorHAnsi" w:cs="Calibri"/>
        </w:rPr>
        <w:t xml:space="preserve"> AIS (96 % všetkých prihlášok).</w:t>
      </w:r>
    </w:p>
    <w:p w:rsidR="00A51316" w:rsidRDefault="00A51316" w:rsidP="0005714D">
      <w:pPr>
        <w:rPr>
          <w:rFonts w:asciiTheme="minorHAnsi" w:hAnsiTheme="minorHAnsi" w:cs="Calibri"/>
        </w:rPr>
      </w:pPr>
      <w:r w:rsidRPr="002D7A10">
        <w:rPr>
          <w:rFonts w:asciiTheme="minorHAnsi" w:hAnsiTheme="minorHAnsi" w:cs="Calibri"/>
          <w:b/>
        </w:rPr>
        <w:t xml:space="preserve">Všetky súčasti univerzity s výnimkou FIIT vypísali aj druhé kolo prijímacieho konania; </w:t>
      </w:r>
      <w:r w:rsidRPr="002D7A10">
        <w:rPr>
          <w:rFonts w:asciiTheme="minorHAnsi" w:hAnsiTheme="minorHAnsi" w:cs="Calibri"/>
        </w:rPr>
        <w:t xml:space="preserve">ktorého sa mohli zúčastniť aj uchádzači, ktorí neuspeli v prvom kole. </w:t>
      </w:r>
    </w:p>
    <w:p w:rsidR="0005714D" w:rsidRPr="002D7A10" w:rsidRDefault="0005714D" w:rsidP="0005714D">
      <w:pPr>
        <w:rPr>
          <w:rFonts w:asciiTheme="minorHAnsi" w:hAnsiTheme="minorHAnsi" w:cs="Calibri"/>
        </w:rPr>
      </w:pPr>
    </w:p>
    <w:p w:rsidR="00A51316" w:rsidRPr="002D7A10" w:rsidRDefault="00A51316" w:rsidP="0005714D">
      <w:pPr>
        <w:rPr>
          <w:rFonts w:asciiTheme="minorHAnsi" w:hAnsiTheme="minorHAnsi" w:cs="Calibri"/>
        </w:rPr>
      </w:pPr>
      <w:r w:rsidRPr="002D7A10">
        <w:rPr>
          <w:rFonts w:asciiTheme="minorHAnsi" w:hAnsiTheme="minorHAnsi" w:cs="Calibri"/>
        </w:rPr>
        <w:t xml:space="preserve">Na </w:t>
      </w:r>
      <w:r w:rsidRPr="002D7A10">
        <w:rPr>
          <w:rFonts w:asciiTheme="minorHAnsi" w:hAnsiTheme="minorHAnsi" w:cs="Calibri"/>
          <w:b/>
        </w:rPr>
        <w:t>propagáciu štúdia</w:t>
      </w:r>
      <w:r w:rsidRPr="002D7A10">
        <w:rPr>
          <w:rFonts w:asciiTheme="minorHAnsi" w:hAnsiTheme="minorHAnsi" w:cs="Calibri"/>
        </w:rPr>
        <w:t xml:space="preserve"> sa využívali na STU rôzne formy - hlavne </w:t>
      </w:r>
      <w:r w:rsidR="00E936EF" w:rsidRPr="002D7A10">
        <w:rPr>
          <w:rFonts w:asciiTheme="minorHAnsi" w:hAnsiTheme="minorHAnsi" w:cs="Calibri"/>
        </w:rPr>
        <w:t xml:space="preserve">išlo o zverejňovanie </w:t>
      </w:r>
      <w:r w:rsidRPr="002D7A10">
        <w:rPr>
          <w:rFonts w:asciiTheme="minorHAnsi" w:hAnsiTheme="minorHAnsi" w:cs="Calibri"/>
        </w:rPr>
        <w:t>informácií na webovej stránke univerzity a fakúlt; účas</w:t>
      </w:r>
      <w:r w:rsidR="00E936EF" w:rsidRPr="002D7A10">
        <w:rPr>
          <w:rFonts w:asciiTheme="minorHAnsi" w:hAnsiTheme="minorHAnsi" w:cs="Calibri"/>
        </w:rPr>
        <w:t>ť</w:t>
      </w:r>
      <w:r w:rsidRPr="002D7A10">
        <w:rPr>
          <w:rFonts w:asciiTheme="minorHAnsi" w:hAnsiTheme="minorHAnsi" w:cs="Calibri"/>
        </w:rPr>
        <w:t xml:space="preserve"> na podujatiach zameraných na propagáciu štúdia (napr. veľtrhy </w:t>
      </w:r>
      <w:r w:rsidRPr="00974420">
        <w:rPr>
          <w:rFonts w:asciiTheme="minorHAnsi" w:hAnsiTheme="minorHAnsi" w:cs="Calibri"/>
        </w:rPr>
        <w:t xml:space="preserve">vzdelávania </w:t>
      </w:r>
      <w:r w:rsidR="00974420" w:rsidRPr="00974420">
        <w:rPr>
          <w:rFonts w:asciiTheme="minorHAnsi" w:hAnsiTheme="minorHAnsi"/>
          <w:bCs/>
          <w:color w:val="000000"/>
        </w:rPr>
        <w:t xml:space="preserve">AKADÉMIA &amp; VAPAC </w:t>
      </w:r>
      <w:r w:rsidRPr="00974420">
        <w:rPr>
          <w:rFonts w:asciiTheme="minorHAnsi" w:hAnsiTheme="minorHAnsi" w:cs="Calibri"/>
        </w:rPr>
        <w:t>v Bratislave</w:t>
      </w:r>
      <w:r w:rsidRPr="002D7A10">
        <w:rPr>
          <w:rFonts w:asciiTheme="minorHAnsi" w:hAnsiTheme="minorHAnsi" w:cs="Calibri"/>
        </w:rPr>
        <w:t>, GAUDEAMUS v Nitre a v Brne, PRO EDUCO v Košiciach a</w:t>
      </w:r>
      <w:r w:rsidR="00E936EF" w:rsidRPr="002D7A10">
        <w:rPr>
          <w:rFonts w:asciiTheme="minorHAnsi" w:hAnsiTheme="minorHAnsi" w:cs="Calibri"/>
        </w:rPr>
        <w:t xml:space="preserve"> pod.), ako aj </w:t>
      </w:r>
      <w:r w:rsidR="00E936EF" w:rsidRPr="002D7A10">
        <w:rPr>
          <w:rFonts w:asciiTheme="minorHAnsi" w:hAnsiTheme="minorHAnsi" w:cs="Calibri"/>
        </w:rPr>
        <w:lastRenderedPageBreak/>
        <w:t>prostredníctvom tlačových správ a ďalších</w:t>
      </w:r>
      <w:r w:rsidR="00ED52FA" w:rsidRPr="002D7A10">
        <w:rPr>
          <w:rFonts w:asciiTheme="minorHAnsi" w:hAnsiTheme="minorHAnsi" w:cs="Calibri"/>
        </w:rPr>
        <w:t xml:space="preserve"> informácií v masmédiách. </w:t>
      </w:r>
      <w:r w:rsidRPr="002D7A10">
        <w:rPr>
          <w:rFonts w:asciiTheme="minorHAnsi" w:hAnsiTheme="minorHAnsi" w:cs="Calibri"/>
          <w:b/>
        </w:rPr>
        <w:t>Bakalárske študijné programy sa propagovali</w:t>
      </w:r>
      <w:r w:rsidRPr="002D7A10">
        <w:rPr>
          <w:rFonts w:asciiTheme="minorHAnsi" w:hAnsiTheme="minorHAnsi" w:cs="Calibri"/>
        </w:rPr>
        <w:t xml:space="preserve"> </w:t>
      </w:r>
      <w:r w:rsidR="00ED52FA" w:rsidRPr="002D7A10">
        <w:rPr>
          <w:rFonts w:asciiTheme="minorHAnsi" w:hAnsiTheme="minorHAnsi" w:cs="Calibri"/>
        </w:rPr>
        <w:t>tiež</w:t>
      </w:r>
      <w:r w:rsidRPr="002D7A10">
        <w:rPr>
          <w:rFonts w:asciiTheme="minorHAnsi" w:hAnsiTheme="minorHAnsi" w:cs="Calibri"/>
        </w:rPr>
        <w:t xml:space="preserve"> návštevami stredných škôl, prostredníctvom „dňa otvorených dverí“ a aj prostredníctvom tzv. „ambasádorov“, študentov stredných škôl, ktorí sa zúčastnili „Letnej univerzity pre stredoškolákov“ (koná sa p</w:t>
      </w:r>
      <w:r w:rsidR="00ED52FA" w:rsidRPr="002D7A10">
        <w:rPr>
          <w:rFonts w:asciiTheme="minorHAnsi" w:hAnsiTheme="minorHAnsi" w:cs="Calibri"/>
        </w:rPr>
        <w:t xml:space="preserve">ravidelne v mesiaci september). </w:t>
      </w:r>
      <w:r w:rsidRPr="002D7A10">
        <w:rPr>
          <w:rFonts w:asciiTheme="minorHAnsi" w:hAnsiTheme="minorHAnsi" w:cs="Calibri"/>
          <w:b/>
        </w:rPr>
        <w:t>Na propagáciu inžinierskych, magisterských a doktorandských študijných programov</w:t>
      </w:r>
      <w:r w:rsidRPr="002D7A10">
        <w:rPr>
          <w:rFonts w:asciiTheme="minorHAnsi" w:hAnsiTheme="minorHAnsi" w:cs="Calibri"/>
        </w:rPr>
        <w:t xml:space="preserve"> sa pre vlastných absolventov prvého stupňa, resp. druhého stupňa štúdia využívali aj konzultácie a usmerňovanie na študijných oddeleniach. Pre študentov iných vysokých škôl sa v tomto zmysle využívala najmä e-mailová korešpondencia.</w:t>
      </w:r>
    </w:p>
    <w:p w:rsidR="00B51749" w:rsidRPr="002D7A10" w:rsidRDefault="00B51749" w:rsidP="00B51749">
      <w:pPr>
        <w:pStyle w:val="Odsekzoznamu"/>
        <w:tabs>
          <w:tab w:val="left" w:pos="-284"/>
        </w:tabs>
        <w:spacing w:line="240" w:lineRule="auto"/>
        <w:ind w:left="0"/>
        <w:rPr>
          <w:rFonts w:asciiTheme="minorHAnsi" w:hAnsiTheme="minorHAnsi"/>
          <w:b/>
          <w:sz w:val="24"/>
          <w:szCs w:val="24"/>
        </w:rPr>
      </w:pPr>
    </w:p>
    <w:p w:rsidR="00B51749" w:rsidRPr="00D947F5" w:rsidRDefault="00B51749" w:rsidP="00B51749">
      <w:pPr>
        <w:pStyle w:val="Nadpis3"/>
        <w:rPr>
          <w:rFonts w:asciiTheme="minorHAnsi" w:hAnsiTheme="minorHAnsi"/>
          <w:color w:val="auto"/>
        </w:rPr>
      </w:pPr>
      <w:bookmarkStart w:id="14" w:name="_Toc448261557"/>
      <w:r w:rsidRPr="002D7A10">
        <w:rPr>
          <w:rFonts w:asciiTheme="minorHAnsi" w:hAnsiTheme="minorHAnsi"/>
          <w:color w:val="auto"/>
        </w:rPr>
        <w:t>Prijímacie konanie na prvý stupeň štúdia</w:t>
      </w:r>
      <w:bookmarkEnd w:id="14"/>
    </w:p>
    <w:p w:rsidR="00515AA8" w:rsidRPr="002D7A10" w:rsidRDefault="00515AA8" w:rsidP="00515AA8">
      <w:pPr>
        <w:spacing w:after="120"/>
        <w:rPr>
          <w:rFonts w:asciiTheme="minorHAnsi" w:hAnsiTheme="minorHAnsi" w:cs="Calibri"/>
        </w:rPr>
      </w:pPr>
      <w:r w:rsidRPr="002D7A10">
        <w:rPr>
          <w:rFonts w:asciiTheme="minorHAnsi" w:hAnsiTheme="minorHAnsi" w:cs="Calibri"/>
        </w:rPr>
        <w:t>Na prvý stupeň štúdia bolo pre akad. rok 2015/2016 plánovaných prijať celkovo 4 </w:t>
      </w:r>
      <w:r w:rsidRPr="002D7A10">
        <w:rPr>
          <w:rFonts w:asciiTheme="minorHAnsi" w:hAnsiTheme="minorHAnsi"/>
        </w:rPr>
        <w:t>665</w:t>
      </w:r>
      <w:r w:rsidRPr="002D7A10">
        <w:rPr>
          <w:rFonts w:asciiTheme="minorHAnsi" w:hAnsiTheme="minorHAnsi" w:cs="Calibri"/>
        </w:rPr>
        <w:t xml:space="preserve"> uchádzačov; prihlásených bolo 7 511 uchádzačov; z toho bolo prijatých 6 402. </w:t>
      </w:r>
      <w:r w:rsidRPr="002D7A10">
        <w:rPr>
          <w:rFonts w:asciiTheme="minorHAnsi" w:hAnsiTheme="minorHAnsi" w:cs="Calibri"/>
          <w:b/>
        </w:rPr>
        <w:t>Celkovo sa na STU v akad. roku 2015/2016 zapísalo na prvom stupni štúdia 4 </w:t>
      </w:r>
      <w:r w:rsidRPr="002D7A10">
        <w:rPr>
          <w:rFonts w:asciiTheme="minorHAnsi" w:hAnsiTheme="minorHAnsi"/>
          <w:b/>
        </w:rPr>
        <w:t>171</w:t>
      </w:r>
      <w:r w:rsidRPr="002D7A10">
        <w:rPr>
          <w:rFonts w:asciiTheme="minorHAnsi" w:hAnsiTheme="minorHAnsi" w:cs="Calibri"/>
          <w:b/>
        </w:rPr>
        <w:t xml:space="preserve"> prijatých uchádzačov.</w:t>
      </w:r>
    </w:p>
    <w:p w:rsidR="00E64229" w:rsidRPr="00D947F5" w:rsidRDefault="00515AA8" w:rsidP="008549C4">
      <w:pPr>
        <w:spacing w:after="120"/>
        <w:rPr>
          <w:rFonts w:asciiTheme="minorHAnsi" w:hAnsiTheme="minorHAnsi" w:cs="Calibri"/>
        </w:rPr>
      </w:pPr>
      <w:r w:rsidRPr="002D7A10">
        <w:rPr>
          <w:rFonts w:asciiTheme="minorHAnsi" w:hAnsiTheme="minorHAnsi" w:cs="Calibri"/>
        </w:rPr>
        <w:t xml:space="preserve">Tabuľka č. </w:t>
      </w:r>
      <w:r w:rsidR="007E431E" w:rsidRPr="002D7A10">
        <w:rPr>
          <w:rFonts w:asciiTheme="minorHAnsi" w:hAnsiTheme="minorHAnsi" w:cs="Calibri"/>
        </w:rPr>
        <w:t>3.</w:t>
      </w:r>
      <w:r w:rsidRPr="002D7A10">
        <w:rPr>
          <w:rFonts w:asciiTheme="minorHAnsi" w:hAnsiTheme="minorHAnsi" w:cs="Calibri"/>
        </w:rPr>
        <w:t xml:space="preserve">16 dáva celkový prehľad o prijímacom konaní na prvom stupni štúdia. Z tabuľky je zrejmé, že záujem uchádzačov o štúdium ako aj počty prijatých uchádzačov síce presahujú plánované kapacity, ale tento fakt sa nepremieta do počtov </w:t>
      </w:r>
      <w:r w:rsidRPr="002D7A10">
        <w:rPr>
          <w:rFonts w:asciiTheme="minorHAnsi" w:hAnsiTheme="minorHAnsi" w:cs="Calibri"/>
          <w:b/>
        </w:rPr>
        <w:t xml:space="preserve">skutočne zapísaných študentov, ktoré dlhodobo oscilujú na úrovni 65% z prijatých uchádzačov </w:t>
      </w:r>
      <w:r w:rsidRPr="002D7A10">
        <w:rPr>
          <w:rFonts w:asciiTheme="minorHAnsi" w:hAnsiTheme="minorHAnsi" w:cs="Calibri"/>
        </w:rPr>
        <w:t>(</w:t>
      </w:r>
      <w:r w:rsidR="007E431E" w:rsidRPr="002D7A10">
        <w:rPr>
          <w:rFonts w:asciiTheme="minorHAnsi" w:hAnsiTheme="minorHAnsi" w:cs="Calibri"/>
        </w:rPr>
        <w:t>g</w:t>
      </w:r>
      <w:r w:rsidRPr="002D7A10">
        <w:rPr>
          <w:rFonts w:asciiTheme="minorHAnsi" w:hAnsiTheme="minorHAnsi" w:cs="Calibri"/>
        </w:rPr>
        <w:t xml:space="preserve">raf č. </w:t>
      </w:r>
      <w:r w:rsidR="007E431E" w:rsidRPr="002D7A10">
        <w:rPr>
          <w:rFonts w:asciiTheme="minorHAnsi" w:hAnsiTheme="minorHAnsi" w:cs="Calibri"/>
        </w:rPr>
        <w:t>3.</w:t>
      </w:r>
      <w:r w:rsidRPr="002D7A10">
        <w:rPr>
          <w:rFonts w:asciiTheme="minorHAnsi" w:hAnsiTheme="minorHAnsi" w:cs="Calibri"/>
        </w:rPr>
        <w:t>10). Dôvodom je nízka kvalita uchádzačov, ako aj fakt, že uchádzači sú často prijatí na viac študijných programov naraz (a to aj v rámci STU) ale sa zapíšu len na jeden z nich.</w:t>
      </w:r>
    </w:p>
    <w:p w:rsidR="00515AA8" w:rsidRPr="00E64229" w:rsidRDefault="00515AA8" w:rsidP="008549C4">
      <w:pPr>
        <w:spacing w:after="120"/>
        <w:rPr>
          <w:rFonts w:asciiTheme="minorHAnsi" w:hAnsiTheme="minorHAnsi" w:cs="Calibri"/>
          <w:sz w:val="20"/>
          <w:szCs w:val="20"/>
        </w:rPr>
      </w:pPr>
      <w:r w:rsidRPr="00E64229">
        <w:rPr>
          <w:rFonts w:asciiTheme="minorHAnsi" w:hAnsiTheme="minorHAnsi" w:cs="Calibri"/>
          <w:b/>
          <w:bCs/>
          <w:iCs/>
          <w:sz w:val="20"/>
          <w:szCs w:val="20"/>
        </w:rPr>
        <w:t xml:space="preserve">Tabuľka č. </w:t>
      </w:r>
      <w:r w:rsidR="007E431E" w:rsidRPr="00E64229">
        <w:rPr>
          <w:rFonts w:asciiTheme="minorHAnsi" w:hAnsiTheme="minorHAnsi" w:cs="Calibri"/>
          <w:b/>
          <w:bCs/>
          <w:iCs/>
          <w:sz w:val="20"/>
          <w:szCs w:val="20"/>
        </w:rPr>
        <w:t>3.</w:t>
      </w:r>
      <w:r w:rsidRPr="00E64229">
        <w:rPr>
          <w:rFonts w:asciiTheme="minorHAnsi" w:hAnsiTheme="minorHAnsi" w:cs="Calibri"/>
          <w:b/>
          <w:bCs/>
          <w:iCs/>
          <w:sz w:val="20"/>
          <w:szCs w:val="20"/>
        </w:rPr>
        <w:t xml:space="preserve">16: </w:t>
      </w:r>
      <w:r w:rsidRPr="00E64229">
        <w:rPr>
          <w:rFonts w:asciiTheme="minorHAnsi" w:hAnsiTheme="minorHAnsi" w:cs="Calibri"/>
          <w:b/>
          <w:iCs/>
          <w:sz w:val="20"/>
          <w:szCs w:val="20"/>
        </w:rPr>
        <w:t>Prehľad prijímacieho konania na prvý stupeň štúdia na akad. rok 2015/2016</w:t>
      </w:r>
    </w:p>
    <w:tbl>
      <w:tblPr>
        <w:tblW w:w="9229" w:type="dxa"/>
        <w:tblInd w:w="55" w:type="dxa"/>
        <w:tblLayout w:type="fixed"/>
        <w:tblCellMar>
          <w:left w:w="70" w:type="dxa"/>
          <w:right w:w="70" w:type="dxa"/>
        </w:tblCellMar>
        <w:tblLook w:val="04A0" w:firstRow="1" w:lastRow="0" w:firstColumn="1" w:lastColumn="0" w:noHBand="0" w:noVBand="1"/>
      </w:tblPr>
      <w:tblGrid>
        <w:gridCol w:w="866"/>
        <w:gridCol w:w="1134"/>
        <w:gridCol w:w="1076"/>
        <w:gridCol w:w="1025"/>
        <w:gridCol w:w="1026"/>
        <w:gridCol w:w="1025"/>
        <w:gridCol w:w="1026"/>
        <w:gridCol w:w="1025"/>
        <w:gridCol w:w="1026"/>
      </w:tblGrid>
      <w:tr w:rsidR="00515AA8" w:rsidRPr="00E64229" w:rsidTr="00CE307D">
        <w:trPr>
          <w:trHeight w:val="20"/>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15AA8" w:rsidRPr="00E64229" w:rsidRDefault="00515AA8" w:rsidP="00CE307D">
            <w:pP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Fakulta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Plánované počty (</w:t>
            </w:r>
            <w:proofErr w:type="spellStart"/>
            <w:r w:rsidRPr="00E64229">
              <w:rPr>
                <w:rFonts w:asciiTheme="minorHAnsi" w:eastAsia="Times New Roman" w:hAnsiTheme="minorHAnsi" w:cs="Arial"/>
                <w:b/>
                <w:bCs/>
                <w:sz w:val="20"/>
                <w:szCs w:val="20"/>
                <w:lang w:eastAsia="sk-SK"/>
              </w:rPr>
              <w:t>Pp</w:t>
            </w:r>
            <w:proofErr w:type="spellEnd"/>
            <w:r w:rsidRPr="00E64229">
              <w:rPr>
                <w:rFonts w:asciiTheme="minorHAnsi" w:eastAsia="Times New Roman" w:hAnsiTheme="minorHAnsi" w:cs="Arial"/>
                <w:b/>
                <w:bCs/>
                <w:sz w:val="20"/>
                <w:szCs w:val="20"/>
                <w:lang w:eastAsia="sk-SK"/>
              </w:rPr>
              <w:t>)</w:t>
            </w:r>
          </w:p>
        </w:tc>
        <w:tc>
          <w:tcPr>
            <w:tcW w:w="1076" w:type="dxa"/>
            <w:tcBorders>
              <w:top w:val="single" w:sz="4" w:space="0" w:color="auto"/>
              <w:left w:val="nil"/>
              <w:bottom w:val="single" w:sz="4" w:space="0" w:color="auto"/>
              <w:right w:val="nil"/>
            </w:tcBorders>
            <w:shd w:val="clear" w:color="auto" w:fill="auto"/>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Prihlásení (</w:t>
            </w:r>
            <w:proofErr w:type="spellStart"/>
            <w:r w:rsidRPr="00E64229">
              <w:rPr>
                <w:rFonts w:asciiTheme="minorHAnsi" w:eastAsia="Times New Roman" w:hAnsiTheme="minorHAnsi" w:cs="Arial"/>
                <w:b/>
                <w:bCs/>
                <w:sz w:val="20"/>
                <w:szCs w:val="20"/>
                <w:lang w:eastAsia="sk-SK"/>
              </w:rPr>
              <w:t>Ph</w:t>
            </w:r>
            <w:proofErr w:type="spellEnd"/>
            <w:r w:rsidRPr="00E64229">
              <w:rPr>
                <w:rFonts w:asciiTheme="minorHAnsi" w:eastAsia="Times New Roman" w:hAnsiTheme="minorHAnsi" w:cs="Arial"/>
                <w:b/>
                <w:bCs/>
                <w:sz w:val="20"/>
                <w:szCs w:val="20"/>
                <w:lang w:eastAsia="sk-SK"/>
              </w:rPr>
              <w:t>)</w:t>
            </w:r>
          </w:p>
        </w:tc>
        <w:tc>
          <w:tcPr>
            <w:tcW w:w="102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proofErr w:type="spellStart"/>
            <w:r w:rsidRPr="00E64229">
              <w:rPr>
                <w:rFonts w:asciiTheme="minorHAnsi" w:eastAsia="Times New Roman" w:hAnsiTheme="minorHAnsi" w:cs="Arial"/>
                <w:b/>
                <w:bCs/>
                <w:sz w:val="20"/>
                <w:szCs w:val="20"/>
                <w:lang w:eastAsia="sk-SK"/>
              </w:rPr>
              <w:t>Ph</w:t>
            </w:r>
            <w:proofErr w:type="spellEnd"/>
            <w:r w:rsidRPr="00E64229">
              <w:rPr>
                <w:rFonts w:asciiTheme="minorHAnsi" w:eastAsia="Times New Roman" w:hAnsiTheme="minorHAnsi" w:cs="Arial"/>
                <w:b/>
                <w:bCs/>
                <w:sz w:val="20"/>
                <w:szCs w:val="20"/>
                <w:lang w:eastAsia="sk-SK"/>
              </w:rPr>
              <w:t>/</w:t>
            </w:r>
            <w:proofErr w:type="spellStart"/>
            <w:r w:rsidRPr="00E64229">
              <w:rPr>
                <w:rFonts w:asciiTheme="minorHAnsi" w:eastAsia="Times New Roman" w:hAnsiTheme="minorHAnsi" w:cs="Arial"/>
                <w:b/>
                <w:bCs/>
                <w:sz w:val="20"/>
                <w:szCs w:val="20"/>
                <w:lang w:eastAsia="sk-SK"/>
              </w:rPr>
              <w:t>Pp</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Prijatí (</w:t>
            </w:r>
            <w:proofErr w:type="spellStart"/>
            <w:r w:rsidRPr="00E64229">
              <w:rPr>
                <w:rFonts w:asciiTheme="minorHAnsi" w:eastAsia="Times New Roman" w:hAnsiTheme="minorHAnsi" w:cs="Arial"/>
                <w:b/>
                <w:bCs/>
                <w:sz w:val="20"/>
                <w:szCs w:val="20"/>
                <w:lang w:eastAsia="sk-SK"/>
              </w:rPr>
              <w:t>Pr</w:t>
            </w:r>
            <w:proofErr w:type="spellEnd"/>
            <w:r w:rsidRPr="00E64229">
              <w:rPr>
                <w:rFonts w:asciiTheme="minorHAnsi" w:eastAsia="Times New Roman" w:hAnsiTheme="minorHAnsi" w:cs="Arial"/>
                <w:b/>
                <w:bCs/>
                <w:sz w:val="20"/>
                <w:szCs w:val="20"/>
                <w:lang w:eastAsia="sk-SK"/>
              </w:rPr>
              <w:t>)</w:t>
            </w:r>
          </w:p>
        </w:tc>
        <w:tc>
          <w:tcPr>
            <w:tcW w:w="10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proofErr w:type="spellStart"/>
            <w:r w:rsidRPr="00E64229">
              <w:rPr>
                <w:rFonts w:asciiTheme="minorHAnsi" w:eastAsia="Times New Roman" w:hAnsiTheme="minorHAnsi" w:cs="Arial"/>
                <w:b/>
                <w:bCs/>
                <w:sz w:val="20"/>
                <w:szCs w:val="20"/>
                <w:lang w:eastAsia="sk-SK"/>
              </w:rPr>
              <w:t>Pr</w:t>
            </w:r>
            <w:proofErr w:type="spellEnd"/>
            <w:r w:rsidRPr="00E64229">
              <w:rPr>
                <w:rFonts w:asciiTheme="minorHAnsi" w:eastAsia="Times New Roman" w:hAnsiTheme="minorHAnsi" w:cs="Arial"/>
                <w:b/>
                <w:bCs/>
                <w:sz w:val="20"/>
                <w:szCs w:val="20"/>
                <w:lang w:eastAsia="sk-SK"/>
              </w:rPr>
              <w:t>/</w:t>
            </w:r>
            <w:proofErr w:type="spellStart"/>
            <w:r w:rsidRPr="00E64229">
              <w:rPr>
                <w:rFonts w:asciiTheme="minorHAnsi" w:eastAsia="Times New Roman" w:hAnsiTheme="minorHAnsi" w:cs="Arial"/>
                <w:b/>
                <w:bCs/>
                <w:sz w:val="20"/>
                <w:szCs w:val="20"/>
                <w:lang w:eastAsia="sk-SK"/>
              </w:rPr>
              <w:t>Pp</w:t>
            </w:r>
            <w:proofErr w:type="spellEnd"/>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Zapísaní (Z)</w:t>
            </w:r>
          </w:p>
        </w:tc>
        <w:tc>
          <w:tcPr>
            <w:tcW w:w="10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Z/</w:t>
            </w:r>
            <w:proofErr w:type="spellStart"/>
            <w:r w:rsidRPr="00E64229">
              <w:rPr>
                <w:rFonts w:asciiTheme="minorHAnsi" w:eastAsia="Times New Roman" w:hAnsiTheme="minorHAnsi" w:cs="Arial"/>
                <w:b/>
                <w:bCs/>
                <w:sz w:val="20"/>
                <w:szCs w:val="20"/>
                <w:lang w:eastAsia="sk-SK"/>
              </w:rPr>
              <w:t>Pr</w:t>
            </w:r>
            <w:proofErr w:type="spellEnd"/>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Z/</w:t>
            </w:r>
            <w:proofErr w:type="spellStart"/>
            <w:r w:rsidRPr="00E64229">
              <w:rPr>
                <w:rFonts w:asciiTheme="minorHAnsi" w:eastAsia="Times New Roman" w:hAnsiTheme="minorHAnsi" w:cs="Arial"/>
                <w:b/>
                <w:bCs/>
                <w:sz w:val="20"/>
                <w:szCs w:val="20"/>
                <w:lang w:eastAsia="sk-SK"/>
              </w:rPr>
              <w:t>Pp</w:t>
            </w:r>
            <w:proofErr w:type="spellEnd"/>
          </w:p>
        </w:tc>
      </w:tr>
      <w:tr w:rsidR="00515AA8" w:rsidRPr="00E64229" w:rsidTr="00CE307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AA8" w:rsidRPr="00E64229" w:rsidRDefault="00515AA8" w:rsidP="00CE307D">
            <w:pP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SvF</w:t>
            </w:r>
          </w:p>
        </w:tc>
        <w:tc>
          <w:tcPr>
            <w:tcW w:w="1134"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870</w:t>
            </w:r>
          </w:p>
        </w:tc>
        <w:tc>
          <w:tcPr>
            <w:tcW w:w="107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1 201</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1,38</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1 069</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1,23</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831</w:t>
            </w:r>
          </w:p>
        </w:tc>
        <w:tc>
          <w:tcPr>
            <w:tcW w:w="1025"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0,78</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0,96</w:t>
            </w:r>
          </w:p>
        </w:tc>
      </w:tr>
      <w:tr w:rsidR="00515AA8" w:rsidRPr="00E64229" w:rsidTr="00CE307D">
        <w:trPr>
          <w:trHeight w:val="20"/>
        </w:trPr>
        <w:tc>
          <w:tcPr>
            <w:tcW w:w="866" w:type="dxa"/>
            <w:tcBorders>
              <w:top w:val="nil"/>
              <w:left w:val="single" w:sz="4" w:space="0" w:color="auto"/>
              <w:bottom w:val="single" w:sz="4" w:space="0" w:color="auto"/>
              <w:right w:val="single" w:sz="4" w:space="0" w:color="auto"/>
            </w:tcBorders>
            <w:shd w:val="clear" w:color="000000" w:fill="FFFFFF"/>
            <w:noWrap/>
            <w:vAlign w:val="bottom"/>
            <w:hideMark/>
          </w:tcPr>
          <w:p w:rsidR="00515AA8" w:rsidRPr="00E64229" w:rsidRDefault="00515AA8" w:rsidP="00CE307D">
            <w:pP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SjF</w:t>
            </w:r>
          </w:p>
        </w:tc>
        <w:tc>
          <w:tcPr>
            <w:tcW w:w="1134" w:type="dxa"/>
            <w:tcBorders>
              <w:top w:val="nil"/>
              <w:left w:val="nil"/>
              <w:bottom w:val="single" w:sz="4" w:space="0" w:color="auto"/>
              <w:right w:val="single" w:sz="4" w:space="0" w:color="auto"/>
            </w:tcBorders>
            <w:shd w:val="clear" w:color="000000" w:fill="FFFFFF"/>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465</w:t>
            </w:r>
          </w:p>
        </w:tc>
        <w:tc>
          <w:tcPr>
            <w:tcW w:w="1076" w:type="dxa"/>
            <w:tcBorders>
              <w:top w:val="nil"/>
              <w:left w:val="nil"/>
              <w:bottom w:val="single" w:sz="4" w:space="0" w:color="auto"/>
              <w:right w:val="single" w:sz="4" w:space="0" w:color="auto"/>
            </w:tcBorders>
            <w:shd w:val="clear" w:color="000000" w:fill="FFFFFF"/>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652</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1,40</w:t>
            </w:r>
          </w:p>
        </w:tc>
        <w:tc>
          <w:tcPr>
            <w:tcW w:w="1026" w:type="dxa"/>
            <w:tcBorders>
              <w:top w:val="nil"/>
              <w:left w:val="nil"/>
              <w:bottom w:val="single" w:sz="4" w:space="0" w:color="auto"/>
              <w:right w:val="single" w:sz="4" w:space="0" w:color="auto"/>
            </w:tcBorders>
            <w:shd w:val="clear" w:color="000000" w:fill="FFFFFF"/>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547</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1,18</w:t>
            </w:r>
          </w:p>
        </w:tc>
        <w:tc>
          <w:tcPr>
            <w:tcW w:w="1026" w:type="dxa"/>
            <w:tcBorders>
              <w:top w:val="nil"/>
              <w:left w:val="nil"/>
              <w:bottom w:val="single" w:sz="4" w:space="0" w:color="auto"/>
              <w:right w:val="single" w:sz="4" w:space="0" w:color="auto"/>
            </w:tcBorders>
            <w:shd w:val="clear" w:color="000000" w:fill="FFFFFF"/>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391</w:t>
            </w:r>
          </w:p>
        </w:tc>
        <w:tc>
          <w:tcPr>
            <w:tcW w:w="1025"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0,71</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0,84</w:t>
            </w:r>
          </w:p>
        </w:tc>
      </w:tr>
      <w:tr w:rsidR="00515AA8" w:rsidRPr="00E64229" w:rsidTr="00CE307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15AA8" w:rsidRPr="00E64229" w:rsidRDefault="00515AA8" w:rsidP="00CE307D">
            <w:pP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FEI</w:t>
            </w:r>
          </w:p>
        </w:tc>
        <w:tc>
          <w:tcPr>
            <w:tcW w:w="1134"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850</w:t>
            </w:r>
          </w:p>
        </w:tc>
        <w:tc>
          <w:tcPr>
            <w:tcW w:w="107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1 206</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1,42</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1 000</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1,18</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702</w:t>
            </w:r>
          </w:p>
        </w:tc>
        <w:tc>
          <w:tcPr>
            <w:tcW w:w="1025"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0,70</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0,83</w:t>
            </w:r>
          </w:p>
        </w:tc>
      </w:tr>
      <w:tr w:rsidR="00515AA8" w:rsidRPr="00E64229" w:rsidTr="00CE307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15AA8" w:rsidRPr="00E64229" w:rsidRDefault="00515AA8" w:rsidP="00CE307D">
            <w:pP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FCHPT</w:t>
            </w:r>
          </w:p>
        </w:tc>
        <w:tc>
          <w:tcPr>
            <w:tcW w:w="1134"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800</w:t>
            </w:r>
          </w:p>
        </w:tc>
        <w:tc>
          <w:tcPr>
            <w:tcW w:w="107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1 467</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1,83</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1 466</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1,83</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699</w:t>
            </w:r>
          </w:p>
        </w:tc>
        <w:tc>
          <w:tcPr>
            <w:tcW w:w="1025"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0,48</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0,87</w:t>
            </w:r>
          </w:p>
        </w:tc>
      </w:tr>
      <w:tr w:rsidR="00515AA8" w:rsidRPr="00E64229" w:rsidTr="00CE307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15AA8" w:rsidRPr="00E64229" w:rsidRDefault="00515AA8" w:rsidP="00CE307D">
            <w:pP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FA</w:t>
            </w:r>
          </w:p>
        </w:tc>
        <w:tc>
          <w:tcPr>
            <w:tcW w:w="1134"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300</w:t>
            </w:r>
          </w:p>
        </w:tc>
        <w:tc>
          <w:tcPr>
            <w:tcW w:w="107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475</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1,58</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303</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1,01</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198</w:t>
            </w:r>
          </w:p>
        </w:tc>
        <w:tc>
          <w:tcPr>
            <w:tcW w:w="1025"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0,65</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0,66</w:t>
            </w:r>
          </w:p>
        </w:tc>
      </w:tr>
      <w:tr w:rsidR="00515AA8" w:rsidRPr="00E64229" w:rsidTr="00CE307D">
        <w:trPr>
          <w:trHeight w:val="20"/>
        </w:trPr>
        <w:tc>
          <w:tcPr>
            <w:tcW w:w="866" w:type="dxa"/>
            <w:tcBorders>
              <w:top w:val="nil"/>
              <w:left w:val="single" w:sz="4" w:space="0" w:color="auto"/>
              <w:bottom w:val="single" w:sz="4" w:space="0" w:color="auto"/>
              <w:right w:val="single" w:sz="4" w:space="0" w:color="auto"/>
            </w:tcBorders>
            <w:shd w:val="clear" w:color="000000" w:fill="FFFFFF"/>
            <w:noWrap/>
            <w:vAlign w:val="bottom"/>
            <w:hideMark/>
          </w:tcPr>
          <w:p w:rsidR="00515AA8" w:rsidRPr="00E64229" w:rsidRDefault="00515AA8" w:rsidP="00CE307D">
            <w:pP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MTF</w:t>
            </w:r>
          </w:p>
        </w:tc>
        <w:tc>
          <w:tcPr>
            <w:tcW w:w="1134" w:type="dxa"/>
            <w:tcBorders>
              <w:top w:val="nil"/>
              <w:left w:val="nil"/>
              <w:bottom w:val="single" w:sz="4" w:space="0" w:color="auto"/>
              <w:right w:val="single" w:sz="4" w:space="0" w:color="auto"/>
            </w:tcBorders>
            <w:shd w:val="clear" w:color="000000" w:fill="FFFFFF"/>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540</w:t>
            </w:r>
          </w:p>
        </w:tc>
        <w:tc>
          <w:tcPr>
            <w:tcW w:w="107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1 329</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2,46</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1 214</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2,25</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886</w:t>
            </w:r>
          </w:p>
        </w:tc>
        <w:tc>
          <w:tcPr>
            <w:tcW w:w="1025"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0,73</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1,64</w:t>
            </w:r>
          </w:p>
        </w:tc>
      </w:tr>
      <w:tr w:rsidR="00515AA8" w:rsidRPr="00E64229" w:rsidTr="00CE307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15AA8" w:rsidRPr="00E64229" w:rsidRDefault="00515AA8" w:rsidP="00CE307D">
            <w:pP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FIIT</w:t>
            </w:r>
          </w:p>
        </w:tc>
        <w:tc>
          <w:tcPr>
            <w:tcW w:w="1134"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790</w:t>
            </w:r>
          </w:p>
        </w:tc>
        <w:tc>
          <w:tcPr>
            <w:tcW w:w="107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1 120</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1,42</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750</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0,95</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422</w:t>
            </w:r>
          </w:p>
        </w:tc>
        <w:tc>
          <w:tcPr>
            <w:tcW w:w="1025"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0,56</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0,53</w:t>
            </w:r>
          </w:p>
        </w:tc>
      </w:tr>
      <w:tr w:rsidR="00515AA8" w:rsidRPr="00E64229" w:rsidTr="00CE307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15AA8" w:rsidRPr="00E64229" w:rsidRDefault="00515AA8" w:rsidP="00CE307D">
            <w:pP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ÚM</w:t>
            </w:r>
          </w:p>
        </w:tc>
        <w:tc>
          <w:tcPr>
            <w:tcW w:w="1134"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50</w:t>
            </w:r>
          </w:p>
        </w:tc>
        <w:tc>
          <w:tcPr>
            <w:tcW w:w="107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61</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1,22</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53</w:t>
            </w:r>
          </w:p>
        </w:tc>
        <w:tc>
          <w:tcPr>
            <w:tcW w:w="1025"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1,06</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42</w:t>
            </w:r>
          </w:p>
        </w:tc>
        <w:tc>
          <w:tcPr>
            <w:tcW w:w="1025"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0,79</w:t>
            </w:r>
          </w:p>
        </w:tc>
        <w:tc>
          <w:tcPr>
            <w:tcW w:w="1026" w:type="dxa"/>
            <w:tcBorders>
              <w:top w:val="nil"/>
              <w:left w:val="nil"/>
              <w:bottom w:val="single" w:sz="4" w:space="0" w:color="auto"/>
              <w:right w:val="single" w:sz="4" w:space="0" w:color="auto"/>
            </w:tcBorders>
            <w:shd w:val="clear" w:color="auto" w:fill="auto"/>
            <w:noWrap/>
            <w:vAlign w:val="bottom"/>
            <w:hideMark/>
          </w:tcPr>
          <w:p w:rsidR="00515AA8" w:rsidRPr="00E64229" w:rsidRDefault="00515AA8" w:rsidP="00CE307D">
            <w:pPr>
              <w:jc w:val="center"/>
              <w:rPr>
                <w:rFonts w:asciiTheme="minorHAnsi" w:eastAsia="Times New Roman" w:hAnsiTheme="minorHAnsi" w:cs="Arial"/>
                <w:sz w:val="20"/>
                <w:szCs w:val="20"/>
                <w:lang w:eastAsia="sk-SK"/>
              </w:rPr>
            </w:pPr>
            <w:r w:rsidRPr="00E64229">
              <w:rPr>
                <w:rFonts w:asciiTheme="minorHAnsi" w:eastAsia="Times New Roman" w:hAnsiTheme="minorHAnsi" w:cs="Arial"/>
                <w:sz w:val="20"/>
                <w:szCs w:val="20"/>
                <w:lang w:eastAsia="sk-SK"/>
              </w:rPr>
              <w:t>0,84</w:t>
            </w:r>
          </w:p>
        </w:tc>
      </w:tr>
      <w:tr w:rsidR="00515AA8" w:rsidRPr="00E64229" w:rsidTr="00CE307D">
        <w:trPr>
          <w:trHeight w:val="2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STU</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4 665</w:t>
            </w:r>
          </w:p>
        </w:tc>
        <w:tc>
          <w:tcPr>
            <w:tcW w:w="1076"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7 511</w:t>
            </w:r>
          </w:p>
        </w:tc>
        <w:tc>
          <w:tcPr>
            <w:tcW w:w="1025"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1,61</w:t>
            </w:r>
          </w:p>
        </w:tc>
        <w:tc>
          <w:tcPr>
            <w:tcW w:w="1026"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6 402</w:t>
            </w:r>
          </w:p>
        </w:tc>
        <w:tc>
          <w:tcPr>
            <w:tcW w:w="1025"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1,37</w:t>
            </w:r>
          </w:p>
        </w:tc>
        <w:tc>
          <w:tcPr>
            <w:tcW w:w="1026"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4 171</w:t>
            </w:r>
          </w:p>
        </w:tc>
        <w:tc>
          <w:tcPr>
            <w:tcW w:w="1025"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0,65</w:t>
            </w:r>
          </w:p>
        </w:tc>
        <w:tc>
          <w:tcPr>
            <w:tcW w:w="1026"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E64229" w:rsidRDefault="00515AA8" w:rsidP="00CE307D">
            <w:pPr>
              <w:jc w:val="center"/>
              <w:rPr>
                <w:rFonts w:asciiTheme="minorHAnsi" w:eastAsia="Times New Roman" w:hAnsiTheme="minorHAnsi" w:cs="Arial"/>
                <w:b/>
                <w:bCs/>
                <w:sz w:val="20"/>
                <w:szCs w:val="20"/>
                <w:lang w:eastAsia="sk-SK"/>
              </w:rPr>
            </w:pPr>
            <w:r w:rsidRPr="00E64229">
              <w:rPr>
                <w:rFonts w:asciiTheme="minorHAnsi" w:eastAsia="Times New Roman" w:hAnsiTheme="minorHAnsi" w:cs="Arial"/>
                <w:b/>
                <w:bCs/>
                <w:sz w:val="20"/>
                <w:szCs w:val="20"/>
                <w:lang w:eastAsia="sk-SK"/>
              </w:rPr>
              <w:t>0,89</w:t>
            </w:r>
          </w:p>
        </w:tc>
      </w:tr>
    </w:tbl>
    <w:p w:rsidR="00515AA8" w:rsidRPr="00E64229" w:rsidRDefault="00515AA8" w:rsidP="00515AA8">
      <w:pPr>
        <w:rPr>
          <w:rFonts w:asciiTheme="minorHAnsi" w:eastAsia="Times New Roman" w:hAnsiTheme="minorHAnsi" w:cs="Arial"/>
          <w:bCs/>
          <w:sz w:val="20"/>
          <w:szCs w:val="20"/>
          <w:lang w:eastAsia="sk-SK"/>
        </w:rPr>
      </w:pPr>
      <w:r w:rsidRPr="00E64229">
        <w:rPr>
          <w:rFonts w:asciiTheme="minorHAnsi" w:eastAsia="Times New Roman" w:hAnsiTheme="minorHAnsi" w:cs="Arial"/>
          <w:bCs/>
          <w:sz w:val="20"/>
          <w:szCs w:val="20"/>
          <w:lang w:eastAsia="sk-SK"/>
        </w:rPr>
        <w:t xml:space="preserve">Vysvetlivky: </w:t>
      </w:r>
      <w:proofErr w:type="spellStart"/>
      <w:r w:rsidRPr="00E64229">
        <w:rPr>
          <w:rFonts w:asciiTheme="minorHAnsi" w:eastAsia="Times New Roman" w:hAnsiTheme="minorHAnsi" w:cs="Arial"/>
          <w:bCs/>
          <w:sz w:val="20"/>
          <w:szCs w:val="20"/>
          <w:lang w:eastAsia="sk-SK"/>
        </w:rPr>
        <w:t>Pp</w:t>
      </w:r>
      <w:proofErr w:type="spellEnd"/>
      <w:r w:rsidRPr="00E64229">
        <w:rPr>
          <w:rFonts w:asciiTheme="minorHAnsi" w:eastAsia="Times New Roman" w:hAnsiTheme="minorHAnsi" w:cs="Arial"/>
          <w:bCs/>
          <w:sz w:val="20"/>
          <w:szCs w:val="20"/>
          <w:lang w:eastAsia="sk-SK"/>
        </w:rPr>
        <w:t xml:space="preserve"> - plánované počty; </w:t>
      </w:r>
      <w:proofErr w:type="spellStart"/>
      <w:r w:rsidRPr="00E64229">
        <w:rPr>
          <w:rFonts w:asciiTheme="minorHAnsi" w:eastAsia="Times New Roman" w:hAnsiTheme="minorHAnsi" w:cs="Arial"/>
          <w:bCs/>
          <w:sz w:val="20"/>
          <w:szCs w:val="20"/>
          <w:lang w:eastAsia="sk-SK"/>
        </w:rPr>
        <w:t>Ph</w:t>
      </w:r>
      <w:proofErr w:type="spellEnd"/>
      <w:r w:rsidRPr="00E64229">
        <w:rPr>
          <w:rFonts w:asciiTheme="minorHAnsi" w:eastAsia="Times New Roman" w:hAnsiTheme="minorHAnsi" w:cs="Arial"/>
          <w:bCs/>
          <w:sz w:val="20"/>
          <w:szCs w:val="20"/>
          <w:lang w:eastAsia="sk-SK"/>
        </w:rPr>
        <w:t xml:space="preserve"> -prihlásení uchádzači; </w:t>
      </w:r>
      <w:proofErr w:type="spellStart"/>
      <w:r w:rsidRPr="00E64229">
        <w:rPr>
          <w:rFonts w:asciiTheme="minorHAnsi" w:eastAsia="Times New Roman" w:hAnsiTheme="minorHAnsi" w:cs="Arial"/>
          <w:bCs/>
          <w:sz w:val="20"/>
          <w:szCs w:val="20"/>
          <w:lang w:eastAsia="sk-SK"/>
        </w:rPr>
        <w:t>Pr</w:t>
      </w:r>
      <w:proofErr w:type="spellEnd"/>
      <w:r w:rsidRPr="00E64229">
        <w:rPr>
          <w:rFonts w:asciiTheme="minorHAnsi" w:eastAsia="Times New Roman" w:hAnsiTheme="minorHAnsi" w:cs="Arial"/>
          <w:bCs/>
          <w:sz w:val="20"/>
          <w:szCs w:val="20"/>
          <w:lang w:eastAsia="sk-SK"/>
        </w:rPr>
        <w:t xml:space="preserve"> - prijatí uchádzači; Z – zapísaní</w:t>
      </w:r>
    </w:p>
    <w:p w:rsidR="00515AA8" w:rsidRPr="00E64229" w:rsidRDefault="00515AA8" w:rsidP="00515AA8">
      <w:pPr>
        <w:rPr>
          <w:rFonts w:asciiTheme="minorHAnsi" w:eastAsia="Calibri" w:hAnsiTheme="minorHAnsi" w:cs="Calibri"/>
          <w:sz w:val="20"/>
          <w:szCs w:val="20"/>
        </w:rPr>
      </w:pPr>
    </w:p>
    <w:p w:rsidR="00515AA8" w:rsidRPr="00E64229" w:rsidRDefault="00515AA8" w:rsidP="00515AA8">
      <w:pPr>
        <w:rPr>
          <w:rFonts w:asciiTheme="minorHAnsi" w:hAnsiTheme="minorHAnsi" w:cs="Calibri"/>
          <w:sz w:val="20"/>
          <w:szCs w:val="20"/>
        </w:rPr>
      </w:pPr>
      <w:r w:rsidRPr="00E64229">
        <w:rPr>
          <w:rFonts w:asciiTheme="minorHAnsi" w:hAnsiTheme="minorHAnsi" w:cs="Calibri"/>
          <w:b/>
          <w:sz w:val="20"/>
          <w:szCs w:val="20"/>
        </w:rPr>
        <w:lastRenderedPageBreak/>
        <w:t xml:space="preserve">Graf č. </w:t>
      </w:r>
      <w:r w:rsidR="007E431E" w:rsidRPr="00E64229">
        <w:rPr>
          <w:rFonts w:asciiTheme="minorHAnsi" w:hAnsiTheme="minorHAnsi" w:cs="Calibri"/>
          <w:b/>
          <w:sz w:val="20"/>
          <w:szCs w:val="20"/>
        </w:rPr>
        <w:t>3.</w:t>
      </w:r>
      <w:r w:rsidRPr="00E64229">
        <w:rPr>
          <w:rFonts w:asciiTheme="minorHAnsi" w:hAnsiTheme="minorHAnsi" w:cs="Calibri"/>
          <w:b/>
          <w:sz w:val="20"/>
          <w:szCs w:val="20"/>
        </w:rPr>
        <w:t xml:space="preserve">10: Pomer zapísaných a prijatých uchádzačov prvého stupňa štúdia na STU za </w:t>
      </w:r>
      <w:r w:rsidR="0005714D">
        <w:rPr>
          <w:rFonts w:asciiTheme="minorHAnsi" w:hAnsiTheme="minorHAnsi" w:cs="Calibri"/>
          <w:b/>
          <w:sz w:val="20"/>
          <w:szCs w:val="20"/>
        </w:rPr>
        <w:t xml:space="preserve">5 </w:t>
      </w:r>
      <w:r w:rsidRPr="00E64229">
        <w:rPr>
          <w:rFonts w:asciiTheme="minorHAnsi" w:hAnsiTheme="minorHAnsi" w:cs="Calibri"/>
          <w:b/>
          <w:sz w:val="20"/>
          <w:szCs w:val="20"/>
        </w:rPr>
        <w:t>rokov</w:t>
      </w:r>
      <w:r w:rsidRPr="00E64229">
        <w:rPr>
          <w:rFonts w:asciiTheme="minorHAnsi" w:hAnsiTheme="minorHAnsi"/>
          <w:noProof/>
          <w:sz w:val="20"/>
          <w:szCs w:val="20"/>
          <w:lang w:eastAsia="sk-SK"/>
        </w:rPr>
        <w:drawing>
          <wp:inline distT="0" distB="0" distL="0" distR="0" wp14:anchorId="18DA788B" wp14:editId="104F31E2">
            <wp:extent cx="4572000" cy="2743200"/>
            <wp:effectExtent l="0" t="0" r="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44B67" w:rsidRPr="00E64229" w:rsidRDefault="00D44B67" w:rsidP="00515AA8">
      <w:pPr>
        <w:rPr>
          <w:rFonts w:asciiTheme="minorHAnsi" w:hAnsiTheme="minorHAnsi" w:cs="Calibri"/>
          <w:sz w:val="20"/>
          <w:szCs w:val="20"/>
        </w:rPr>
      </w:pPr>
    </w:p>
    <w:p w:rsidR="00515AA8" w:rsidRPr="002D7A10" w:rsidRDefault="00515AA8" w:rsidP="00515AA8">
      <w:pPr>
        <w:rPr>
          <w:rFonts w:asciiTheme="minorHAnsi" w:hAnsiTheme="minorHAnsi" w:cs="Calibri"/>
        </w:rPr>
      </w:pPr>
      <w:r w:rsidRPr="002D7A10">
        <w:rPr>
          <w:rFonts w:asciiTheme="minorHAnsi" w:hAnsiTheme="minorHAnsi" w:cs="Calibri"/>
        </w:rPr>
        <w:t xml:space="preserve">Na druhej strane je potešiteľné, že </w:t>
      </w:r>
      <w:r w:rsidRPr="002D7A10">
        <w:rPr>
          <w:rFonts w:asciiTheme="minorHAnsi" w:hAnsiTheme="minorHAnsi" w:cs="Calibri"/>
          <w:b/>
        </w:rPr>
        <w:t>percento zapísaných študentov na STU z celkového počtu maturantov v SR je dlhodobo stabilné</w:t>
      </w:r>
      <w:r w:rsidRPr="002D7A10">
        <w:rPr>
          <w:rFonts w:asciiTheme="minorHAnsi" w:hAnsiTheme="minorHAnsi" w:cs="Calibri"/>
        </w:rPr>
        <w:t xml:space="preserve"> a to aj napriek faktu, že počet maturantov v Slovenskej republike neustále klesá, oproti školskému roku 2013/2014 to predstavuje pokles o 7,5 – </w:t>
      </w:r>
      <w:r w:rsidR="007E431E" w:rsidRPr="002D7A10">
        <w:rPr>
          <w:rFonts w:asciiTheme="minorHAnsi" w:hAnsiTheme="minorHAnsi" w:cs="Calibri"/>
        </w:rPr>
        <w:t>t</w:t>
      </w:r>
      <w:r w:rsidRPr="002D7A10">
        <w:rPr>
          <w:rFonts w:asciiTheme="minorHAnsi" w:hAnsiTheme="minorHAnsi" w:cs="Calibri"/>
        </w:rPr>
        <w:t xml:space="preserve">abuľka č. </w:t>
      </w:r>
      <w:r w:rsidR="007E431E" w:rsidRPr="002D7A10">
        <w:rPr>
          <w:rFonts w:asciiTheme="minorHAnsi" w:hAnsiTheme="minorHAnsi" w:cs="Calibri"/>
        </w:rPr>
        <w:t>3.</w:t>
      </w:r>
      <w:r w:rsidRPr="002D7A10">
        <w:rPr>
          <w:rFonts w:asciiTheme="minorHAnsi" w:hAnsiTheme="minorHAnsi" w:cs="Calibri"/>
        </w:rPr>
        <w:t>17.</w:t>
      </w:r>
    </w:p>
    <w:p w:rsidR="00515AA8" w:rsidRPr="002D7A10" w:rsidRDefault="00515AA8" w:rsidP="00515AA8">
      <w:pPr>
        <w:rPr>
          <w:rFonts w:asciiTheme="minorHAnsi" w:hAnsiTheme="minorHAnsi" w:cs="Calibri"/>
        </w:rPr>
      </w:pPr>
    </w:p>
    <w:p w:rsidR="00515AA8" w:rsidRPr="00D44B67" w:rsidRDefault="00515AA8" w:rsidP="00515AA8">
      <w:pPr>
        <w:rPr>
          <w:rFonts w:asciiTheme="minorHAnsi" w:hAnsiTheme="minorHAnsi" w:cs="Calibri"/>
          <w:b/>
          <w:sz w:val="20"/>
          <w:szCs w:val="20"/>
        </w:rPr>
      </w:pPr>
      <w:r w:rsidRPr="00D44B67">
        <w:rPr>
          <w:rFonts w:asciiTheme="minorHAnsi" w:hAnsiTheme="minorHAnsi" w:cs="Calibri"/>
          <w:b/>
          <w:sz w:val="20"/>
          <w:szCs w:val="20"/>
        </w:rPr>
        <w:t>Tabuľka č.</w:t>
      </w:r>
      <w:r w:rsidR="007E431E" w:rsidRPr="00D44B67">
        <w:rPr>
          <w:rFonts w:asciiTheme="minorHAnsi" w:hAnsiTheme="minorHAnsi" w:cs="Calibri"/>
          <w:b/>
          <w:sz w:val="20"/>
          <w:szCs w:val="20"/>
        </w:rPr>
        <w:t>3.</w:t>
      </w:r>
      <w:r w:rsidRPr="00D44B67">
        <w:rPr>
          <w:rFonts w:asciiTheme="minorHAnsi" w:hAnsiTheme="minorHAnsi" w:cs="Calibri"/>
          <w:b/>
          <w:sz w:val="20"/>
          <w:szCs w:val="20"/>
        </w:rPr>
        <w:t>17: Pomer zapísaných študentov na prvom stupni štúdia - denná forma, ktorí v predchádzajúcom školskom roku maturovali k celkovému počtu maturantov v SR</w:t>
      </w:r>
    </w:p>
    <w:tbl>
      <w:tblPr>
        <w:tblW w:w="7812" w:type="dxa"/>
        <w:tblInd w:w="55" w:type="dxa"/>
        <w:tblLayout w:type="fixed"/>
        <w:tblCellMar>
          <w:left w:w="70" w:type="dxa"/>
          <w:right w:w="70" w:type="dxa"/>
        </w:tblCellMar>
        <w:tblLook w:val="04A0" w:firstRow="1" w:lastRow="0" w:firstColumn="1" w:lastColumn="0" w:noHBand="0" w:noVBand="1"/>
      </w:tblPr>
      <w:tblGrid>
        <w:gridCol w:w="1953"/>
        <w:gridCol w:w="1953"/>
        <w:gridCol w:w="1953"/>
        <w:gridCol w:w="1953"/>
      </w:tblGrid>
      <w:tr w:rsidR="00515AA8" w:rsidRPr="00D44B67" w:rsidTr="00CE307D">
        <w:trPr>
          <w:trHeight w:val="20"/>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Prijímacie konanie na akad. rok</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Počet maturantov SR</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Z toho počet zapísaných na STU</w:t>
            </w:r>
          </w:p>
        </w:tc>
        <w:tc>
          <w:tcPr>
            <w:tcW w:w="195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 zapísaných</w:t>
            </w:r>
          </w:p>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z maturantov  SR</w:t>
            </w:r>
          </w:p>
        </w:tc>
      </w:tr>
      <w:tr w:rsidR="00515AA8" w:rsidRPr="00D44B67" w:rsidTr="00CE307D">
        <w:trPr>
          <w:trHeight w:val="20"/>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2010/2011</w:t>
            </w:r>
          </w:p>
        </w:tc>
        <w:tc>
          <w:tcPr>
            <w:tcW w:w="1953"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59 716</w:t>
            </w:r>
          </w:p>
        </w:tc>
        <w:tc>
          <w:tcPr>
            <w:tcW w:w="1953"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3 305</w:t>
            </w:r>
          </w:p>
        </w:tc>
        <w:tc>
          <w:tcPr>
            <w:tcW w:w="1953"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5,5</w:t>
            </w:r>
          </w:p>
        </w:tc>
      </w:tr>
      <w:tr w:rsidR="00515AA8" w:rsidRPr="00D44B67" w:rsidTr="00CE307D">
        <w:trPr>
          <w:trHeight w:val="20"/>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2011/2012</w:t>
            </w:r>
          </w:p>
        </w:tc>
        <w:tc>
          <w:tcPr>
            <w:tcW w:w="1953"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56 476</w:t>
            </w:r>
          </w:p>
        </w:tc>
        <w:tc>
          <w:tcPr>
            <w:tcW w:w="1953"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3 181</w:t>
            </w:r>
          </w:p>
        </w:tc>
        <w:tc>
          <w:tcPr>
            <w:tcW w:w="1953"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5,6</w:t>
            </w:r>
          </w:p>
        </w:tc>
      </w:tr>
      <w:tr w:rsidR="00515AA8" w:rsidRPr="00D44B67" w:rsidTr="00CE307D">
        <w:trPr>
          <w:trHeight w:val="20"/>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2012/2013</w:t>
            </w:r>
          </w:p>
        </w:tc>
        <w:tc>
          <w:tcPr>
            <w:tcW w:w="1953"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55 084</w:t>
            </w:r>
          </w:p>
        </w:tc>
        <w:tc>
          <w:tcPr>
            <w:tcW w:w="1953"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3 460</w:t>
            </w:r>
          </w:p>
        </w:tc>
        <w:tc>
          <w:tcPr>
            <w:tcW w:w="1953"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6,3</w:t>
            </w:r>
          </w:p>
        </w:tc>
      </w:tr>
      <w:tr w:rsidR="00515AA8" w:rsidRPr="00D44B67" w:rsidTr="00CE307D">
        <w:trPr>
          <w:trHeight w:val="20"/>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2013/2014</w:t>
            </w:r>
          </w:p>
        </w:tc>
        <w:tc>
          <w:tcPr>
            <w:tcW w:w="1953"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52 093</w:t>
            </w:r>
          </w:p>
        </w:tc>
        <w:tc>
          <w:tcPr>
            <w:tcW w:w="1953"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3 164</w:t>
            </w:r>
          </w:p>
        </w:tc>
        <w:tc>
          <w:tcPr>
            <w:tcW w:w="1953"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6,1</w:t>
            </w:r>
          </w:p>
        </w:tc>
      </w:tr>
      <w:tr w:rsidR="00515AA8" w:rsidRPr="00D44B67" w:rsidTr="00CE307D">
        <w:trPr>
          <w:trHeight w:val="20"/>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2014/2015</w:t>
            </w:r>
          </w:p>
        </w:tc>
        <w:tc>
          <w:tcPr>
            <w:tcW w:w="1953"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46 450</w:t>
            </w:r>
          </w:p>
        </w:tc>
        <w:tc>
          <w:tcPr>
            <w:tcW w:w="1953"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2 747</w:t>
            </w:r>
          </w:p>
        </w:tc>
        <w:tc>
          <w:tcPr>
            <w:tcW w:w="1953"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5,9</w:t>
            </w:r>
          </w:p>
        </w:tc>
      </w:tr>
      <w:tr w:rsidR="00515AA8" w:rsidRPr="00D44B67" w:rsidTr="00CE307D">
        <w:trPr>
          <w:trHeight w:val="20"/>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2015/2016</w:t>
            </w:r>
          </w:p>
        </w:tc>
        <w:tc>
          <w:tcPr>
            <w:tcW w:w="1953"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42 987</w:t>
            </w:r>
          </w:p>
        </w:tc>
        <w:tc>
          <w:tcPr>
            <w:tcW w:w="1953"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2 483</w:t>
            </w:r>
          </w:p>
        </w:tc>
        <w:tc>
          <w:tcPr>
            <w:tcW w:w="1953"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5,8</w:t>
            </w:r>
          </w:p>
        </w:tc>
      </w:tr>
    </w:tbl>
    <w:p w:rsidR="00515AA8" w:rsidRPr="00D44B67" w:rsidRDefault="00515AA8" w:rsidP="00515AA8">
      <w:pPr>
        <w:rPr>
          <w:rFonts w:asciiTheme="minorHAnsi" w:hAnsiTheme="minorHAnsi" w:cs="Arial"/>
          <w:sz w:val="20"/>
          <w:szCs w:val="20"/>
          <w:lang w:eastAsia="sk-SK"/>
        </w:rPr>
      </w:pPr>
      <w:r w:rsidRPr="00D44B67">
        <w:rPr>
          <w:rFonts w:asciiTheme="minorHAnsi" w:hAnsiTheme="minorHAnsi" w:cs="Arial"/>
          <w:sz w:val="20"/>
          <w:szCs w:val="20"/>
          <w:lang w:eastAsia="sk-SK"/>
        </w:rPr>
        <w:t>Vysvetlivky:</w:t>
      </w:r>
    </w:p>
    <w:p w:rsidR="00515AA8" w:rsidRPr="00D44B67" w:rsidRDefault="00515AA8" w:rsidP="00515AA8">
      <w:pPr>
        <w:rPr>
          <w:rFonts w:asciiTheme="minorHAnsi" w:hAnsiTheme="minorHAnsi" w:cs="Calibri"/>
          <w:sz w:val="20"/>
          <w:szCs w:val="20"/>
        </w:rPr>
      </w:pPr>
      <w:r w:rsidRPr="00D44B67">
        <w:rPr>
          <w:rFonts w:asciiTheme="minorHAnsi" w:hAnsiTheme="minorHAnsi" w:cs="Arial"/>
          <w:sz w:val="20"/>
          <w:szCs w:val="20"/>
          <w:lang w:eastAsia="sk-SK"/>
        </w:rPr>
        <w:t>Počet zapísaných študentov z novoprijatých do 1. roč. prvého stupňa štúdia, ktorí maturovali v predchádzajúcom školskom roku; zdroj: AIS</w:t>
      </w:r>
    </w:p>
    <w:p w:rsidR="00515AA8" w:rsidRPr="00D44B67" w:rsidRDefault="00515AA8" w:rsidP="00515AA8">
      <w:pPr>
        <w:rPr>
          <w:rFonts w:asciiTheme="minorHAnsi" w:hAnsiTheme="minorHAnsi" w:cs="Calibri"/>
          <w:sz w:val="20"/>
          <w:szCs w:val="20"/>
        </w:rPr>
      </w:pPr>
      <w:r w:rsidRPr="00D44B67">
        <w:rPr>
          <w:rFonts w:asciiTheme="minorHAnsi" w:hAnsiTheme="minorHAnsi" w:cs="Arial"/>
          <w:sz w:val="20"/>
          <w:szCs w:val="20"/>
          <w:lang w:eastAsia="sk-SK"/>
        </w:rPr>
        <w:t xml:space="preserve">Počet maturantov SR v predchádzajúcom školskom roku - denné štúdium; zdroj: Štatistická ročenka CVTI (UIPŠ), </w:t>
      </w:r>
      <w:hyperlink r:id="rId25" w:history="1">
        <w:r w:rsidRPr="00D44B67">
          <w:rPr>
            <w:rStyle w:val="Hypertextovprepojenie"/>
            <w:rFonts w:asciiTheme="minorHAnsi" w:hAnsiTheme="minorHAnsi" w:cs="Arial"/>
            <w:sz w:val="20"/>
            <w:szCs w:val="20"/>
            <w:lang w:eastAsia="sk-SK"/>
          </w:rPr>
          <w:t>www.uips.sk</w:t>
        </w:r>
      </w:hyperlink>
      <w:r w:rsidRPr="00D44B67">
        <w:rPr>
          <w:rFonts w:asciiTheme="minorHAnsi" w:hAnsiTheme="minorHAnsi" w:cs="Arial"/>
          <w:sz w:val="20"/>
          <w:szCs w:val="20"/>
          <w:lang w:eastAsia="sk-SK"/>
        </w:rPr>
        <w:t xml:space="preserve"> </w:t>
      </w:r>
    </w:p>
    <w:p w:rsidR="008549C4" w:rsidRPr="002D7A10" w:rsidRDefault="008549C4" w:rsidP="00515AA8">
      <w:pPr>
        <w:rPr>
          <w:rFonts w:asciiTheme="minorHAnsi" w:hAnsiTheme="minorHAnsi" w:cs="Calibri"/>
        </w:rPr>
      </w:pPr>
    </w:p>
    <w:p w:rsidR="00515AA8" w:rsidRPr="002D7A10" w:rsidRDefault="00515AA8" w:rsidP="00515AA8">
      <w:pPr>
        <w:rPr>
          <w:rFonts w:asciiTheme="minorHAnsi" w:hAnsiTheme="minorHAnsi" w:cs="Calibri"/>
        </w:rPr>
      </w:pPr>
      <w:r w:rsidRPr="002D7A10">
        <w:rPr>
          <w:rFonts w:asciiTheme="minorHAnsi" w:hAnsiTheme="minorHAnsi" w:cs="Calibri"/>
        </w:rPr>
        <w:t xml:space="preserve">Základnou podmienkou prijatia na prvý stupeň štúdia na STU je absolvovanie úplného stredoškolského vzdelania ukončeného maturitnou skúškou a na niektorých súčastiach univerzity aj absolvovanie prijímacej skúšky. Ak prijímacie konanie prebehlo bez prijímacej skúšky, kvalitatívne poradie bolo tvorené kombináciou viacerých kvalitatívnych kritérií ako: celkové študijné výsledky zo strednej školy, dosiahnuté študijné výsledky z profilujúcich predmetov (matematika a fyzika), dosiahnuté študijné výsledky z externej maturitnej skúšky z matematiky, typom absolvovanej strednej školy a záujmu o štúdium (účasť a umiestnenie na odborných súťažiach a olympiádach). </w:t>
      </w:r>
      <w:r w:rsidRPr="002D7A10">
        <w:rPr>
          <w:rFonts w:asciiTheme="minorHAnsi" w:hAnsiTheme="minorHAnsi" w:cs="Calibri"/>
          <w:b/>
        </w:rPr>
        <w:t xml:space="preserve">Dve fakulty STU využili v prijímacom konaní výsledky </w:t>
      </w:r>
      <w:r w:rsidRPr="002D7A10">
        <w:rPr>
          <w:rFonts w:asciiTheme="minorHAnsi" w:hAnsiTheme="minorHAnsi" w:cs="Calibri"/>
          <w:b/>
        </w:rPr>
        <w:lastRenderedPageBreak/>
        <w:t>testov, ktoré boli zabezpečované nezávislou inštitúciou</w:t>
      </w:r>
      <w:r w:rsidRPr="002D7A10">
        <w:rPr>
          <w:rFonts w:asciiTheme="minorHAnsi" w:hAnsiTheme="minorHAnsi" w:cs="Calibri"/>
        </w:rPr>
        <w:t xml:space="preserve"> (SCIO, s.r.o.) </w:t>
      </w:r>
      <w:r w:rsidRPr="002D7A10">
        <w:rPr>
          <w:rFonts w:asciiTheme="minorHAnsi" w:hAnsiTheme="minorHAnsi" w:cs="Calibri"/>
          <w:b/>
        </w:rPr>
        <w:t>- FIIT písomné testy z matematiky a FA testy všeobecných študijných predpokladov.</w:t>
      </w:r>
    </w:p>
    <w:p w:rsidR="00515AA8" w:rsidRPr="002D7A10" w:rsidRDefault="00515AA8" w:rsidP="00515AA8">
      <w:pPr>
        <w:rPr>
          <w:rFonts w:asciiTheme="minorHAnsi" w:hAnsiTheme="minorHAnsi" w:cs="Calibri"/>
        </w:rPr>
      </w:pPr>
      <w:r w:rsidRPr="002D7A10">
        <w:rPr>
          <w:rFonts w:asciiTheme="minorHAnsi" w:hAnsiTheme="minorHAnsi" w:cs="Calibri"/>
        </w:rPr>
        <w:t xml:space="preserve">O štúdium sa maturanti mohli uchádzať v dvoch kolách prijímacieho </w:t>
      </w:r>
      <w:r w:rsidRPr="002D7A10">
        <w:rPr>
          <w:rFonts w:asciiTheme="minorHAnsi" w:hAnsiTheme="minorHAnsi" w:cs="Calibri"/>
          <w:shd w:val="clear" w:color="auto" w:fill="FFFFFF"/>
        </w:rPr>
        <w:t>konania okrem FIIT.</w:t>
      </w:r>
      <w:r w:rsidRPr="002D7A10">
        <w:rPr>
          <w:rFonts w:asciiTheme="minorHAnsi" w:hAnsiTheme="minorHAnsi" w:cs="Calibri"/>
        </w:rPr>
        <w:t xml:space="preserve"> Prijímacie konanie na externú formu štúdia nebolo v akad. roku 2015/2016 otvárané.</w:t>
      </w:r>
    </w:p>
    <w:p w:rsidR="00B51749" w:rsidRPr="002D7A10" w:rsidRDefault="00B51749" w:rsidP="00B51749">
      <w:pPr>
        <w:pStyle w:val="Odsekzoznamu"/>
        <w:spacing w:line="240" w:lineRule="auto"/>
        <w:ind w:left="0"/>
        <w:rPr>
          <w:rFonts w:asciiTheme="minorHAnsi" w:hAnsiTheme="minorHAnsi"/>
          <w:color w:val="FF0000"/>
          <w:sz w:val="24"/>
          <w:szCs w:val="24"/>
        </w:rPr>
      </w:pPr>
    </w:p>
    <w:p w:rsidR="00B51749" w:rsidRPr="002D7A10" w:rsidRDefault="00B51749" w:rsidP="00B51749">
      <w:pPr>
        <w:pStyle w:val="Nadpis3"/>
        <w:rPr>
          <w:rFonts w:asciiTheme="minorHAnsi" w:hAnsiTheme="minorHAnsi"/>
          <w:color w:val="auto"/>
        </w:rPr>
      </w:pPr>
      <w:bookmarkStart w:id="15" w:name="_Toc448261558"/>
      <w:r w:rsidRPr="002D7A10">
        <w:rPr>
          <w:rFonts w:asciiTheme="minorHAnsi" w:hAnsiTheme="minorHAnsi"/>
          <w:color w:val="auto"/>
        </w:rPr>
        <w:t>Prijímacie konanie na druhý stupeň štúdia</w:t>
      </w:r>
      <w:bookmarkEnd w:id="15"/>
    </w:p>
    <w:p w:rsidR="0005714D" w:rsidRDefault="00515AA8" w:rsidP="00515AA8">
      <w:pPr>
        <w:rPr>
          <w:rFonts w:asciiTheme="minorHAnsi" w:hAnsiTheme="minorHAnsi"/>
          <w:color w:val="FF0000"/>
        </w:rPr>
      </w:pPr>
      <w:r w:rsidRPr="002D7A10">
        <w:rPr>
          <w:rFonts w:asciiTheme="minorHAnsi" w:hAnsiTheme="minorHAnsi"/>
          <w:color w:val="FF0000"/>
        </w:rPr>
        <w:tab/>
      </w:r>
    </w:p>
    <w:p w:rsidR="00515AA8" w:rsidRPr="002D7A10" w:rsidRDefault="00515AA8" w:rsidP="00515AA8">
      <w:pPr>
        <w:rPr>
          <w:rFonts w:asciiTheme="minorHAnsi" w:hAnsiTheme="minorHAnsi" w:cs="Calibri"/>
        </w:rPr>
      </w:pPr>
      <w:r w:rsidRPr="002D7A10">
        <w:rPr>
          <w:rFonts w:asciiTheme="minorHAnsi" w:hAnsiTheme="minorHAnsi" w:cs="Calibri"/>
        </w:rPr>
        <w:t xml:space="preserve">Na druhý. stupeň štúdia bolo pre akad. rok 2015/2016 plánované prijať celkovo 2 675 uchádzačov; prihlásených bolo 2 695 uchádzačov; z toho bolo prijatých 2 411 uchádzačov. </w:t>
      </w:r>
      <w:r w:rsidRPr="002D7A10">
        <w:rPr>
          <w:rFonts w:asciiTheme="minorHAnsi" w:hAnsiTheme="minorHAnsi" w:cs="Calibri"/>
          <w:b/>
        </w:rPr>
        <w:t>Celkovo sa na STU v</w:t>
      </w:r>
      <w:r w:rsidR="0005714D">
        <w:rPr>
          <w:rFonts w:asciiTheme="minorHAnsi" w:hAnsiTheme="minorHAnsi" w:cs="Calibri"/>
          <w:b/>
        </w:rPr>
        <w:t> </w:t>
      </w:r>
      <w:r w:rsidRPr="002D7A10">
        <w:rPr>
          <w:rFonts w:asciiTheme="minorHAnsi" w:hAnsiTheme="minorHAnsi" w:cs="Calibri"/>
          <w:b/>
        </w:rPr>
        <w:t>ak</w:t>
      </w:r>
      <w:r w:rsidR="0005714D">
        <w:rPr>
          <w:rFonts w:asciiTheme="minorHAnsi" w:hAnsiTheme="minorHAnsi" w:cs="Calibri"/>
          <w:b/>
        </w:rPr>
        <w:t>.</w:t>
      </w:r>
      <w:r w:rsidRPr="002D7A10">
        <w:rPr>
          <w:rFonts w:asciiTheme="minorHAnsi" w:hAnsiTheme="minorHAnsi" w:cs="Calibri"/>
          <w:b/>
        </w:rPr>
        <w:t xml:space="preserve"> roku 2015/2016 zapísalo na druhom stupni štúdia 2 220 prijatých uchádzačov, </w:t>
      </w:r>
      <w:r w:rsidRPr="002D7A10">
        <w:rPr>
          <w:rFonts w:asciiTheme="minorHAnsi" w:hAnsiTheme="minorHAnsi" w:cs="Calibri"/>
        </w:rPr>
        <w:t>čo predstavuje nárast oproti predchádzajúcemu akad. roku o 6,5 %. Prehľad prijímacieho konania je uvedený v </w:t>
      </w:r>
      <w:r w:rsidR="007E431E" w:rsidRPr="002D7A10">
        <w:rPr>
          <w:rFonts w:asciiTheme="minorHAnsi" w:hAnsiTheme="minorHAnsi" w:cs="Calibri"/>
        </w:rPr>
        <w:t>t</w:t>
      </w:r>
      <w:r w:rsidRPr="002D7A10">
        <w:rPr>
          <w:rFonts w:asciiTheme="minorHAnsi" w:hAnsiTheme="minorHAnsi" w:cs="Calibri"/>
        </w:rPr>
        <w:t xml:space="preserve">abuľke č. </w:t>
      </w:r>
      <w:r w:rsidR="007E431E" w:rsidRPr="002D7A10">
        <w:rPr>
          <w:rFonts w:asciiTheme="minorHAnsi" w:hAnsiTheme="minorHAnsi" w:cs="Calibri"/>
        </w:rPr>
        <w:t>3.</w:t>
      </w:r>
      <w:r w:rsidRPr="002D7A10">
        <w:rPr>
          <w:rFonts w:asciiTheme="minorHAnsi" w:hAnsiTheme="minorHAnsi" w:cs="Calibri"/>
        </w:rPr>
        <w:t>18.</w:t>
      </w:r>
    </w:p>
    <w:p w:rsidR="00515AA8" w:rsidRPr="002D7A10" w:rsidRDefault="00515AA8" w:rsidP="00515AA8">
      <w:pPr>
        <w:rPr>
          <w:rFonts w:asciiTheme="minorHAnsi" w:hAnsiTheme="minorHAnsi" w:cs="Calibri"/>
        </w:rPr>
      </w:pPr>
      <w:r w:rsidRPr="002D7A10">
        <w:rPr>
          <w:rFonts w:asciiTheme="minorHAnsi" w:hAnsiTheme="minorHAnsi" w:cs="Calibri"/>
        </w:rPr>
        <w:t xml:space="preserve">V rámci STU sa na druhý stupeň štúdia zapísalo </w:t>
      </w:r>
      <w:r w:rsidRPr="002D7A10">
        <w:rPr>
          <w:rFonts w:asciiTheme="minorHAnsi" w:hAnsiTheme="minorHAnsi" w:cs="Calibri"/>
          <w:shd w:val="clear" w:color="auto" w:fill="FFFFFF"/>
        </w:rPr>
        <w:t xml:space="preserve">92 </w:t>
      </w:r>
      <w:r w:rsidRPr="002D7A10">
        <w:rPr>
          <w:rFonts w:asciiTheme="minorHAnsi" w:hAnsiTheme="minorHAnsi" w:cs="Calibri"/>
        </w:rPr>
        <w:t xml:space="preserve">% prijatých uchádzačov, čo je stabilne veľmi vysoké percento. Graf č. </w:t>
      </w:r>
      <w:r w:rsidR="007E431E" w:rsidRPr="002D7A10">
        <w:rPr>
          <w:rFonts w:asciiTheme="minorHAnsi" w:hAnsiTheme="minorHAnsi" w:cs="Calibri"/>
        </w:rPr>
        <w:t>3.</w:t>
      </w:r>
      <w:r w:rsidRPr="002D7A10">
        <w:rPr>
          <w:rFonts w:asciiTheme="minorHAnsi" w:hAnsiTheme="minorHAnsi" w:cs="Calibri"/>
        </w:rPr>
        <w:t xml:space="preserve">11 vyjadruje porovnanie za posledných päť rokov. </w:t>
      </w:r>
    </w:p>
    <w:p w:rsidR="00515AA8" w:rsidRPr="002D7A10" w:rsidRDefault="00515AA8" w:rsidP="00515AA8">
      <w:pPr>
        <w:rPr>
          <w:rFonts w:asciiTheme="minorHAnsi" w:hAnsiTheme="minorHAnsi" w:cs="Calibri"/>
        </w:rPr>
      </w:pPr>
    </w:p>
    <w:p w:rsidR="00515AA8" w:rsidRPr="00D44B67" w:rsidRDefault="00515AA8" w:rsidP="00515AA8">
      <w:pPr>
        <w:rPr>
          <w:rFonts w:asciiTheme="minorHAnsi" w:hAnsiTheme="minorHAnsi" w:cs="Calibri"/>
          <w:b/>
          <w:sz w:val="20"/>
          <w:szCs w:val="20"/>
        </w:rPr>
      </w:pPr>
      <w:r w:rsidRPr="00D44B67">
        <w:rPr>
          <w:rFonts w:asciiTheme="minorHAnsi" w:hAnsiTheme="minorHAnsi" w:cs="Calibri"/>
          <w:b/>
          <w:sz w:val="20"/>
          <w:szCs w:val="20"/>
        </w:rPr>
        <w:t>Tabuľka č. 18: Prehľad prijímacieho konania na druhý stupeň štúdia na akad. rok  2015/2016</w:t>
      </w:r>
    </w:p>
    <w:tbl>
      <w:tblPr>
        <w:tblW w:w="8800" w:type="dxa"/>
        <w:tblInd w:w="55" w:type="dxa"/>
        <w:tblCellMar>
          <w:left w:w="70" w:type="dxa"/>
          <w:right w:w="70" w:type="dxa"/>
        </w:tblCellMar>
        <w:tblLook w:val="04A0" w:firstRow="1" w:lastRow="0" w:firstColumn="1" w:lastColumn="0" w:noHBand="0" w:noVBand="1"/>
      </w:tblPr>
      <w:tblGrid>
        <w:gridCol w:w="960"/>
        <w:gridCol w:w="1120"/>
        <w:gridCol w:w="960"/>
        <w:gridCol w:w="960"/>
        <w:gridCol w:w="960"/>
        <w:gridCol w:w="960"/>
        <w:gridCol w:w="960"/>
        <w:gridCol w:w="960"/>
        <w:gridCol w:w="960"/>
      </w:tblGrid>
      <w:tr w:rsidR="00515AA8" w:rsidRPr="00D44B67" w:rsidTr="00CE307D">
        <w:trPr>
          <w:trHeight w:val="20"/>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515AA8" w:rsidRPr="00D44B67" w:rsidRDefault="00515AA8" w:rsidP="00CE307D">
            <w:pP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Fakulta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Plánované počty (</w:t>
            </w:r>
            <w:proofErr w:type="spellStart"/>
            <w:r w:rsidRPr="00D44B67">
              <w:rPr>
                <w:rFonts w:asciiTheme="minorHAnsi" w:eastAsia="Times New Roman" w:hAnsiTheme="minorHAnsi" w:cs="Arial"/>
                <w:b/>
                <w:bCs/>
                <w:sz w:val="20"/>
                <w:szCs w:val="20"/>
                <w:lang w:eastAsia="sk-SK"/>
              </w:rPr>
              <w:t>Pp</w:t>
            </w:r>
            <w:proofErr w:type="spellEnd"/>
            <w:r w:rsidRPr="00D44B67">
              <w:rPr>
                <w:rFonts w:asciiTheme="minorHAnsi" w:eastAsia="Times New Roman" w:hAnsiTheme="minorHAnsi" w:cs="Arial"/>
                <w:b/>
                <w:bCs/>
                <w:sz w:val="20"/>
                <w:szCs w:val="20"/>
                <w:lang w:eastAsia="sk-SK"/>
              </w:rPr>
              <w:t>)</w:t>
            </w:r>
          </w:p>
        </w:tc>
        <w:tc>
          <w:tcPr>
            <w:tcW w:w="960" w:type="dxa"/>
            <w:tcBorders>
              <w:top w:val="single" w:sz="4" w:space="0" w:color="auto"/>
              <w:left w:val="nil"/>
              <w:bottom w:val="single" w:sz="4" w:space="0" w:color="auto"/>
              <w:right w:val="nil"/>
            </w:tcBorders>
            <w:shd w:val="clear" w:color="auto" w:fill="auto"/>
            <w:vAlign w:val="center"/>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Prihlásení (</w:t>
            </w:r>
            <w:proofErr w:type="spellStart"/>
            <w:r w:rsidRPr="00D44B67">
              <w:rPr>
                <w:rFonts w:asciiTheme="minorHAnsi" w:eastAsia="Times New Roman" w:hAnsiTheme="minorHAnsi" w:cs="Arial"/>
                <w:b/>
                <w:bCs/>
                <w:sz w:val="20"/>
                <w:szCs w:val="20"/>
                <w:lang w:eastAsia="sk-SK"/>
              </w:rPr>
              <w:t>Ph</w:t>
            </w:r>
            <w:proofErr w:type="spellEnd"/>
            <w:r w:rsidRPr="00D44B67">
              <w:rPr>
                <w:rFonts w:asciiTheme="minorHAnsi" w:eastAsia="Times New Roman" w:hAnsiTheme="minorHAnsi" w:cs="Arial"/>
                <w:b/>
                <w:bCs/>
                <w:sz w:val="20"/>
                <w:szCs w:val="20"/>
                <w:lang w:eastAsia="sk-SK"/>
              </w:rPr>
              <w:t>)</w:t>
            </w:r>
          </w:p>
        </w:tc>
        <w:tc>
          <w:tcPr>
            <w:tcW w:w="96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515AA8" w:rsidRPr="00D44B67" w:rsidRDefault="00515AA8" w:rsidP="00CE307D">
            <w:pPr>
              <w:jc w:val="center"/>
              <w:rPr>
                <w:rFonts w:asciiTheme="minorHAnsi" w:eastAsia="Times New Roman" w:hAnsiTheme="minorHAnsi" w:cs="Arial"/>
                <w:b/>
                <w:bCs/>
                <w:sz w:val="20"/>
                <w:szCs w:val="20"/>
                <w:lang w:eastAsia="sk-SK"/>
              </w:rPr>
            </w:pPr>
            <w:proofErr w:type="spellStart"/>
            <w:r w:rsidRPr="00D44B67">
              <w:rPr>
                <w:rFonts w:asciiTheme="minorHAnsi" w:eastAsia="Times New Roman" w:hAnsiTheme="minorHAnsi" w:cs="Arial"/>
                <w:b/>
                <w:bCs/>
                <w:sz w:val="20"/>
                <w:szCs w:val="20"/>
                <w:lang w:eastAsia="sk-SK"/>
              </w:rPr>
              <w:t>Ph</w:t>
            </w:r>
            <w:proofErr w:type="spellEnd"/>
            <w:r w:rsidRPr="00D44B67">
              <w:rPr>
                <w:rFonts w:asciiTheme="minorHAnsi" w:eastAsia="Times New Roman" w:hAnsiTheme="minorHAnsi" w:cs="Arial"/>
                <w:b/>
                <w:bCs/>
                <w:sz w:val="20"/>
                <w:szCs w:val="20"/>
                <w:lang w:eastAsia="sk-SK"/>
              </w:rPr>
              <w:t>/</w:t>
            </w:r>
            <w:proofErr w:type="spellStart"/>
            <w:r w:rsidRPr="00D44B67">
              <w:rPr>
                <w:rFonts w:asciiTheme="minorHAnsi" w:eastAsia="Times New Roman" w:hAnsiTheme="minorHAnsi" w:cs="Arial"/>
                <w:b/>
                <w:bCs/>
                <w:sz w:val="20"/>
                <w:szCs w:val="20"/>
                <w:lang w:eastAsia="sk-SK"/>
              </w:rPr>
              <w:t>Pp</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Prijatí (</w:t>
            </w:r>
            <w:proofErr w:type="spellStart"/>
            <w:r w:rsidRPr="00D44B67">
              <w:rPr>
                <w:rFonts w:asciiTheme="minorHAnsi" w:eastAsia="Times New Roman" w:hAnsiTheme="minorHAnsi" w:cs="Arial"/>
                <w:b/>
                <w:bCs/>
                <w:sz w:val="20"/>
                <w:szCs w:val="20"/>
                <w:lang w:eastAsia="sk-SK"/>
              </w:rPr>
              <w:t>Pr</w:t>
            </w:r>
            <w:proofErr w:type="spellEnd"/>
            <w:r w:rsidRPr="00D44B67">
              <w:rPr>
                <w:rFonts w:asciiTheme="minorHAnsi" w:eastAsia="Times New Roman" w:hAnsiTheme="minorHAnsi" w:cs="Arial"/>
                <w:b/>
                <w:bCs/>
                <w:sz w:val="20"/>
                <w:szCs w:val="20"/>
                <w:lang w:eastAsia="sk-SK"/>
              </w:rPr>
              <w:t>)</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15AA8" w:rsidRPr="00D44B67" w:rsidRDefault="00515AA8" w:rsidP="00CE307D">
            <w:pPr>
              <w:jc w:val="center"/>
              <w:rPr>
                <w:rFonts w:asciiTheme="minorHAnsi" w:eastAsia="Times New Roman" w:hAnsiTheme="minorHAnsi" w:cs="Arial"/>
                <w:b/>
                <w:bCs/>
                <w:sz w:val="20"/>
                <w:szCs w:val="20"/>
                <w:lang w:eastAsia="sk-SK"/>
              </w:rPr>
            </w:pPr>
            <w:proofErr w:type="spellStart"/>
            <w:r w:rsidRPr="00D44B67">
              <w:rPr>
                <w:rFonts w:asciiTheme="minorHAnsi" w:eastAsia="Times New Roman" w:hAnsiTheme="minorHAnsi" w:cs="Arial"/>
                <w:b/>
                <w:bCs/>
                <w:sz w:val="20"/>
                <w:szCs w:val="20"/>
                <w:lang w:eastAsia="sk-SK"/>
              </w:rPr>
              <w:t>Pr</w:t>
            </w:r>
            <w:proofErr w:type="spellEnd"/>
            <w:r w:rsidRPr="00D44B67">
              <w:rPr>
                <w:rFonts w:asciiTheme="minorHAnsi" w:eastAsia="Times New Roman" w:hAnsiTheme="minorHAnsi" w:cs="Arial"/>
                <w:b/>
                <w:bCs/>
                <w:sz w:val="20"/>
                <w:szCs w:val="20"/>
                <w:lang w:eastAsia="sk-SK"/>
              </w:rPr>
              <w:t>/</w:t>
            </w:r>
            <w:proofErr w:type="spellStart"/>
            <w:r w:rsidRPr="00D44B67">
              <w:rPr>
                <w:rFonts w:asciiTheme="minorHAnsi" w:eastAsia="Times New Roman" w:hAnsiTheme="minorHAnsi" w:cs="Arial"/>
                <w:b/>
                <w:bCs/>
                <w:sz w:val="20"/>
                <w:szCs w:val="20"/>
                <w:lang w:eastAsia="sk-SK"/>
              </w:rPr>
              <w:t>Pp</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Zapísaní (Z)</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Z/</w:t>
            </w:r>
            <w:proofErr w:type="spellStart"/>
            <w:r w:rsidRPr="00D44B67">
              <w:rPr>
                <w:rFonts w:asciiTheme="minorHAnsi" w:eastAsia="Times New Roman" w:hAnsiTheme="minorHAnsi" w:cs="Arial"/>
                <w:b/>
                <w:bCs/>
                <w:sz w:val="20"/>
                <w:szCs w:val="20"/>
                <w:lang w:eastAsia="sk-SK"/>
              </w:rPr>
              <w:t>Pr</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Z/</w:t>
            </w:r>
            <w:proofErr w:type="spellStart"/>
            <w:r w:rsidRPr="00D44B67">
              <w:rPr>
                <w:rFonts w:asciiTheme="minorHAnsi" w:eastAsia="Times New Roman" w:hAnsiTheme="minorHAnsi" w:cs="Arial"/>
                <w:b/>
                <w:bCs/>
                <w:sz w:val="20"/>
                <w:szCs w:val="20"/>
                <w:lang w:eastAsia="sk-SK"/>
              </w:rPr>
              <w:t>Pp</w:t>
            </w:r>
            <w:proofErr w:type="spellEnd"/>
          </w:p>
        </w:tc>
      </w:tr>
      <w:tr w:rsidR="00515AA8" w:rsidRPr="00D44B67" w:rsidTr="00CE307D">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SvF</w:t>
            </w:r>
          </w:p>
        </w:tc>
        <w:tc>
          <w:tcPr>
            <w:tcW w:w="112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460</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610</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1,33</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563</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1,22</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527</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0,94</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1,15</w:t>
            </w:r>
          </w:p>
        </w:tc>
      </w:tr>
      <w:tr w:rsidR="00515AA8" w:rsidRPr="00D44B67" w:rsidTr="00CE307D">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15AA8" w:rsidRPr="00D44B67" w:rsidRDefault="00515AA8" w:rsidP="00CE307D">
            <w:pP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SjF</w:t>
            </w:r>
          </w:p>
        </w:tc>
        <w:tc>
          <w:tcPr>
            <w:tcW w:w="1120" w:type="dxa"/>
            <w:tcBorders>
              <w:top w:val="nil"/>
              <w:left w:val="nil"/>
              <w:bottom w:val="single" w:sz="4" w:space="0" w:color="auto"/>
              <w:right w:val="single" w:sz="4" w:space="0" w:color="auto"/>
            </w:tcBorders>
            <w:shd w:val="clear" w:color="000000" w:fill="FFFFFF"/>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275</w:t>
            </w:r>
          </w:p>
        </w:tc>
        <w:tc>
          <w:tcPr>
            <w:tcW w:w="960" w:type="dxa"/>
            <w:tcBorders>
              <w:top w:val="nil"/>
              <w:left w:val="nil"/>
              <w:bottom w:val="single" w:sz="4" w:space="0" w:color="auto"/>
              <w:right w:val="single" w:sz="4" w:space="0" w:color="auto"/>
            </w:tcBorders>
            <w:shd w:val="clear" w:color="000000" w:fill="FFFFFF"/>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257</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0,93</w:t>
            </w:r>
          </w:p>
        </w:tc>
        <w:tc>
          <w:tcPr>
            <w:tcW w:w="960" w:type="dxa"/>
            <w:tcBorders>
              <w:top w:val="nil"/>
              <w:left w:val="nil"/>
              <w:bottom w:val="single" w:sz="4" w:space="0" w:color="auto"/>
              <w:right w:val="single" w:sz="4" w:space="0" w:color="auto"/>
            </w:tcBorders>
            <w:shd w:val="clear" w:color="000000" w:fill="FFFFFF"/>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249</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0,91</w:t>
            </w:r>
          </w:p>
        </w:tc>
        <w:tc>
          <w:tcPr>
            <w:tcW w:w="960" w:type="dxa"/>
            <w:tcBorders>
              <w:top w:val="nil"/>
              <w:left w:val="nil"/>
              <w:bottom w:val="single" w:sz="4" w:space="0" w:color="auto"/>
              <w:right w:val="single" w:sz="4" w:space="0" w:color="auto"/>
            </w:tcBorders>
            <w:shd w:val="clear" w:color="000000" w:fill="FFFFFF"/>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233</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0,94</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0,85</w:t>
            </w:r>
          </w:p>
        </w:tc>
      </w:tr>
      <w:tr w:rsidR="00515AA8" w:rsidRPr="00D44B67"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FEI</w:t>
            </w:r>
          </w:p>
        </w:tc>
        <w:tc>
          <w:tcPr>
            <w:tcW w:w="112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455</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423</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0,93</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365</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0,80</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339</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0,93</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0,75</w:t>
            </w:r>
          </w:p>
        </w:tc>
      </w:tr>
      <w:tr w:rsidR="00515AA8" w:rsidRPr="00D44B67"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FCHPT</w:t>
            </w:r>
          </w:p>
        </w:tc>
        <w:tc>
          <w:tcPr>
            <w:tcW w:w="112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450</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378</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0,84</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289</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0,64</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265</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0,92</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0,59</w:t>
            </w:r>
          </w:p>
        </w:tc>
      </w:tr>
      <w:tr w:rsidR="00515AA8" w:rsidRPr="00D44B67"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FA</w:t>
            </w:r>
          </w:p>
        </w:tc>
        <w:tc>
          <w:tcPr>
            <w:tcW w:w="112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170</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181</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1,06</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156</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0,92</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147</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0,94</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0,86</w:t>
            </w:r>
          </w:p>
        </w:tc>
      </w:tr>
      <w:tr w:rsidR="00515AA8" w:rsidRPr="00D44B67" w:rsidTr="00CE307D">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515AA8" w:rsidRPr="00D44B67" w:rsidRDefault="00515AA8" w:rsidP="00CE307D">
            <w:pP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MTF</w:t>
            </w:r>
          </w:p>
        </w:tc>
        <w:tc>
          <w:tcPr>
            <w:tcW w:w="1120" w:type="dxa"/>
            <w:tcBorders>
              <w:top w:val="nil"/>
              <w:left w:val="nil"/>
              <w:bottom w:val="single" w:sz="4" w:space="0" w:color="auto"/>
              <w:right w:val="single" w:sz="4" w:space="0" w:color="auto"/>
            </w:tcBorders>
            <w:shd w:val="clear" w:color="000000" w:fill="FFFFFF"/>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655</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654</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1,00</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618</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0,94</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551</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0,89</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0,84</w:t>
            </w:r>
          </w:p>
        </w:tc>
      </w:tr>
      <w:tr w:rsidR="00515AA8" w:rsidRPr="00D44B67"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FIIT</w:t>
            </w:r>
          </w:p>
        </w:tc>
        <w:tc>
          <w:tcPr>
            <w:tcW w:w="112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160</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173</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1,08</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152</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0,95</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141</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0,93</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0,88</w:t>
            </w:r>
          </w:p>
        </w:tc>
      </w:tr>
      <w:tr w:rsidR="00515AA8" w:rsidRPr="00D44B67" w:rsidTr="00CE307D">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ÚM</w:t>
            </w:r>
          </w:p>
        </w:tc>
        <w:tc>
          <w:tcPr>
            <w:tcW w:w="112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50</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19</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0,38</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19</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0,38</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17</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0,89</w:t>
            </w:r>
          </w:p>
        </w:tc>
        <w:tc>
          <w:tcPr>
            <w:tcW w:w="96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0,34</w:t>
            </w:r>
          </w:p>
        </w:tc>
      </w:tr>
      <w:tr w:rsidR="00515AA8" w:rsidRPr="00D44B67" w:rsidTr="00CE307D">
        <w:trPr>
          <w:trHeight w:val="20"/>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STU</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2 675</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2 695</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1,01</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2 411</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0,90</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2 220</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0,92</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b/>
                <w:bCs/>
                <w:sz w:val="20"/>
                <w:szCs w:val="20"/>
                <w:lang w:eastAsia="sk-SK"/>
              </w:rPr>
            </w:pPr>
            <w:r w:rsidRPr="00D44B67">
              <w:rPr>
                <w:rFonts w:asciiTheme="minorHAnsi" w:eastAsia="Times New Roman" w:hAnsiTheme="minorHAnsi" w:cs="Arial"/>
                <w:b/>
                <w:bCs/>
                <w:sz w:val="20"/>
                <w:szCs w:val="20"/>
                <w:lang w:eastAsia="sk-SK"/>
              </w:rPr>
              <w:t>0,83</w:t>
            </w:r>
          </w:p>
        </w:tc>
      </w:tr>
    </w:tbl>
    <w:p w:rsidR="00515AA8" w:rsidRPr="00D44B67" w:rsidRDefault="00515AA8" w:rsidP="00515AA8">
      <w:pPr>
        <w:rPr>
          <w:rFonts w:asciiTheme="minorHAnsi" w:eastAsia="Times New Roman" w:hAnsiTheme="minorHAnsi" w:cs="Arial"/>
          <w:bCs/>
          <w:sz w:val="20"/>
          <w:szCs w:val="20"/>
          <w:lang w:eastAsia="sk-SK"/>
        </w:rPr>
      </w:pPr>
      <w:r w:rsidRPr="00D44B67">
        <w:rPr>
          <w:rFonts w:asciiTheme="minorHAnsi" w:eastAsia="Times New Roman" w:hAnsiTheme="minorHAnsi" w:cs="Arial"/>
          <w:bCs/>
          <w:sz w:val="20"/>
          <w:szCs w:val="20"/>
          <w:lang w:eastAsia="sk-SK"/>
        </w:rPr>
        <w:t xml:space="preserve">Vysvetlivky: </w:t>
      </w:r>
      <w:proofErr w:type="spellStart"/>
      <w:r w:rsidRPr="00D44B67">
        <w:rPr>
          <w:rFonts w:asciiTheme="minorHAnsi" w:eastAsia="Times New Roman" w:hAnsiTheme="minorHAnsi" w:cs="Arial"/>
          <w:bCs/>
          <w:sz w:val="20"/>
          <w:szCs w:val="20"/>
          <w:lang w:eastAsia="sk-SK"/>
        </w:rPr>
        <w:t>Pp</w:t>
      </w:r>
      <w:proofErr w:type="spellEnd"/>
      <w:r w:rsidRPr="00D44B67">
        <w:rPr>
          <w:rFonts w:asciiTheme="minorHAnsi" w:eastAsia="Times New Roman" w:hAnsiTheme="minorHAnsi" w:cs="Arial"/>
          <w:bCs/>
          <w:sz w:val="20"/>
          <w:szCs w:val="20"/>
          <w:lang w:eastAsia="sk-SK"/>
        </w:rPr>
        <w:t xml:space="preserve"> - plánované počty; </w:t>
      </w:r>
      <w:proofErr w:type="spellStart"/>
      <w:r w:rsidRPr="00D44B67">
        <w:rPr>
          <w:rFonts w:asciiTheme="minorHAnsi" w:eastAsia="Times New Roman" w:hAnsiTheme="minorHAnsi" w:cs="Arial"/>
          <w:bCs/>
          <w:sz w:val="20"/>
          <w:szCs w:val="20"/>
          <w:lang w:eastAsia="sk-SK"/>
        </w:rPr>
        <w:t>Ph</w:t>
      </w:r>
      <w:proofErr w:type="spellEnd"/>
      <w:r w:rsidRPr="00D44B67">
        <w:rPr>
          <w:rFonts w:asciiTheme="minorHAnsi" w:eastAsia="Times New Roman" w:hAnsiTheme="minorHAnsi" w:cs="Arial"/>
          <w:bCs/>
          <w:sz w:val="20"/>
          <w:szCs w:val="20"/>
          <w:lang w:eastAsia="sk-SK"/>
        </w:rPr>
        <w:t xml:space="preserve"> -prihlásení uchádzači; </w:t>
      </w:r>
      <w:proofErr w:type="spellStart"/>
      <w:r w:rsidRPr="00D44B67">
        <w:rPr>
          <w:rFonts w:asciiTheme="minorHAnsi" w:eastAsia="Times New Roman" w:hAnsiTheme="minorHAnsi" w:cs="Arial"/>
          <w:bCs/>
          <w:sz w:val="20"/>
          <w:szCs w:val="20"/>
          <w:lang w:eastAsia="sk-SK"/>
        </w:rPr>
        <w:t>Pr</w:t>
      </w:r>
      <w:proofErr w:type="spellEnd"/>
      <w:r w:rsidRPr="00D44B67">
        <w:rPr>
          <w:rFonts w:asciiTheme="minorHAnsi" w:eastAsia="Times New Roman" w:hAnsiTheme="minorHAnsi" w:cs="Arial"/>
          <w:bCs/>
          <w:sz w:val="20"/>
          <w:szCs w:val="20"/>
          <w:lang w:eastAsia="sk-SK"/>
        </w:rPr>
        <w:t xml:space="preserve"> - prijatí uchádzači; Z – zapísaní</w:t>
      </w:r>
    </w:p>
    <w:p w:rsidR="0005714D" w:rsidRPr="002D7A10" w:rsidRDefault="0005714D" w:rsidP="00515AA8">
      <w:pPr>
        <w:rPr>
          <w:rFonts w:asciiTheme="minorHAnsi" w:eastAsia="Calibri" w:hAnsiTheme="minorHAnsi" w:cs="Arial"/>
          <w:lang w:eastAsia="sk-SK"/>
        </w:rPr>
      </w:pPr>
    </w:p>
    <w:p w:rsidR="00264C03" w:rsidRPr="00D44B67" w:rsidRDefault="00515AA8" w:rsidP="00515AA8">
      <w:pPr>
        <w:rPr>
          <w:rFonts w:asciiTheme="minorHAnsi" w:hAnsiTheme="minorHAnsi" w:cs="Calibri"/>
          <w:sz w:val="20"/>
          <w:szCs w:val="20"/>
        </w:rPr>
      </w:pPr>
      <w:r w:rsidRPr="00D44B67">
        <w:rPr>
          <w:rFonts w:asciiTheme="minorHAnsi" w:hAnsiTheme="minorHAnsi" w:cs="Calibri"/>
          <w:b/>
          <w:sz w:val="20"/>
          <w:szCs w:val="20"/>
        </w:rPr>
        <w:t xml:space="preserve">Graf č. </w:t>
      </w:r>
      <w:r w:rsidR="007E431E" w:rsidRPr="00D44B67">
        <w:rPr>
          <w:rFonts w:asciiTheme="minorHAnsi" w:hAnsiTheme="minorHAnsi" w:cs="Calibri"/>
          <w:b/>
          <w:sz w:val="20"/>
          <w:szCs w:val="20"/>
        </w:rPr>
        <w:t>3.</w:t>
      </w:r>
      <w:r w:rsidRPr="00D44B67">
        <w:rPr>
          <w:rFonts w:asciiTheme="minorHAnsi" w:hAnsiTheme="minorHAnsi" w:cs="Calibri"/>
          <w:b/>
          <w:sz w:val="20"/>
          <w:szCs w:val="20"/>
        </w:rPr>
        <w:t xml:space="preserve">11: Pomer zapísaných k počtu prijatých uchádzačov na druhý stupeň štúdia za </w:t>
      </w:r>
      <w:r w:rsidR="0005714D">
        <w:rPr>
          <w:rFonts w:asciiTheme="minorHAnsi" w:hAnsiTheme="minorHAnsi" w:cs="Calibri"/>
          <w:b/>
          <w:sz w:val="20"/>
          <w:szCs w:val="20"/>
        </w:rPr>
        <w:t xml:space="preserve">5 </w:t>
      </w:r>
      <w:r w:rsidRPr="00D44B67">
        <w:rPr>
          <w:rFonts w:asciiTheme="minorHAnsi" w:hAnsiTheme="minorHAnsi" w:cs="Calibri"/>
          <w:b/>
          <w:sz w:val="20"/>
          <w:szCs w:val="20"/>
        </w:rPr>
        <w:t>rokov</w:t>
      </w:r>
      <w:r w:rsidRPr="00D44B67">
        <w:rPr>
          <w:rFonts w:asciiTheme="minorHAnsi" w:hAnsiTheme="minorHAnsi"/>
          <w:noProof/>
          <w:sz w:val="20"/>
          <w:szCs w:val="20"/>
          <w:lang w:eastAsia="sk-SK"/>
        </w:rPr>
        <w:drawing>
          <wp:inline distT="0" distB="0" distL="0" distR="0" wp14:anchorId="49396638" wp14:editId="3A13583F">
            <wp:extent cx="4562475" cy="2457450"/>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15AA8" w:rsidRPr="002D7A10" w:rsidRDefault="00515AA8" w:rsidP="00515AA8">
      <w:pPr>
        <w:rPr>
          <w:rFonts w:asciiTheme="minorHAnsi" w:hAnsiTheme="minorHAnsi" w:cs="Calibri"/>
        </w:rPr>
      </w:pPr>
      <w:r w:rsidRPr="002D7A10">
        <w:rPr>
          <w:rFonts w:asciiTheme="minorHAnsi" w:hAnsiTheme="minorHAnsi" w:cs="Calibri"/>
        </w:rPr>
        <w:lastRenderedPageBreak/>
        <w:t xml:space="preserve">Počet uchádzačov v rámci celej STU oproti predchádzajúcemu akad. roku </w:t>
      </w:r>
      <w:r w:rsidRPr="002D7A10">
        <w:rPr>
          <w:rFonts w:asciiTheme="minorHAnsi" w:hAnsiTheme="minorHAnsi" w:cs="Calibri"/>
          <w:shd w:val="clear" w:color="auto" w:fill="FFFFFF"/>
        </w:rPr>
        <w:t xml:space="preserve">klesol o 2,2 %. Jedným z dôvodov poklesu uchádzačov na druhom stupni štúdia je aj fakt, že pomerne veľa študentov STU (až 35 %) v poslednom roku štúdia na prvom stupni, ktorí sú potenciálnymi uchádzačmi o druhý stupeň štúdia, „zostáva“ v štúdiu a štúdium neskončia v štandardnej dĺžke štúdia, resp. skončia neúspešne - </w:t>
      </w:r>
      <w:r w:rsidR="007E431E" w:rsidRPr="002D7A10">
        <w:rPr>
          <w:rFonts w:asciiTheme="minorHAnsi" w:hAnsiTheme="minorHAnsi" w:cs="Calibri"/>
          <w:shd w:val="clear" w:color="auto" w:fill="FFFFFF"/>
        </w:rPr>
        <w:t>t</w:t>
      </w:r>
      <w:r w:rsidRPr="002D7A10">
        <w:rPr>
          <w:rFonts w:asciiTheme="minorHAnsi" w:hAnsiTheme="minorHAnsi" w:cs="Calibri"/>
          <w:shd w:val="clear" w:color="auto" w:fill="FFFFFF"/>
        </w:rPr>
        <w:t xml:space="preserve">abuľka č. </w:t>
      </w:r>
      <w:r w:rsidR="007E431E" w:rsidRPr="002D7A10">
        <w:rPr>
          <w:rFonts w:asciiTheme="minorHAnsi" w:hAnsiTheme="minorHAnsi" w:cs="Calibri"/>
          <w:shd w:val="clear" w:color="auto" w:fill="FFFFFF"/>
        </w:rPr>
        <w:t>3.</w:t>
      </w:r>
      <w:r w:rsidRPr="002D7A10">
        <w:rPr>
          <w:rFonts w:asciiTheme="minorHAnsi" w:hAnsiTheme="minorHAnsi" w:cs="Calibri"/>
          <w:shd w:val="clear" w:color="auto" w:fill="FFFFFF"/>
        </w:rPr>
        <w:t xml:space="preserve">19. </w:t>
      </w:r>
    </w:p>
    <w:p w:rsidR="00515AA8" w:rsidRPr="00D44B67" w:rsidRDefault="00515AA8" w:rsidP="00515AA8">
      <w:pPr>
        <w:rPr>
          <w:rFonts w:asciiTheme="minorHAnsi" w:hAnsiTheme="minorHAnsi" w:cs="Calibri"/>
          <w:sz w:val="20"/>
          <w:szCs w:val="20"/>
          <w:shd w:val="clear" w:color="auto" w:fill="FFFFFF"/>
        </w:rPr>
      </w:pPr>
    </w:p>
    <w:p w:rsidR="00515AA8" w:rsidRPr="00D44B67" w:rsidRDefault="00515AA8" w:rsidP="00515AA8">
      <w:pPr>
        <w:rPr>
          <w:rFonts w:asciiTheme="minorHAnsi" w:hAnsiTheme="minorHAnsi" w:cs="Calibri"/>
          <w:b/>
          <w:sz w:val="20"/>
          <w:szCs w:val="20"/>
        </w:rPr>
      </w:pPr>
      <w:r w:rsidRPr="00D44B67">
        <w:rPr>
          <w:rFonts w:asciiTheme="minorHAnsi" w:hAnsiTheme="minorHAnsi" w:cs="Calibri"/>
          <w:b/>
          <w:sz w:val="20"/>
          <w:szCs w:val="20"/>
        </w:rPr>
        <w:t xml:space="preserve">Tabuľka č. </w:t>
      </w:r>
      <w:r w:rsidR="007E431E" w:rsidRPr="00D44B67">
        <w:rPr>
          <w:rFonts w:asciiTheme="minorHAnsi" w:hAnsiTheme="minorHAnsi" w:cs="Calibri"/>
          <w:b/>
          <w:sz w:val="20"/>
          <w:szCs w:val="20"/>
        </w:rPr>
        <w:t>3.</w:t>
      </w:r>
      <w:r w:rsidRPr="00D44B67">
        <w:rPr>
          <w:rFonts w:asciiTheme="minorHAnsi" w:hAnsiTheme="minorHAnsi" w:cs="Calibri"/>
          <w:b/>
          <w:sz w:val="20"/>
          <w:szCs w:val="20"/>
        </w:rPr>
        <w:t>19: Prehľad počtu študentov v poslednom roku prvého stupňa štúdia, ktorí štúdium v danom roku neskončili</w:t>
      </w:r>
    </w:p>
    <w:tbl>
      <w:tblPr>
        <w:tblW w:w="7760" w:type="dxa"/>
        <w:tblInd w:w="55" w:type="dxa"/>
        <w:tblCellMar>
          <w:left w:w="70" w:type="dxa"/>
          <w:right w:w="70" w:type="dxa"/>
        </w:tblCellMar>
        <w:tblLook w:val="04A0" w:firstRow="1" w:lastRow="0" w:firstColumn="1" w:lastColumn="0" w:noHBand="0" w:noVBand="1"/>
      </w:tblPr>
      <w:tblGrid>
        <w:gridCol w:w="1120"/>
        <w:gridCol w:w="2680"/>
        <w:gridCol w:w="3000"/>
        <w:gridCol w:w="960"/>
      </w:tblGrid>
      <w:tr w:rsidR="00515AA8" w:rsidRPr="00D44B67" w:rsidTr="00CE307D">
        <w:trPr>
          <w:trHeight w:val="87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akad. rok</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Počet študentov v poslednom roku štúdia k 31. 10.</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 xml:space="preserve">Počet študentov, ktorí neskončili štúdium alebo skončili neúspešne k 31. 8.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w:t>
            </w:r>
          </w:p>
        </w:tc>
      </w:tr>
      <w:tr w:rsidR="00515AA8" w:rsidRPr="00D44B67" w:rsidTr="00CE307D">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2010/2011</w:t>
            </w:r>
          </w:p>
        </w:tc>
        <w:tc>
          <w:tcPr>
            <w:tcW w:w="268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2 981</w:t>
            </w:r>
          </w:p>
        </w:tc>
        <w:tc>
          <w:tcPr>
            <w:tcW w:w="300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842</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28,2</w:t>
            </w:r>
          </w:p>
        </w:tc>
      </w:tr>
      <w:tr w:rsidR="00515AA8" w:rsidRPr="00D44B67" w:rsidTr="00CE307D">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2011/2012</w:t>
            </w:r>
          </w:p>
        </w:tc>
        <w:tc>
          <w:tcPr>
            <w:tcW w:w="268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3 070</w:t>
            </w:r>
          </w:p>
        </w:tc>
        <w:tc>
          <w:tcPr>
            <w:tcW w:w="300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925</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30,1</w:t>
            </w:r>
          </w:p>
        </w:tc>
      </w:tr>
      <w:tr w:rsidR="00515AA8" w:rsidRPr="00D44B67" w:rsidTr="00CE307D">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2012/2013</w:t>
            </w:r>
          </w:p>
        </w:tc>
        <w:tc>
          <w:tcPr>
            <w:tcW w:w="268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2 937</w:t>
            </w:r>
          </w:p>
        </w:tc>
        <w:tc>
          <w:tcPr>
            <w:tcW w:w="300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914</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31,1</w:t>
            </w:r>
          </w:p>
        </w:tc>
      </w:tr>
      <w:tr w:rsidR="00515AA8" w:rsidRPr="00D44B67" w:rsidTr="00CE307D">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2013/2014</w:t>
            </w:r>
          </w:p>
        </w:tc>
        <w:tc>
          <w:tcPr>
            <w:tcW w:w="268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2 913</w:t>
            </w:r>
          </w:p>
        </w:tc>
        <w:tc>
          <w:tcPr>
            <w:tcW w:w="300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974</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33,4</w:t>
            </w:r>
          </w:p>
        </w:tc>
      </w:tr>
      <w:tr w:rsidR="00515AA8" w:rsidRPr="00D44B67" w:rsidTr="00CE307D">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2014/2015</w:t>
            </w:r>
          </w:p>
        </w:tc>
        <w:tc>
          <w:tcPr>
            <w:tcW w:w="268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3 106</w:t>
            </w:r>
          </w:p>
        </w:tc>
        <w:tc>
          <w:tcPr>
            <w:tcW w:w="3000" w:type="dxa"/>
            <w:tcBorders>
              <w:top w:val="nil"/>
              <w:left w:val="nil"/>
              <w:bottom w:val="single" w:sz="4" w:space="0" w:color="auto"/>
              <w:right w:val="single" w:sz="4" w:space="0" w:color="auto"/>
            </w:tcBorders>
            <w:shd w:val="clear" w:color="auto" w:fill="auto"/>
            <w:noWrap/>
            <w:vAlign w:val="bottom"/>
            <w:hideMark/>
          </w:tcPr>
          <w:p w:rsidR="00515AA8" w:rsidRPr="00D44B67" w:rsidRDefault="00515AA8" w:rsidP="00CE307D">
            <w:pPr>
              <w:jc w:val="center"/>
              <w:rPr>
                <w:rFonts w:asciiTheme="minorHAnsi" w:eastAsia="Times New Roman" w:hAnsiTheme="minorHAnsi" w:cs="Arial"/>
                <w:sz w:val="20"/>
                <w:szCs w:val="20"/>
                <w:lang w:eastAsia="sk-SK"/>
              </w:rPr>
            </w:pPr>
            <w:r w:rsidRPr="00D44B67">
              <w:rPr>
                <w:rFonts w:asciiTheme="minorHAnsi" w:eastAsia="Times New Roman" w:hAnsiTheme="minorHAnsi" w:cs="Arial"/>
                <w:sz w:val="20"/>
                <w:szCs w:val="20"/>
                <w:lang w:eastAsia="sk-SK"/>
              </w:rPr>
              <w:t>1 094</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515AA8" w:rsidRPr="00D44B67" w:rsidRDefault="00515AA8" w:rsidP="00CE307D">
            <w:pPr>
              <w:jc w:val="center"/>
              <w:rPr>
                <w:rFonts w:asciiTheme="minorHAnsi" w:eastAsia="Times New Roman" w:hAnsiTheme="minorHAnsi" w:cs="Arial"/>
                <w:b/>
                <w:sz w:val="20"/>
                <w:szCs w:val="20"/>
                <w:lang w:eastAsia="sk-SK"/>
              </w:rPr>
            </w:pPr>
            <w:r w:rsidRPr="00D44B67">
              <w:rPr>
                <w:rFonts w:asciiTheme="minorHAnsi" w:eastAsia="Times New Roman" w:hAnsiTheme="minorHAnsi" w:cs="Arial"/>
                <w:b/>
                <w:sz w:val="20"/>
                <w:szCs w:val="20"/>
                <w:lang w:eastAsia="sk-SK"/>
              </w:rPr>
              <w:t>35,2</w:t>
            </w:r>
          </w:p>
        </w:tc>
      </w:tr>
    </w:tbl>
    <w:p w:rsidR="005116BA" w:rsidRPr="002D7A10" w:rsidRDefault="005116BA" w:rsidP="00515AA8">
      <w:pPr>
        <w:rPr>
          <w:rFonts w:asciiTheme="minorHAnsi" w:hAnsiTheme="minorHAnsi" w:cs="Calibri"/>
        </w:rPr>
      </w:pPr>
    </w:p>
    <w:p w:rsidR="00515AA8" w:rsidRPr="002D7A10" w:rsidRDefault="00515AA8" w:rsidP="00515AA8">
      <w:pPr>
        <w:rPr>
          <w:rFonts w:asciiTheme="minorHAnsi" w:hAnsiTheme="minorHAnsi" w:cs="Calibri"/>
          <w:shd w:val="clear" w:color="auto" w:fill="FFFFFF"/>
        </w:rPr>
      </w:pPr>
      <w:r w:rsidRPr="002D7A10">
        <w:rPr>
          <w:rFonts w:asciiTheme="minorHAnsi" w:hAnsiTheme="minorHAnsi" w:cs="Calibri"/>
        </w:rPr>
        <w:t xml:space="preserve">Klesajúci je aj počet „cudzích“ absolventov uchádzajúcich sa o druhý stupeň štúdia na súčastiach STU </w:t>
      </w:r>
      <w:r w:rsidRPr="002D7A10">
        <w:rPr>
          <w:rFonts w:asciiTheme="minorHAnsi" w:hAnsiTheme="minorHAnsi" w:cs="Calibri"/>
          <w:shd w:val="clear" w:color="auto" w:fill="FFFFFF"/>
        </w:rPr>
        <w:t xml:space="preserve">– </w:t>
      </w:r>
      <w:r w:rsidR="007E431E" w:rsidRPr="002D7A10">
        <w:rPr>
          <w:rFonts w:asciiTheme="minorHAnsi" w:hAnsiTheme="minorHAnsi" w:cs="Calibri"/>
          <w:shd w:val="clear" w:color="auto" w:fill="FFFFFF"/>
        </w:rPr>
        <w:t>t</w:t>
      </w:r>
      <w:r w:rsidRPr="002D7A10">
        <w:rPr>
          <w:rFonts w:asciiTheme="minorHAnsi" w:hAnsiTheme="minorHAnsi" w:cs="Calibri"/>
          <w:shd w:val="clear" w:color="auto" w:fill="FFFFFF"/>
        </w:rPr>
        <w:t xml:space="preserve">abuľka č. </w:t>
      </w:r>
      <w:r w:rsidR="007E431E" w:rsidRPr="002D7A10">
        <w:rPr>
          <w:rFonts w:asciiTheme="minorHAnsi" w:hAnsiTheme="minorHAnsi" w:cs="Calibri"/>
          <w:shd w:val="clear" w:color="auto" w:fill="FFFFFF"/>
        </w:rPr>
        <w:t>3.</w:t>
      </w:r>
      <w:r w:rsidRPr="002D7A10">
        <w:rPr>
          <w:rFonts w:asciiTheme="minorHAnsi" w:hAnsiTheme="minorHAnsi" w:cs="Calibri"/>
          <w:shd w:val="clear" w:color="auto" w:fill="FFFFFF"/>
        </w:rPr>
        <w:t xml:space="preserve">20. </w:t>
      </w:r>
    </w:p>
    <w:p w:rsidR="00515AA8" w:rsidRPr="00505861" w:rsidRDefault="00515AA8" w:rsidP="00515AA8">
      <w:pPr>
        <w:rPr>
          <w:rFonts w:asciiTheme="minorHAnsi" w:hAnsiTheme="minorHAnsi" w:cs="Calibri"/>
          <w:sz w:val="20"/>
          <w:szCs w:val="20"/>
          <w:shd w:val="clear" w:color="auto" w:fill="FFFFFF"/>
        </w:rPr>
      </w:pPr>
    </w:p>
    <w:p w:rsidR="00515AA8" w:rsidRPr="00505861" w:rsidRDefault="00515AA8" w:rsidP="00515AA8">
      <w:pP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Tabuľka č.</w:t>
      </w:r>
      <w:r w:rsidR="007E431E" w:rsidRPr="00505861">
        <w:rPr>
          <w:rFonts w:asciiTheme="minorHAnsi" w:eastAsia="Times New Roman" w:hAnsiTheme="minorHAnsi" w:cs="Arial"/>
          <w:b/>
          <w:sz w:val="20"/>
          <w:szCs w:val="20"/>
          <w:lang w:eastAsia="sk-SK"/>
        </w:rPr>
        <w:t>3.</w:t>
      </w:r>
      <w:r w:rsidRPr="00505861">
        <w:rPr>
          <w:rFonts w:asciiTheme="minorHAnsi" w:eastAsia="Times New Roman" w:hAnsiTheme="minorHAnsi" w:cs="Arial"/>
          <w:b/>
          <w:sz w:val="20"/>
          <w:szCs w:val="20"/>
          <w:lang w:eastAsia="sk-SK"/>
        </w:rPr>
        <w:t>20: Prijímacie konanie na druhý stupeň štúdia - uchádzači z iných VŠ</w:t>
      </w:r>
    </w:p>
    <w:tbl>
      <w:tblPr>
        <w:tblW w:w="9513" w:type="dxa"/>
        <w:tblInd w:w="55" w:type="dxa"/>
        <w:tblLayout w:type="fixed"/>
        <w:tblCellMar>
          <w:left w:w="70" w:type="dxa"/>
          <w:right w:w="70" w:type="dxa"/>
        </w:tblCellMar>
        <w:tblLook w:val="04A0" w:firstRow="1" w:lastRow="0" w:firstColumn="1" w:lastColumn="0" w:noHBand="0" w:noVBand="1"/>
      </w:tblPr>
      <w:tblGrid>
        <w:gridCol w:w="1291"/>
        <w:gridCol w:w="1134"/>
        <w:gridCol w:w="1985"/>
        <w:gridCol w:w="1275"/>
        <w:gridCol w:w="1276"/>
        <w:gridCol w:w="1276"/>
        <w:gridCol w:w="1276"/>
      </w:tblGrid>
      <w:tr w:rsidR="00515AA8" w:rsidRPr="00505861" w:rsidTr="00CE307D">
        <w:trPr>
          <w:trHeight w:val="61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akad. rok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Prihlásení</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z toho prihlásení mimo STU</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Prijatí</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Zapísaní z STU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Zapísaní z iných VŠ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Spolu zapísaní</w:t>
            </w:r>
          </w:p>
        </w:tc>
      </w:tr>
      <w:tr w:rsidR="00515AA8" w:rsidRPr="00505861" w:rsidTr="00CE307D">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2011/2012</w:t>
            </w:r>
          </w:p>
        </w:tc>
        <w:tc>
          <w:tcPr>
            <w:tcW w:w="1134"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3 179</w:t>
            </w:r>
          </w:p>
        </w:tc>
        <w:tc>
          <w:tcPr>
            <w:tcW w:w="1985"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542</w:t>
            </w:r>
          </w:p>
        </w:tc>
        <w:tc>
          <w:tcPr>
            <w:tcW w:w="1275"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2 696</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2 098</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336</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2 434</w:t>
            </w:r>
          </w:p>
        </w:tc>
      </w:tr>
      <w:tr w:rsidR="00515AA8" w:rsidRPr="00505861" w:rsidTr="00CE307D">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2012/2013</w:t>
            </w:r>
          </w:p>
        </w:tc>
        <w:tc>
          <w:tcPr>
            <w:tcW w:w="1134"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2 852</w:t>
            </w:r>
          </w:p>
        </w:tc>
        <w:tc>
          <w:tcPr>
            <w:tcW w:w="1985"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482</w:t>
            </w:r>
          </w:p>
        </w:tc>
        <w:tc>
          <w:tcPr>
            <w:tcW w:w="1275"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2 452</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2 020</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225</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2 245</w:t>
            </w:r>
          </w:p>
        </w:tc>
      </w:tr>
      <w:tr w:rsidR="00515AA8" w:rsidRPr="00505861" w:rsidTr="00CE307D">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2013/2014</w:t>
            </w:r>
          </w:p>
        </w:tc>
        <w:tc>
          <w:tcPr>
            <w:tcW w:w="1134"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2 692</w:t>
            </w:r>
          </w:p>
        </w:tc>
        <w:tc>
          <w:tcPr>
            <w:tcW w:w="1985"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419</w:t>
            </w:r>
          </w:p>
        </w:tc>
        <w:tc>
          <w:tcPr>
            <w:tcW w:w="1275"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2 348</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1 955</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198</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2 153</w:t>
            </w:r>
          </w:p>
        </w:tc>
      </w:tr>
      <w:tr w:rsidR="00515AA8" w:rsidRPr="00505861" w:rsidTr="00CE307D">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2014/2015</w:t>
            </w:r>
          </w:p>
        </w:tc>
        <w:tc>
          <w:tcPr>
            <w:tcW w:w="1134"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2 637</w:t>
            </w:r>
          </w:p>
        </w:tc>
        <w:tc>
          <w:tcPr>
            <w:tcW w:w="1985"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289</w:t>
            </w:r>
          </w:p>
        </w:tc>
        <w:tc>
          <w:tcPr>
            <w:tcW w:w="1275"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2 319</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1 920</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164</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2 084</w:t>
            </w:r>
          </w:p>
        </w:tc>
      </w:tr>
      <w:tr w:rsidR="00515AA8" w:rsidRPr="00505861" w:rsidTr="00CE307D">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2015/2016</w:t>
            </w:r>
          </w:p>
        </w:tc>
        <w:tc>
          <w:tcPr>
            <w:tcW w:w="1134"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2 695</w:t>
            </w:r>
          </w:p>
        </w:tc>
        <w:tc>
          <w:tcPr>
            <w:tcW w:w="1985"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217</w:t>
            </w:r>
          </w:p>
        </w:tc>
        <w:tc>
          <w:tcPr>
            <w:tcW w:w="1275"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2 411</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2 077</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143</w:t>
            </w:r>
          </w:p>
        </w:tc>
        <w:tc>
          <w:tcPr>
            <w:tcW w:w="1276" w:type="dxa"/>
            <w:tcBorders>
              <w:top w:val="nil"/>
              <w:left w:val="nil"/>
              <w:bottom w:val="single" w:sz="4" w:space="0" w:color="auto"/>
              <w:right w:val="single" w:sz="4" w:space="0" w:color="auto"/>
            </w:tcBorders>
            <w:shd w:val="clear" w:color="auto" w:fill="auto"/>
            <w:noWrap/>
            <w:vAlign w:val="bottom"/>
            <w:hideMark/>
          </w:tcPr>
          <w:p w:rsidR="00515AA8" w:rsidRPr="00505861" w:rsidRDefault="00515AA8"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2 220</w:t>
            </w:r>
          </w:p>
        </w:tc>
      </w:tr>
    </w:tbl>
    <w:p w:rsidR="00515AA8" w:rsidRPr="00505861" w:rsidRDefault="00515AA8" w:rsidP="00515AA8">
      <w:pPr>
        <w:rPr>
          <w:rFonts w:asciiTheme="minorHAnsi" w:eastAsia="Times New Roman" w:hAnsiTheme="minorHAnsi" w:cs="Arial"/>
          <w:sz w:val="20"/>
          <w:szCs w:val="20"/>
          <w:lang w:eastAsia="sk-SK"/>
        </w:rPr>
      </w:pPr>
    </w:p>
    <w:p w:rsidR="0005714D" w:rsidRDefault="0005714D" w:rsidP="008230A0">
      <w:pPr>
        <w:spacing w:after="120"/>
        <w:rPr>
          <w:rFonts w:asciiTheme="minorHAnsi" w:hAnsiTheme="minorHAnsi" w:cs="Calibri"/>
        </w:rPr>
      </w:pPr>
    </w:p>
    <w:p w:rsidR="00515AA8" w:rsidRPr="002D7A10" w:rsidRDefault="00515AA8" w:rsidP="008230A0">
      <w:pPr>
        <w:spacing w:after="120"/>
        <w:rPr>
          <w:rFonts w:asciiTheme="minorHAnsi" w:hAnsiTheme="minorHAnsi" w:cs="Calibri"/>
        </w:rPr>
      </w:pPr>
      <w:r w:rsidRPr="002D7A10">
        <w:rPr>
          <w:rFonts w:asciiTheme="minorHAnsi" w:hAnsiTheme="minorHAnsi" w:cs="Calibri"/>
        </w:rPr>
        <w:t>Vo všeobecnosti je podmienkou prijatia na každý študijný program druhého stupňa štúdia na STU prijímacia skúška, ktor</w:t>
      </w:r>
      <w:r w:rsidR="008230A0" w:rsidRPr="002D7A10">
        <w:rPr>
          <w:rFonts w:asciiTheme="minorHAnsi" w:hAnsiTheme="minorHAnsi" w:cs="Calibri"/>
        </w:rPr>
        <w:t>ú</w:t>
      </w:r>
      <w:r w:rsidRPr="002D7A10">
        <w:rPr>
          <w:rFonts w:asciiTheme="minorHAnsi" w:hAnsiTheme="minorHAnsi" w:cs="Calibri"/>
        </w:rPr>
        <w:t xml:space="preserve"> však </w:t>
      </w:r>
      <w:r w:rsidR="008230A0" w:rsidRPr="002D7A10">
        <w:rPr>
          <w:rFonts w:asciiTheme="minorHAnsi" w:hAnsiTheme="minorHAnsi" w:cs="Calibri"/>
        </w:rPr>
        <w:t>možno uchádzačovi odpustiť</w:t>
      </w:r>
      <w:r w:rsidRPr="002D7A10">
        <w:rPr>
          <w:rFonts w:asciiTheme="minorHAnsi" w:hAnsiTheme="minorHAnsi" w:cs="Calibri"/>
        </w:rPr>
        <w:t>, ak sa prihlásil na nadväzujúci študijný program na fakulte a/alebo dosiahol na prvom stupni štúdia stanovený študijný priemer. Absolventi prvého stupňa štúdia z iných vysokých škôl spravidla absolvovali prijímaciu skúšku. Prijímacie skúšky prebiehali formou písomných testov, ústnych p</w:t>
      </w:r>
      <w:r w:rsidR="008230A0" w:rsidRPr="002D7A10">
        <w:rPr>
          <w:rFonts w:asciiTheme="minorHAnsi" w:hAnsiTheme="minorHAnsi" w:cs="Calibri"/>
        </w:rPr>
        <w:t xml:space="preserve">ohovorov alebo ich kombináciou. </w:t>
      </w:r>
      <w:r w:rsidRPr="002D7A10">
        <w:rPr>
          <w:rFonts w:asciiTheme="minorHAnsi" w:hAnsiTheme="minorHAnsi" w:cs="Calibri"/>
          <w:shd w:val="clear" w:color="auto" w:fill="FFFFFF"/>
        </w:rPr>
        <w:t xml:space="preserve">Prijímacie konanie na súčastiach univerzity sa konalo </w:t>
      </w:r>
      <w:proofErr w:type="spellStart"/>
      <w:r w:rsidRPr="002D7A10">
        <w:rPr>
          <w:rFonts w:asciiTheme="minorHAnsi" w:hAnsiTheme="minorHAnsi" w:cs="Calibri"/>
          <w:shd w:val="clear" w:color="auto" w:fill="FFFFFF"/>
        </w:rPr>
        <w:t>jednokolovo</w:t>
      </w:r>
      <w:proofErr w:type="spellEnd"/>
      <w:r w:rsidRPr="002D7A10">
        <w:rPr>
          <w:rFonts w:asciiTheme="minorHAnsi" w:hAnsiTheme="minorHAnsi" w:cs="Calibri"/>
          <w:shd w:val="clear" w:color="auto" w:fill="FFFFFF"/>
        </w:rPr>
        <w:t xml:space="preserve"> okrem SvF, SjF, FEI a ÚM.</w:t>
      </w:r>
      <w:r w:rsidR="008230A0" w:rsidRPr="002D7A10">
        <w:rPr>
          <w:rFonts w:asciiTheme="minorHAnsi" w:hAnsiTheme="minorHAnsi" w:cs="Calibri"/>
        </w:rPr>
        <w:t xml:space="preserve"> </w:t>
      </w:r>
      <w:r w:rsidRPr="002D7A10">
        <w:rPr>
          <w:rFonts w:asciiTheme="minorHAnsi" w:hAnsiTheme="minorHAnsi" w:cs="Calibri"/>
        </w:rPr>
        <w:t xml:space="preserve">Na žiadnej zo súčastí STU sa neprijímalo na externú formu štúdia. </w:t>
      </w:r>
    </w:p>
    <w:p w:rsidR="00B51749" w:rsidRPr="002D7A10" w:rsidRDefault="00B51749" w:rsidP="00B51749">
      <w:pPr>
        <w:rPr>
          <w:rFonts w:asciiTheme="minorHAnsi" w:hAnsiTheme="minorHAnsi"/>
          <w:color w:val="FF0000"/>
        </w:rPr>
      </w:pPr>
    </w:p>
    <w:p w:rsidR="00B51749" w:rsidRPr="002D7A10" w:rsidRDefault="00B51749" w:rsidP="00B51749">
      <w:pPr>
        <w:rPr>
          <w:rFonts w:asciiTheme="minorHAnsi" w:hAnsiTheme="minorHAnsi"/>
          <w:b/>
          <w:color w:val="FF0000"/>
          <w:shd w:val="clear" w:color="auto" w:fill="FFFFFF"/>
        </w:rPr>
      </w:pPr>
    </w:p>
    <w:p w:rsidR="00B51749" w:rsidRPr="002D7A10" w:rsidRDefault="00B51749" w:rsidP="00B51749">
      <w:pPr>
        <w:pStyle w:val="Nadpis3"/>
        <w:rPr>
          <w:rFonts w:asciiTheme="minorHAnsi" w:hAnsiTheme="minorHAnsi"/>
          <w:color w:val="auto"/>
        </w:rPr>
      </w:pPr>
      <w:bookmarkStart w:id="16" w:name="_Toc448261559"/>
      <w:r w:rsidRPr="002D7A10">
        <w:rPr>
          <w:rFonts w:asciiTheme="minorHAnsi" w:hAnsiTheme="minorHAnsi"/>
          <w:color w:val="auto"/>
        </w:rPr>
        <w:t>Prijímacie konanie na tretí stupeň štúdia</w:t>
      </w:r>
      <w:bookmarkEnd w:id="16"/>
    </w:p>
    <w:p w:rsidR="00B51749" w:rsidRPr="002D7A10" w:rsidRDefault="00B51749" w:rsidP="00B51749">
      <w:pPr>
        <w:rPr>
          <w:rFonts w:asciiTheme="minorHAnsi" w:hAnsiTheme="minorHAnsi"/>
          <w:color w:val="FF0000"/>
        </w:rPr>
      </w:pPr>
    </w:p>
    <w:p w:rsidR="002170CC" w:rsidRPr="002D7A10" w:rsidRDefault="002170CC" w:rsidP="002170CC">
      <w:pPr>
        <w:rPr>
          <w:rFonts w:asciiTheme="minorHAnsi" w:hAnsiTheme="minorHAnsi" w:cs="Calibri"/>
        </w:rPr>
      </w:pPr>
      <w:r w:rsidRPr="002D7A10">
        <w:rPr>
          <w:rFonts w:asciiTheme="minorHAnsi" w:hAnsiTheme="minorHAnsi" w:cs="Calibri"/>
        </w:rPr>
        <w:t xml:space="preserve">Na tretí stupeň štúdia bolo v akad. roku 2015/2016 plánované prijať celkovo 244 uchádzačov v dennej forme štúdia (DF) a 117 uchádzačov v externej forme štúdia </w:t>
      </w:r>
      <w:r w:rsidRPr="002D7A10">
        <w:rPr>
          <w:rFonts w:asciiTheme="minorHAnsi" w:hAnsiTheme="minorHAnsi" w:cs="Calibri"/>
        </w:rPr>
        <w:lastRenderedPageBreak/>
        <w:t xml:space="preserve">(EF); prihlásených bolo 226 uchádzačov v DF a 58 uchádzačov v EF; z toho bolo prijatých 163 uchádzačov v DF a 53 uchádzačov v EF. Spolu na </w:t>
      </w:r>
      <w:r w:rsidRPr="002D7A10">
        <w:rPr>
          <w:rFonts w:asciiTheme="minorHAnsi" w:hAnsiTheme="minorHAnsi" w:cs="Calibri"/>
          <w:b/>
        </w:rPr>
        <w:t>treťom stupni štúdia</w:t>
      </w:r>
      <w:r w:rsidRPr="002D7A10">
        <w:rPr>
          <w:rFonts w:asciiTheme="minorHAnsi" w:hAnsiTheme="minorHAnsi" w:cs="Calibri"/>
        </w:rPr>
        <w:t xml:space="preserve"> na STU vrátane tém vypísaných externými vzdelávacími inštitúciami</w:t>
      </w:r>
      <w:r w:rsidRPr="002D7A10">
        <w:rPr>
          <w:rFonts w:asciiTheme="minorHAnsi" w:hAnsiTheme="minorHAnsi" w:cs="Calibri"/>
          <w:b/>
        </w:rPr>
        <w:t xml:space="preserve"> </w:t>
      </w:r>
      <w:r w:rsidRPr="002D7A10">
        <w:rPr>
          <w:rFonts w:asciiTheme="minorHAnsi" w:hAnsiTheme="minorHAnsi" w:cs="Calibri"/>
        </w:rPr>
        <w:t>(EVI) sa</w:t>
      </w:r>
      <w:r w:rsidRPr="002D7A10">
        <w:rPr>
          <w:rFonts w:asciiTheme="minorHAnsi" w:hAnsiTheme="minorHAnsi" w:cs="Calibri"/>
          <w:b/>
        </w:rPr>
        <w:t xml:space="preserve"> na štúdium v akad. roku 2015/2016 celkovo zapísalo 199 prijatých uchádzačov – z toho 149 v DF a 50 v EF.</w:t>
      </w:r>
      <w:r w:rsidRPr="002D7A10">
        <w:rPr>
          <w:rFonts w:asciiTheme="minorHAnsi" w:hAnsiTheme="minorHAnsi" w:cs="Calibri"/>
        </w:rPr>
        <w:t xml:space="preserve"> Prehľad prijímacieho konania na tretí stupeň štúdia je uvedený v</w:t>
      </w:r>
      <w:r w:rsidR="007E431E" w:rsidRPr="002D7A10">
        <w:rPr>
          <w:rFonts w:asciiTheme="minorHAnsi" w:hAnsiTheme="minorHAnsi" w:cs="Calibri"/>
        </w:rPr>
        <w:t xml:space="preserve"> t</w:t>
      </w:r>
      <w:r w:rsidRPr="002D7A10">
        <w:rPr>
          <w:rFonts w:asciiTheme="minorHAnsi" w:hAnsiTheme="minorHAnsi" w:cs="Calibri"/>
        </w:rPr>
        <w:t xml:space="preserve">abuľke č. </w:t>
      </w:r>
      <w:r w:rsidR="007E431E" w:rsidRPr="002D7A10">
        <w:rPr>
          <w:rFonts w:asciiTheme="minorHAnsi" w:hAnsiTheme="minorHAnsi" w:cs="Calibri"/>
        </w:rPr>
        <w:t>3.</w:t>
      </w:r>
      <w:r w:rsidRPr="002D7A10">
        <w:rPr>
          <w:rFonts w:asciiTheme="minorHAnsi" w:hAnsiTheme="minorHAnsi" w:cs="Calibri"/>
        </w:rPr>
        <w:t>21.</w:t>
      </w:r>
    </w:p>
    <w:p w:rsidR="008230A0" w:rsidRPr="00505861" w:rsidRDefault="008230A0" w:rsidP="002170CC">
      <w:pPr>
        <w:rPr>
          <w:rFonts w:asciiTheme="minorHAnsi" w:hAnsiTheme="minorHAnsi" w:cs="Calibri"/>
          <w:sz w:val="20"/>
          <w:szCs w:val="20"/>
        </w:rPr>
      </w:pPr>
    </w:p>
    <w:p w:rsidR="002170CC" w:rsidRPr="00505861" w:rsidRDefault="002170CC" w:rsidP="002170CC">
      <w:pPr>
        <w:rPr>
          <w:rFonts w:asciiTheme="minorHAnsi" w:hAnsiTheme="minorHAnsi" w:cs="Calibri"/>
          <w:sz w:val="20"/>
          <w:szCs w:val="20"/>
        </w:rPr>
      </w:pPr>
      <w:r w:rsidRPr="00505861">
        <w:rPr>
          <w:rFonts w:asciiTheme="minorHAnsi" w:hAnsiTheme="minorHAnsi" w:cs="Calibri"/>
          <w:b/>
          <w:sz w:val="20"/>
          <w:szCs w:val="20"/>
        </w:rPr>
        <w:t xml:space="preserve">Tabuľka č. </w:t>
      </w:r>
      <w:r w:rsidR="007E431E" w:rsidRPr="00505861">
        <w:rPr>
          <w:rFonts w:asciiTheme="minorHAnsi" w:hAnsiTheme="minorHAnsi" w:cs="Calibri"/>
          <w:b/>
          <w:sz w:val="20"/>
          <w:szCs w:val="20"/>
        </w:rPr>
        <w:t>3.</w:t>
      </w:r>
      <w:r w:rsidRPr="00505861">
        <w:rPr>
          <w:rFonts w:asciiTheme="minorHAnsi" w:hAnsiTheme="minorHAnsi" w:cs="Calibri"/>
          <w:b/>
          <w:sz w:val="20"/>
          <w:szCs w:val="20"/>
        </w:rPr>
        <w:t>21: Prehľad prijímacieho konania na treťom stupni štúdia na akad. rok 2015/2016</w:t>
      </w:r>
    </w:p>
    <w:tbl>
      <w:tblPr>
        <w:tblW w:w="9371" w:type="dxa"/>
        <w:tblInd w:w="55" w:type="dxa"/>
        <w:tblLayout w:type="fixed"/>
        <w:tblCellMar>
          <w:left w:w="70" w:type="dxa"/>
          <w:right w:w="70" w:type="dxa"/>
        </w:tblCellMar>
        <w:tblLook w:val="04A0" w:firstRow="1" w:lastRow="0" w:firstColumn="1" w:lastColumn="0" w:noHBand="0" w:noVBand="1"/>
      </w:tblPr>
      <w:tblGrid>
        <w:gridCol w:w="840"/>
        <w:gridCol w:w="760"/>
        <w:gridCol w:w="760"/>
        <w:gridCol w:w="761"/>
        <w:gridCol w:w="760"/>
        <w:gridCol w:w="760"/>
        <w:gridCol w:w="761"/>
        <w:gridCol w:w="850"/>
        <w:gridCol w:w="709"/>
        <w:gridCol w:w="992"/>
        <w:gridCol w:w="567"/>
        <w:gridCol w:w="851"/>
      </w:tblGrid>
      <w:tr w:rsidR="002170CC" w:rsidRPr="00505861" w:rsidTr="00CE307D">
        <w:trPr>
          <w:trHeight w:val="20"/>
        </w:trPr>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70CC" w:rsidRPr="00505861" w:rsidRDefault="002170CC" w:rsidP="00CE307D">
            <w:pP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Fakulta</w:t>
            </w:r>
          </w:p>
        </w:tc>
        <w:tc>
          <w:tcPr>
            <w:tcW w:w="22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Prihlásení</w:t>
            </w:r>
          </w:p>
        </w:tc>
        <w:tc>
          <w:tcPr>
            <w:tcW w:w="22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Prijatí</w:t>
            </w:r>
          </w:p>
        </w:tc>
        <w:tc>
          <w:tcPr>
            <w:tcW w:w="3969" w:type="dxa"/>
            <w:gridSpan w:val="5"/>
            <w:tcBorders>
              <w:top w:val="single" w:sz="4" w:space="0" w:color="auto"/>
              <w:left w:val="nil"/>
              <w:bottom w:val="single" w:sz="4" w:space="0" w:color="auto"/>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Zapísaní</w:t>
            </w:r>
          </w:p>
        </w:tc>
      </w:tr>
      <w:tr w:rsidR="002170CC" w:rsidRPr="00505861" w:rsidTr="00CE307D">
        <w:trPr>
          <w:trHeight w:val="20"/>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2170CC" w:rsidRPr="00505861" w:rsidRDefault="002170CC" w:rsidP="00CE307D">
            <w:pPr>
              <w:rPr>
                <w:rFonts w:asciiTheme="minorHAnsi" w:eastAsia="Times New Roman" w:hAnsiTheme="minorHAnsi" w:cs="Arial"/>
                <w:b/>
                <w:bCs/>
                <w:sz w:val="20"/>
                <w:szCs w:val="20"/>
                <w:lang w:eastAsia="sk-SK"/>
              </w:rPr>
            </w:pP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DF</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EF</w:t>
            </w:r>
          </w:p>
        </w:tc>
        <w:tc>
          <w:tcPr>
            <w:tcW w:w="761"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Spolu</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DF</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EF</w:t>
            </w:r>
          </w:p>
        </w:tc>
        <w:tc>
          <w:tcPr>
            <w:tcW w:w="761"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Spolu</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 xml:space="preserve">DF </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EF</w:t>
            </w:r>
          </w:p>
        </w:tc>
        <w:tc>
          <w:tcPr>
            <w:tcW w:w="851" w:type="dxa"/>
            <w:vMerge w:val="restart"/>
            <w:tcBorders>
              <w:top w:val="nil"/>
              <w:left w:val="nil"/>
              <w:right w:val="single" w:sz="4" w:space="0" w:color="auto"/>
            </w:tcBorders>
            <w:shd w:val="clear" w:color="auto" w:fill="D9D9D9" w:themeFill="background1" w:themeFillShade="D9"/>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Spolu</w:t>
            </w:r>
          </w:p>
        </w:tc>
      </w:tr>
      <w:tr w:rsidR="002170CC" w:rsidRPr="00505861" w:rsidTr="00CE307D">
        <w:trPr>
          <w:trHeight w:val="20"/>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2170CC" w:rsidRPr="00505861" w:rsidRDefault="002170CC" w:rsidP="00CE307D">
            <w:pPr>
              <w:rPr>
                <w:rFonts w:asciiTheme="minorHAnsi" w:eastAsia="Times New Roman" w:hAnsiTheme="minorHAnsi" w:cs="Arial"/>
                <w:b/>
                <w:bCs/>
                <w:sz w:val="20"/>
                <w:szCs w:val="20"/>
                <w:lang w:eastAsia="sk-SK"/>
              </w:rPr>
            </w:pPr>
          </w:p>
        </w:tc>
        <w:tc>
          <w:tcPr>
            <w:tcW w:w="760" w:type="dxa"/>
            <w:vMerge/>
            <w:tcBorders>
              <w:top w:val="nil"/>
              <w:left w:val="single" w:sz="4" w:space="0" w:color="auto"/>
              <w:bottom w:val="single" w:sz="4" w:space="0" w:color="000000"/>
              <w:right w:val="single" w:sz="4" w:space="0" w:color="auto"/>
            </w:tcBorders>
            <w:vAlign w:val="center"/>
            <w:hideMark/>
          </w:tcPr>
          <w:p w:rsidR="002170CC" w:rsidRPr="00505861" w:rsidRDefault="002170CC" w:rsidP="00CE307D">
            <w:pPr>
              <w:rPr>
                <w:rFonts w:asciiTheme="minorHAnsi" w:eastAsia="Times New Roman" w:hAnsiTheme="minorHAnsi" w:cs="Arial"/>
                <w:b/>
                <w:bCs/>
                <w:sz w:val="20"/>
                <w:szCs w:val="20"/>
                <w:lang w:eastAsia="sk-SK"/>
              </w:rPr>
            </w:pPr>
          </w:p>
        </w:tc>
        <w:tc>
          <w:tcPr>
            <w:tcW w:w="760" w:type="dxa"/>
            <w:vMerge/>
            <w:tcBorders>
              <w:top w:val="nil"/>
              <w:left w:val="single" w:sz="4" w:space="0" w:color="auto"/>
              <w:bottom w:val="single" w:sz="4" w:space="0" w:color="000000"/>
              <w:right w:val="single" w:sz="4" w:space="0" w:color="auto"/>
            </w:tcBorders>
            <w:vAlign w:val="center"/>
            <w:hideMark/>
          </w:tcPr>
          <w:p w:rsidR="002170CC" w:rsidRPr="00505861" w:rsidRDefault="002170CC" w:rsidP="00CE307D">
            <w:pPr>
              <w:rPr>
                <w:rFonts w:asciiTheme="minorHAnsi" w:eastAsia="Times New Roman" w:hAnsiTheme="minorHAnsi" w:cs="Arial"/>
                <w:b/>
                <w:bCs/>
                <w:sz w:val="20"/>
                <w:szCs w:val="20"/>
                <w:lang w:eastAsia="sk-SK"/>
              </w:rPr>
            </w:pPr>
          </w:p>
        </w:tc>
        <w:tc>
          <w:tcPr>
            <w:tcW w:w="76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2170CC" w:rsidRPr="00505861" w:rsidRDefault="002170CC" w:rsidP="00CE307D">
            <w:pPr>
              <w:rPr>
                <w:rFonts w:asciiTheme="minorHAnsi" w:eastAsia="Times New Roman" w:hAnsiTheme="minorHAnsi" w:cs="Arial"/>
                <w:b/>
                <w:bCs/>
                <w:sz w:val="20"/>
                <w:szCs w:val="20"/>
                <w:lang w:eastAsia="sk-SK"/>
              </w:rPr>
            </w:pPr>
          </w:p>
        </w:tc>
        <w:tc>
          <w:tcPr>
            <w:tcW w:w="760" w:type="dxa"/>
            <w:vMerge/>
            <w:tcBorders>
              <w:top w:val="nil"/>
              <w:left w:val="single" w:sz="4" w:space="0" w:color="auto"/>
              <w:bottom w:val="single" w:sz="4" w:space="0" w:color="000000"/>
              <w:right w:val="single" w:sz="4" w:space="0" w:color="auto"/>
            </w:tcBorders>
            <w:vAlign w:val="center"/>
            <w:hideMark/>
          </w:tcPr>
          <w:p w:rsidR="002170CC" w:rsidRPr="00505861" w:rsidRDefault="002170CC" w:rsidP="00CE307D">
            <w:pPr>
              <w:rPr>
                <w:rFonts w:asciiTheme="minorHAnsi" w:eastAsia="Times New Roman" w:hAnsiTheme="minorHAnsi" w:cs="Arial"/>
                <w:b/>
                <w:bCs/>
                <w:sz w:val="20"/>
                <w:szCs w:val="20"/>
                <w:lang w:eastAsia="sk-SK"/>
              </w:rPr>
            </w:pPr>
          </w:p>
        </w:tc>
        <w:tc>
          <w:tcPr>
            <w:tcW w:w="760" w:type="dxa"/>
            <w:vMerge/>
            <w:tcBorders>
              <w:top w:val="nil"/>
              <w:left w:val="single" w:sz="4" w:space="0" w:color="auto"/>
              <w:bottom w:val="single" w:sz="4" w:space="0" w:color="000000"/>
              <w:right w:val="single" w:sz="4" w:space="0" w:color="auto"/>
            </w:tcBorders>
            <w:vAlign w:val="center"/>
            <w:hideMark/>
          </w:tcPr>
          <w:p w:rsidR="002170CC" w:rsidRPr="00505861" w:rsidRDefault="002170CC" w:rsidP="00CE307D">
            <w:pPr>
              <w:rPr>
                <w:rFonts w:asciiTheme="minorHAnsi" w:eastAsia="Times New Roman" w:hAnsiTheme="minorHAnsi" w:cs="Arial"/>
                <w:b/>
                <w:bCs/>
                <w:sz w:val="20"/>
                <w:szCs w:val="20"/>
                <w:lang w:eastAsia="sk-SK"/>
              </w:rPr>
            </w:pPr>
          </w:p>
        </w:tc>
        <w:tc>
          <w:tcPr>
            <w:tcW w:w="76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2170CC" w:rsidRPr="00505861" w:rsidRDefault="002170CC" w:rsidP="00CE307D">
            <w:pPr>
              <w:rPr>
                <w:rFonts w:asciiTheme="minorHAnsi" w:eastAsia="Times New Roman" w:hAnsiTheme="minorHAnsi" w:cs="Arial"/>
                <w:b/>
                <w:bCs/>
                <w:sz w:val="20"/>
                <w:szCs w:val="20"/>
                <w:lang w:eastAsia="sk-SK"/>
              </w:rPr>
            </w:pPr>
          </w:p>
        </w:tc>
        <w:tc>
          <w:tcPr>
            <w:tcW w:w="850" w:type="dxa"/>
            <w:tcBorders>
              <w:top w:val="nil"/>
              <w:left w:val="nil"/>
              <w:bottom w:val="single" w:sz="4" w:space="0" w:color="auto"/>
              <w:right w:val="single" w:sz="4" w:space="0" w:color="auto"/>
            </w:tcBorders>
            <w:shd w:val="clear" w:color="auto" w:fill="auto"/>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na fakulte</w:t>
            </w:r>
          </w:p>
        </w:tc>
        <w:tc>
          <w:tcPr>
            <w:tcW w:w="709" w:type="dxa"/>
            <w:tcBorders>
              <w:top w:val="nil"/>
              <w:left w:val="nil"/>
              <w:bottom w:val="single" w:sz="4" w:space="0" w:color="auto"/>
              <w:right w:val="single" w:sz="4" w:space="0" w:color="auto"/>
            </w:tcBorders>
            <w:shd w:val="clear" w:color="auto" w:fill="auto"/>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EVI</w:t>
            </w:r>
          </w:p>
        </w:tc>
        <w:tc>
          <w:tcPr>
            <w:tcW w:w="992" w:type="dxa"/>
            <w:tcBorders>
              <w:top w:val="nil"/>
              <w:left w:val="nil"/>
              <w:bottom w:val="nil"/>
              <w:right w:val="nil"/>
            </w:tcBorders>
            <w:shd w:val="clear" w:color="auto" w:fill="auto"/>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na fakulte</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EVI</w:t>
            </w:r>
          </w:p>
        </w:tc>
        <w:tc>
          <w:tcPr>
            <w:tcW w:w="851" w:type="dxa"/>
            <w:vMerge/>
            <w:tcBorders>
              <w:left w:val="nil"/>
              <w:bottom w:val="single" w:sz="4" w:space="0" w:color="auto"/>
              <w:right w:val="single" w:sz="4" w:space="0" w:color="auto"/>
            </w:tcBorders>
            <w:shd w:val="clear" w:color="auto" w:fill="D9D9D9" w:themeFill="background1" w:themeFillShade="D9"/>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p>
        </w:tc>
      </w:tr>
      <w:tr w:rsidR="002170CC" w:rsidRPr="00505861" w:rsidTr="00CE307D">
        <w:trPr>
          <w:trHeight w:val="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170CC" w:rsidRPr="00505861" w:rsidRDefault="002170CC" w:rsidP="00CE307D">
            <w:pP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SvF</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47</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6</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53</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34</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6</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40</w:t>
            </w:r>
          </w:p>
        </w:tc>
        <w:tc>
          <w:tcPr>
            <w:tcW w:w="85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31</w:t>
            </w:r>
          </w:p>
        </w:tc>
        <w:tc>
          <w:tcPr>
            <w:tcW w:w="709"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0</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36</w:t>
            </w:r>
          </w:p>
        </w:tc>
      </w:tr>
      <w:tr w:rsidR="002170CC" w:rsidRPr="00505861" w:rsidTr="00CE307D">
        <w:trPr>
          <w:trHeight w:val="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170CC" w:rsidRPr="00505861" w:rsidRDefault="002170CC" w:rsidP="00CE307D">
            <w:pP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SjF</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14</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7</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21</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12</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7</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19</w:t>
            </w:r>
          </w:p>
        </w:tc>
        <w:tc>
          <w:tcPr>
            <w:tcW w:w="85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12</w:t>
            </w:r>
          </w:p>
        </w:tc>
        <w:tc>
          <w:tcPr>
            <w:tcW w:w="709" w:type="dxa"/>
            <w:tcBorders>
              <w:top w:val="nil"/>
              <w:left w:val="nil"/>
              <w:bottom w:val="single" w:sz="4" w:space="0" w:color="auto"/>
              <w:right w:val="single" w:sz="4" w:space="0" w:color="auto"/>
            </w:tcBorders>
            <w:shd w:val="clear" w:color="000000" w:fill="FFFFFF"/>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0</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19</w:t>
            </w:r>
          </w:p>
        </w:tc>
      </w:tr>
      <w:tr w:rsidR="002170CC" w:rsidRPr="00505861" w:rsidTr="00CE307D">
        <w:trPr>
          <w:trHeight w:val="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170CC" w:rsidRPr="00505861" w:rsidRDefault="002170CC" w:rsidP="00CE307D">
            <w:pP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FEI</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31</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17</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48</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30</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15</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45</w:t>
            </w:r>
          </w:p>
        </w:tc>
        <w:tc>
          <w:tcPr>
            <w:tcW w:w="85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24</w:t>
            </w:r>
          </w:p>
        </w:tc>
        <w:tc>
          <w:tcPr>
            <w:tcW w:w="709"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3</w:t>
            </w:r>
          </w:p>
        </w:tc>
        <w:tc>
          <w:tcPr>
            <w:tcW w:w="992"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bookmarkStart w:id="17" w:name="RANGE!J7"/>
            <w:r w:rsidRPr="00505861">
              <w:rPr>
                <w:rFonts w:asciiTheme="minorHAnsi" w:eastAsia="Times New Roman" w:hAnsiTheme="minorHAnsi" w:cs="Arial"/>
                <w:sz w:val="20"/>
                <w:szCs w:val="20"/>
                <w:lang w:eastAsia="sk-SK"/>
              </w:rPr>
              <w:t>15</w:t>
            </w:r>
            <w:bookmarkEnd w:id="17"/>
          </w:p>
        </w:tc>
        <w:tc>
          <w:tcPr>
            <w:tcW w:w="567"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0</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42</w:t>
            </w:r>
          </w:p>
        </w:tc>
      </w:tr>
      <w:tr w:rsidR="002170CC" w:rsidRPr="00505861" w:rsidTr="00CE307D">
        <w:trPr>
          <w:trHeight w:val="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170CC" w:rsidRPr="00505861" w:rsidRDefault="002170CC" w:rsidP="00CE307D">
            <w:pP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FCHPT</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47</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4</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51</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41</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4</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45</w:t>
            </w:r>
          </w:p>
        </w:tc>
        <w:tc>
          <w:tcPr>
            <w:tcW w:w="85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26</w:t>
            </w:r>
          </w:p>
        </w:tc>
        <w:tc>
          <w:tcPr>
            <w:tcW w:w="709"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9</w:t>
            </w:r>
          </w:p>
        </w:tc>
        <w:tc>
          <w:tcPr>
            <w:tcW w:w="992"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0</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39</w:t>
            </w:r>
          </w:p>
        </w:tc>
      </w:tr>
      <w:tr w:rsidR="002170CC" w:rsidRPr="00505861" w:rsidTr="00CE307D">
        <w:trPr>
          <w:trHeight w:val="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170CC" w:rsidRPr="00505861" w:rsidRDefault="002170CC" w:rsidP="00CE307D">
            <w:pP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FA</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29</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8</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37</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15</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6</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21</w:t>
            </w:r>
          </w:p>
        </w:tc>
        <w:tc>
          <w:tcPr>
            <w:tcW w:w="85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15</w:t>
            </w:r>
          </w:p>
        </w:tc>
        <w:tc>
          <w:tcPr>
            <w:tcW w:w="709" w:type="dxa"/>
            <w:tcBorders>
              <w:top w:val="nil"/>
              <w:left w:val="nil"/>
              <w:bottom w:val="single" w:sz="4" w:space="0" w:color="auto"/>
              <w:right w:val="single" w:sz="4" w:space="0" w:color="auto"/>
            </w:tcBorders>
            <w:shd w:val="clear" w:color="000000" w:fill="FFFFFF"/>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0</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20</w:t>
            </w:r>
          </w:p>
        </w:tc>
      </w:tr>
      <w:tr w:rsidR="002170CC" w:rsidRPr="00505861" w:rsidTr="00CE307D">
        <w:trPr>
          <w:trHeight w:val="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170CC" w:rsidRPr="00505861" w:rsidRDefault="002170CC" w:rsidP="00CE307D">
            <w:pP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MTF</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36</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9</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45</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15</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8</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23</w:t>
            </w:r>
          </w:p>
        </w:tc>
        <w:tc>
          <w:tcPr>
            <w:tcW w:w="85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13</w:t>
            </w:r>
          </w:p>
        </w:tc>
        <w:tc>
          <w:tcPr>
            <w:tcW w:w="709"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w:t>
            </w:r>
          </w:p>
        </w:tc>
        <w:tc>
          <w:tcPr>
            <w:tcW w:w="992"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8</w:t>
            </w:r>
          </w:p>
        </w:tc>
        <w:tc>
          <w:tcPr>
            <w:tcW w:w="567"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0</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22</w:t>
            </w:r>
          </w:p>
        </w:tc>
      </w:tr>
      <w:tr w:rsidR="002170CC" w:rsidRPr="00505861" w:rsidTr="00CE307D">
        <w:trPr>
          <w:trHeight w:val="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170CC" w:rsidRPr="00505861" w:rsidRDefault="002170CC" w:rsidP="00CE307D">
            <w:pP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FIIT</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11</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13</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9</w:t>
            </w:r>
          </w:p>
        </w:tc>
        <w:tc>
          <w:tcPr>
            <w:tcW w:w="7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11</w:t>
            </w:r>
          </w:p>
        </w:tc>
        <w:tc>
          <w:tcPr>
            <w:tcW w:w="85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8</w:t>
            </w:r>
          </w:p>
        </w:tc>
        <w:tc>
          <w:tcPr>
            <w:tcW w:w="709"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0</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9</w:t>
            </w:r>
          </w:p>
        </w:tc>
      </w:tr>
      <w:tr w:rsidR="002170CC" w:rsidRPr="00505861" w:rsidTr="00CE307D">
        <w:trPr>
          <w:trHeight w:val="2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2170CC" w:rsidRPr="00505861" w:rsidRDefault="002170CC" w:rsidP="00CE307D">
            <w:pP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ÚM</w:t>
            </w:r>
          </w:p>
        </w:tc>
        <w:tc>
          <w:tcPr>
            <w:tcW w:w="760" w:type="dxa"/>
            <w:tcBorders>
              <w:top w:val="nil"/>
              <w:left w:val="nil"/>
              <w:bottom w:val="single" w:sz="4" w:space="0" w:color="auto"/>
              <w:right w:val="single" w:sz="4" w:space="0" w:color="auto"/>
            </w:tcBorders>
            <w:shd w:val="clear" w:color="auto" w:fill="auto"/>
            <w:vAlign w:val="center"/>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11</w:t>
            </w:r>
          </w:p>
        </w:tc>
        <w:tc>
          <w:tcPr>
            <w:tcW w:w="760" w:type="dxa"/>
            <w:tcBorders>
              <w:top w:val="nil"/>
              <w:left w:val="nil"/>
              <w:bottom w:val="single" w:sz="4" w:space="0" w:color="auto"/>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5</w:t>
            </w:r>
          </w:p>
        </w:tc>
        <w:tc>
          <w:tcPr>
            <w:tcW w:w="761" w:type="dxa"/>
            <w:tcBorders>
              <w:top w:val="nil"/>
              <w:left w:val="nil"/>
              <w:bottom w:val="single" w:sz="4" w:space="0" w:color="auto"/>
              <w:right w:val="single" w:sz="4" w:space="0" w:color="auto"/>
            </w:tcBorders>
            <w:shd w:val="clear" w:color="auto" w:fill="D9D9D9" w:themeFill="background1" w:themeFillShade="D9"/>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16</w:t>
            </w:r>
          </w:p>
        </w:tc>
        <w:tc>
          <w:tcPr>
            <w:tcW w:w="760" w:type="dxa"/>
            <w:tcBorders>
              <w:top w:val="nil"/>
              <w:left w:val="nil"/>
              <w:bottom w:val="single" w:sz="4" w:space="0" w:color="auto"/>
              <w:right w:val="single" w:sz="4" w:space="0" w:color="auto"/>
            </w:tcBorders>
            <w:shd w:val="clear" w:color="auto" w:fill="auto"/>
            <w:vAlign w:val="center"/>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7</w:t>
            </w:r>
          </w:p>
        </w:tc>
        <w:tc>
          <w:tcPr>
            <w:tcW w:w="760" w:type="dxa"/>
            <w:tcBorders>
              <w:top w:val="nil"/>
              <w:left w:val="nil"/>
              <w:bottom w:val="single" w:sz="4" w:space="0" w:color="auto"/>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5</w:t>
            </w:r>
          </w:p>
        </w:tc>
        <w:tc>
          <w:tcPr>
            <w:tcW w:w="761" w:type="dxa"/>
            <w:tcBorders>
              <w:top w:val="nil"/>
              <w:left w:val="nil"/>
              <w:bottom w:val="single" w:sz="4" w:space="0" w:color="auto"/>
              <w:right w:val="single" w:sz="4" w:space="0" w:color="auto"/>
            </w:tcBorders>
            <w:shd w:val="clear" w:color="auto" w:fill="D9D9D9" w:themeFill="background1" w:themeFillShade="D9"/>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12</w:t>
            </w:r>
          </w:p>
        </w:tc>
        <w:tc>
          <w:tcPr>
            <w:tcW w:w="850" w:type="dxa"/>
            <w:tcBorders>
              <w:top w:val="nil"/>
              <w:left w:val="nil"/>
              <w:bottom w:val="single" w:sz="4" w:space="0" w:color="auto"/>
              <w:right w:val="single" w:sz="4" w:space="0" w:color="auto"/>
            </w:tcBorders>
            <w:shd w:val="clear" w:color="auto" w:fill="auto"/>
            <w:vAlign w:val="center"/>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6</w:t>
            </w:r>
          </w:p>
        </w:tc>
        <w:tc>
          <w:tcPr>
            <w:tcW w:w="709" w:type="dxa"/>
            <w:tcBorders>
              <w:top w:val="nil"/>
              <w:left w:val="nil"/>
              <w:bottom w:val="single" w:sz="4" w:space="0" w:color="auto"/>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w:t>
            </w:r>
          </w:p>
        </w:tc>
        <w:tc>
          <w:tcPr>
            <w:tcW w:w="992" w:type="dxa"/>
            <w:tcBorders>
              <w:top w:val="nil"/>
              <w:left w:val="nil"/>
              <w:bottom w:val="single" w:sz="4" w:space="0" w:color="auto"/>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3</w:t>
            </w:r>
          </w:p>
        </w:tc>
        <w:tc>
          <w:tcPr>
            <w:tcW w:w="567" w:type="dxa"/>
            <w:tcBorders>
              <w:top w:val="nil"/>
              <w:left w:val="nil"/>
              <w:bottom w:val="single" w:sz="4" w:space="0" w:color="auto"/>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12</w:t>
            </w:r>
          </w:p>
        </w:tc>
      </w:tr>
      <w:tr w:rsidR="002170CC" w:rsidRPr="00505861" w:rsidTr="00CE307D">
        <w:trPr>
          <w:trHeight w:val="20"/>
        </w:trPr>
        <w:tc>
          <w:tcPr>
            <w:tcW w:w="8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STU</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226</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58</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284</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163</w:t>
            </w:r>
          </w:p>
        </w:tc>
        <w:tc>
          <w:tcPr>
            <w:tcW w:w="760"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53</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216</w:t>
            </w:r>
          </w:p>
        </w:tc>
        <w:tc>
          <w:tcPr>
            <w:tcW w:w="850"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135</w:t>
            </w:r>
          </w:p>
        </w:tc>
        <w:tc>
          <w:tcPr>
            <w:tcW w:w="709"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48</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2</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199</w:t>
            </w:r>
          </w:p>
        </w:tc>
      </w:tr>
    </w:tbl>
    <w:p w:rsidR="002170CC" w:rsidRPr="00505861" w:rsidRDefault="002170CC" w:rsidP="002170CC">
      <w:pPr>
        <w:rPr>
          <w:rFonts w:asciiTheme="minorHAnsi" w:hAnsiTheme="minorHAnsi" w:cs="Calibri"/>
          <w:sz w:val="20"/>
          <w:szCs w:val="20"/>
        </w:rPr>
      </w:pPr>
      <w:r w:rsidRPr="00505861">
        <w:rPr>
          <w:rFonts w:asciiTheme="minorHAnsi" w:eastAsia="Times New Roman" w:hAnsiTheme="minorHAnsi" w:cs="Arial"/>
          <w:bCs/>
          <w:sz w:val="20"/>
          <w:szCs w:val="20"/>
          <w:lang w:eastAsia="sk-SK"/>
        </w:rPr>
        <w:t>Vysvetlivky: DF – denná forma štúdia, EF – externá forma štúdia</w:t>
      </w:r>
    </w:p>
    <w:p w:rsidR="002170CC" w:rsidRPr="002D7A10" w:rsidRDefault="002170CC" w:rsidP="002170CC">
      <w:pPr>
        <w:rPr>
          <w:rFonts w:asciiTheme="minorHAnsi" w:hAnsiTheme="minorHAnsi" w:cs="Calibri"/>
        </w:rPr>
      </w:pPr>
    </w:p>
    <w:p w:rsidR="002170CC" w:rsidRPr="002D7A10" w:rsidRDefault="002170CC" w:rsidP="002170CC">
      <w:pPr>
        <w:shd w:val="clear" w:color="auto" w:fill="FFFFFF"/>
        <w:rPr>
          <w:rFonts w:asciiTheme="minorHAnsi" w:hAnsiTheme="minorHAnsi" w:cs="Calibri"/>
          <w:shd w:val="clear" w:color="auto" w:fill="FFFFFF"/>
        </w:rPr>
      </w:pPr>
      <w:r w:rsidRPr="002D7A10">
        <w:rPr>
          <w:rFonts w:asciiTheme="minorHAnsi" w:hAnsiTheme="minorHAnsi" w:cs="Calibri"/>
        </w:rPr>
        <w:t>Od akad. roku 2012/2013 si jednotlivé súčasti STU sami určujú plánovaný počet prijatých uchádzačov na tretí stupeň štúdia, čo vyplýva zo zmeny financovania denných doktorandov. Plánované počty denných doktorandských miest na akad. rok 2015/2016 v porovnaní s predchádzajúcimi akad. rokmi, sú uvedené v </w:t>
      </w:r>
      <w:r w:rsidR="007A4973" w:rsidRPr="002D7A10">
        <w:rPr>
          <w:rFonts w:asciiTheme="minorHAnsi" w:hAnsiTheme="minorHAnsi" w:cs="Calibri"/>
        </w:rPr>
        <w:t>t</w:t>
      </w:r>
      <w:r w:rsidRPr="002D7A10">
        <w:rPr>
          <w:rFonts w:asciiTheme="minorHAnsi" w:hAnsiTheme="minorHAnsi" w:cs="Calibri"/>
        </w:rPr>
        <w:t xml:space="preserve">abuľke č. </w:t>
      </w:r>
      <w:r w:rsidR="007A4973" w:rsidRPr="002D7A10">
        <w:rPr>
          <w:rFonts w:asciiTheme="minorHAnsi" w:hAnsiTheme="minorHAnsi" w:cs="Calibri"/>
        </w:rPr>
        <w:t>3.</w:t>
      </w:r>
      <w:r w:rsidRPr="002D7A10">
        <w:rPr>
          <w:rFonts w:asciiTheme="minorHAnsi" w:hAnsiTheme="minorHAnsi" w:cs="Calibri"/>
        </w:rPr>
        <w:t>22. Počet uchádzačov oproti predchádzajúcemu akad. roku klesol, rovnako ako aj záujem zahraničných uchádzačov o tretí stupeň štúdia na STU.</w:t>
      </w:r>
    </w:p>
    <w:p w:rsidR="002170CC" w:rsidRPr="002D7A10" w:rsidRDefault="002170CC" w:rsidP="002170CC">
      <w:pPr>
        <w:shd w:val="clear" w:color="auto" w:fill="FFFFFF"/>
        <w:rPr>
          <w:rFonts w:asciiTheme="minorHAnsi" w:hAnsiTheme="minorHAnsi" w:cs="Calibri"/>
          <w:shd w:val="clear" w:color="auto" w:fill="FFFFFF"/>
        </w:rPr>
      </w:pPr>
    </w:p>
    <w:p w:rsidR="002170CC" w:rsidRPr="00505861" w:rsidRDefault="002170CC" w:rsidP="002170CC">
      <w:pPr>
        <w:shd w:val="clear" w:color="auto" w:fill="FFFFFF"/>
        <w:rPr>
          <w:rFonts w:asciiTheme="minorHAnsi" w:hAnsiTheme="minorHAnsi" w:cs="Calibri"/>
          <w:b/>
          <w:sz w:val="20"/>
          <w:szCs w:val="20"/>
        </w:rPr>
      </w:pPr>
      <w:r w:rsidRPr="00505861">
        <w:rPr>
          <w:rFonts w:asciiTheme="minorHAnsi" w:hAnsiTheme="minorHAnsi" w:cs="Calibri"/>
          <w:b/>
          <w:sz w:val="20"/>
          <w:szCs w:val="20"/>
        </w:rPr>
        <w:t xml:space="preserve">Tabuľka č. </w:t>
      </w:r>
      <w:r w:rsidR="007A4973" w:rsidRPr="00505861">
        <w:rPr>
          <w:rFonts w:asciiTheme="minorHAnsi" w:hAnsiTheme="minorHAnsi" w:cs="Calibri"/>
          <w:b/>
          <w:sz w:val="20"/>
          <w:szCs w:val="20"/>
        </w:rPr>
        <w:t>3.</w:t>
      </w:r>
      <w:r w:rsidRPr="00505861">
        <w:rPr>
          <w:rFonts w:asciiTheme="minorHAnsi" w:hAnsiTheme="minorHAnsi" w:cs="Calibri"/>
          <w:b/>
          <w:sz w:val="20"/>
          <w:szCs w:val="20"/>
        </w:rPr>
        <w:t>22: Počty uchádzačov za posledné tri roky - plánovaní a prihlásení uchádzači</w:t>
      </w:r>
    </w:p>
    <w:tbl>
      <w:tblPr>
        <w:tblW w:w="7103" w:type="dxa"/>
        <w:tblInd w:w="55" w:type="dxa"/>
        <w:tblCellMar>
          <w:left w:w="70" w:type="dxa"/>
          <w:right w:w="70" w:type="dxa"/>
        </w:tblCellMar>
        <w:tblLook w:val="04A0" w:firstRow="1" w:lastRow="0" w:firstColumn="1" w:lastColumn="0" w:noHBand="0" w:noVBand="1"/>
      </w:tblPr>
      <w:tblGrid>
        <w:gridCol w:w="1118"/>
        <w:gridCol w:w="960"/>
        <w:gridCol w:w="960"/>
        <w:gridCol w:w="960"/>
        <w:gridCol w:w="960"/>
        <w:gridCol w:w="2145"/>
      </w:tblGrid>
      <w:tr w:rsidR="002170CC" w:rsidRPr="00505861" w:rsidTr="00CE307D">
        <w:trPr>
          <w:trHeight w:val="20"/>
        </w:trPr>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akad. rok</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Plánované počty</w:t>
            </w:r>
          </w:p>
        </w:tc>
        <w:tc>
          <w:tcPr>
            <w:tcW w:w="4065" w:type="dxa"/>
            <w:gridSpan w:val="3"/>
            <w:tcBorders>
              <w:top w:val="single" w:sz="4" w:space="0" w:color="auto"/>
              <w:left w:val="nil"/>
              <w:bottom w:val="single" w:sz="4" w:space="0" w:color="auto"/>
              <w:right w:val="single" w:sz="4" w:space="0" w:color="auto"/>
            </w:tcBorders>
            <w:shd w:val="clear" w:color="auto" w:fill="auto"/>
            <w:noWrap/>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Prihlásení uchádzači</w:t>
            </w:r>
          </w:p>
        </w:tc>
      </w:tr>
      <w:tr w:rsidR="002170CC" w:rsidRPr="00505861" w:rsidTr="00CE307D">
        <w:trPr>
          <w:trHeight w:val="20"/>
        </w:trPr>
        <w:tc>
          <w:tcPr>
            <w:tcW w:w="1118" w:type="dxa"/>
            <w:vMerge/>
            <w:tcBorders>
              <w:top w:val="single" w:sz="4" w:space="0" w:color="auto"/>
              <w:left w:val="single" w:sz="4" w:space="0" w:color="auto"/>
              <w:bottom w:val="single" w:sz="4" w:space="0" w:color="000000"/>
              <w:right w:val="single" w:sz="4" w:space="0" w:color="auto"/>
            </w:tcBorders>
            <w:vAlign w:val="center"/>
            <w:hideMark/>
          </w:tcPr>
          <w:p w:rsidR="002170CC" w:rsidRPr="00505861" w:rsidRDefault="002170CC" w:rsidP="00CE307D">
            <w:pPr>
              <w:rPr>
                <w:rFonts w:asciiTheme="minorHAnsi" w:eastAsia="Times New Roman" w:hAnsiTheme="minorHAnsi" w:cs="Arial"/>
                <w:b/>
                <w:bCs/>
                <w:sz w:val="20"/>
                <w:szCs w:val="20"/>
                <w:lang w:eastAsia="sk-SK"/>
              </w:rPr>
            </w:pPr>
          </w:p>
        </w:tc>
        <w:tc>
          <w:tcPr>
            <w:tcW w:w="960" w:type="dxa"/>
            <w:tcBorders>
              <w:top w:val="nil"/>
              <w:left w:val="nil"/>
              <w:bottom w:val="single" w:sz="4" w:space="0" w:color="auto"/>
              <w:right w:val="single" w:sz="4" w:space="0" w:color="auto"/>
            </w:tcBorders>
            <w:shd w:val="clear" w:color="auto" w:fill="auto"/>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 xml:space="preserve">denná forma </w:t>
            </w:r>
          </w:p>
        </w:tc>
        <w:tc>
          <w:tcPr>
            <w:tcW w:w="960" w:type="dxa"/>
            <w:tcBorders>
              <w:top w:val="nil"/>
              <w:left w:val="nil"/>
              <w:bottom w:val="single" w:sz="4" w:space="0" w:color="auto"/>
              <w:right w:val="single" w:sz="4" w:space="0" w:color="auto"/>
            </w:tcBorders>
            <w:shd w:val="clear" w:color="auto" w:fill="auto"/>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externá forma</w:t>
            </w:r>
          </w:p>
        </w:tc>
        <w:tc>
          <w:tcPr>
            <w:tcW w:w="960" w:type="dxa"/>
            <w:tcBorders>
              <w:top w:val="nil"/>
              <w:left w:val="nil"/>
              <w:bottom w:val="single" w:sz="4" w:space="0" w:color="auto"/>
              <w:right w:val="single" w:sz="4" w:space="0" w:color="auto"/>
            </w:tcBorders>
            <w:shd w:val="clear" w:color="auto" w:fill="auto"/>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denná forma</w:t>
            </w:r>
          </w:p>
        </w:tc>
        <w:tc>
          <w:tcPr>
            <w:tcW w:w="960" w:type="dxa"/>
            <w:tcBorders>
              <w:top w:val="nil"/>
              <w:left w:val="nil"/>
              <w:bottom w:val="single" w:sz="4" w:space="0" w:color="auto"/>
              <w:right w:val="single" w:sz="4" w:space="0" w:color="auto"/>
            </w:tcBorders>
            <w:shd w:val="clear" w:color="auto" w:fill="auto"/>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externá forma</w:t>
            </w:r>
          </w:p>
        </w:tc>
        <w:tc>
          <w:tcPr>
            <w:tcW w:w="2145" w:type="dxa"/>
            <w:tcBorders>
              <w:top w:val="nil"/>
              <w:left w:val="nil"/>
              <w:bottom w:val="single" w:sz="4" w:space="0" w:color="auto"/>
              <w:right w:val="single" w:sz="4" w:space="0" w:color="auto"/>
            </w:tcBorders>
            <w:shd w:val="clear" w:color="auto" w:fill="auto"/>
            <w:vAlign w:val="center"/>
            <w:hideMark/>
          </w:tcPr>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z toho uchádzači</w:t>
            </w:r>
          </w:p>
          <w:p w:rsidR="002170CC" w:rsidRPr="00505861" w:rsidRDefault="002170C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zo zahraničia</w:t>
            </w:r>
          </w:p>
        </w:tc>
      </w:tr>
      <w:tr w:rsidR="002170CC" w:rsidRPr="00505861" w:rsidTr="00CE307D">
        <w:trPr>
          <w:trHeight w:val="2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2170CC" w:rsidRPr="00505861" w:rsidRDefault="002170CC" w:rsidP="00CE307D">
            <w:pP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2012/2013</w:t>
            </w:r>
          </w:p>
        </w:tc>
        <w:tc>
          <w:tcPr>
            <w:tcW w:w="9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313</w:t>
            </w:r>
          </w:p>
        </w:tc>
        <w:tc>
          <w:tcPr>
            <w:tcW w:w="9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90</w:t>
            </w:r>
          </w:p>
        </w:tc>
        <w:tc>
          <w:tcPr>
            <w:tcW w:w="9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417</w:t>
            </w:r>
          </w:p>
        </w:tc>
        <w:tc>
          <w:tcPr>
            <w:tcW w:w="9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89</w:t>
            </w:r>
          </w:p>
        </w:tc>
        <w:tc>
          <w:tcPr>
            <w:tcW w:w="2145"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21</w:t>
            </w:r>
          </w:p>
        </w:tc>
      </w:tr>
      <w:tr w:rsidR="002170CC" w:rsidRPr="00505861" w:rsidTr="00CE307D">
        <w:trPr>
          <w:trHeight w:val="2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2170CC" w:rsidRPr="00505861" w:rsidRDefault="002170CC" w:rsidP="00CE307D">
            <w:pP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2013/2014</w:t>
            </w:r>
          </w:p>
        </w:tc>
        <w:tc>
          <w:tcPr>
            <w:tcW w:w="9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271</w:t>
            </w:r>
          </w:p>
        </w:tc>
        <w:tc>
          <w:tcPr>
            <w:tcW w:w="9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131</w:t>
            </w:r>
          </w:p>
        </w:tc>
        <w:tc>
          <w:tcPr>
            <w:tcW w:w="9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355</w:t>
            </w:r>
          </w:p>
        </w:tc>
        <w:tc>
          <w:tcPr>
            <w:tcW w:w="9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96</w:t>
            </w:r>
          </w:p>
        </w:tc>
        <w:tc>
          <w:tcPr>
            <w:tcW w:w="2145"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22</w:t>
            </w:r>
          </w:p>
        </w:tc>
      </w:tr>
      <w:tr w:rsidR="002170CC" w:rsidRPr="00505861" w:rsidTr="00CE307D">
        <w:trPr>
          <w:trHeight w:val="20"/>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2170CC" w:rsidRPr="00505861" w:rsidRDefault="002170CC" w:rsidP="00CE307D">
            <w:pP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2014/2015</w:t>
            </w:r>
          </w:p>
        </w:tc>
        <w:tc>
          <w:tcPr>
            <w:tcW w:w="9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246</w:t>
            </w:r>
          </w:p>
        </w:tc>
        <w:tc>
          <w:tcPr>
            <w:tcW w:w="9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87</w:t>
            </w:r>
          </w:p>
        </w:tc>
        <w:tc>
          <w:tcPr>
            <w:tcW w:w="9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312</w:t>
            </w:r>
          </w:p>
        </w:tc>
        <w:tc>
          <w:tcPr>
            <w:tcW w:w="960"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84</w:t>
            </w:r>
          </w:p>
        </w:tc>
        <w:tc>
          <w:tcPr>
            <w:tcW w:w="2145" w:type="dxa"/>
            <w:tcBorders>
              <w:top w:val="nil"/>
              <w:left w:val="nil"/>
              <w:bottom w:val="single" w:sz="4" w:space="0" w:color="auto"/>
              <w:right w:val="single" w:sz="4" w:space="0" w:color="auto"/>
            </w:tcBorders>
            <w:shd w:val="clear" w:color="auto" w:fill="auto"/>
            <w:noWrap/>
            <w:vAlign w:val="bottom"/>
            <w:hideMark/>
          </w:tcPr>
          <w:p w:rsidR="002170CC" w:rsidRPr="00505861" w:rsidRDefault="002170C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20</w:t>
            </w:r>
          </w:p>
        </w:tc>
      </w:tr>
      <w:tr w:rsidR="002170CC" w:rsidRPr="00505861" w:rsidTr="00CE307D">
        <w:trPr>
          <w:trHeight w:val="20"/>
        </w:trPr>
        <w:tc>
          <w:tcPr>
            <w:tcW w:w="111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2015/2016</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244</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117</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226</w:t>
            </w:r>
          </w:p>
        </w:tc>
        <w:tc>
          <w:tcPr>
            <w:tcW w:w="960"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58</w:t>
            </w:r>
          </w:p>
        </w:tc>
        <w:tc>
          <w:tcPr>
            <w:tcW w:w="2145" w:type="dxa"/>
            <w:tcBorders>
              <w:top w:val="nil"/>
              <w:left w:val="nil"/>
              <w:bottom w:val="single" w:sz="4" w:space="0" w:color="auto"/>
              <w:right w:val="single" w:sz="4" w:space="0" w:color="auto"/>
            </w:tcBorders>
            <w:shd w:val="clear" w:color="auto" w:fill="D9D9D9" w:themeFill="background1" w:themeFillShade="D9"/>
            <w:noWrap/>
            <w:vAlign w:val="bottom"/>
            <w:hideMark/>
          </w:tcPr>
          <w:p w:rsidR="002170CC" w:rsidRPr="00505861" w:rsidRDefault="002170CC" w:rsidP="00CE307D">
            <w:pPr>
              <w:jc w:val="center"/>
              <w:rPr>
                <w:rFonts w:asciiTheme="minorHAnsi" w:eastAsia="Times New Roman" w:hAnsiTheme="minorHAnsi" w:cs="Arial"/>
                <w:b/>
                <w:sz w:val="20"/>
                <w:szCs w:val="20"/>
                <w:lang w:eastAsia="sk-SK"/>
              </w:rPr>
            </w:pPr>
            <w:r w:rsidRPr="00505861">
              <w:rPr>
                <w:rFonts w:asciiTheme="minorHAnsi" w:eastAsia="Times New Roman" w:hAnsiTheme="minorHAnsi" w:cs="Arial"/>
                <w:b/>
                <w:sz w:val="20"/>
                <w:szCs w:val="20"/>
                <w:lang w:eastAsia="sk-SK"/>
              </w:rPr>
              <w:t>15</w:t>
            </w:r>
          </w:p>
        </w:tc>
      </w:tr>
    </w:tbl>
    <w:p w:rsidR="002170CC" w:rsidRPr="002D7A10" w:rsidRDefault="002170CC" w:rsidP="002170CC">
      <w:pPr>
        <w:shd w:val="clear" w:color="auto" w:fill="FFFFFF"/>
        <w:rPr>
          <w:rFonts w:asciiTheme="minorHAnsi" w:hAnsiTheme="minorHAnsi" w:cs="Calibri"/>
        </w:rPr>
      </w:pPr>
    </w:p>
    <w:p w:rsidR="002170CC" w:rsidRPr="002D7A10" w:rsidRDefault="002170CC" w:rsidP="002170CC">
      <w:pPr>
        <w:spacing w:after="120"/>
        <w:rPr>
          <w:rFonts w:asciiTheme="minorHAnsi" w:hAnsiTheme="minorHAnsi" w:cs="Calibri"/>
          <w:shd w:val="clear" w:color="auto" w:fill="FFFFFF"/>
        </w:rPr>
      </w:pPr>
      <w:r w:rsidRPr="002D7A10">
        <w:rPr>
          <w:rFonts w:asciiTheme="minorHAnsi" w:hAnsiTheme="minorHAnsi" w:cs="Calibri"/>
        </w:rPr>
        <w:t xml:space="preserve">V treťom stupni štúdia naďalej pokračuje spolupráca s externými vzdelávacími inštitúciami. </w:t>
      </w:r>
      <w:r w:rsidRPr="002D7A10">
        <w:rPr>
          <w:rFonts w:asciiTheme="minorHAnsi" w:hAnsiTheme="minorHAnsi" w:cs="Calibri"/>
          <w:shd w:val="clear" w:color="auto" w:fill="FFFFFF"/>
        </w:rPr>
        <w:t xml:space="preserve">V hodnotenom prijímacom konaní boli prijímaní uchádzači na tieto inštitúcie v rámci spolupráce s FEI, FCHPT, MTF a ÚM, </w:t>
      </w:r>
      <w:r w:rsidR="008230A0" w:rsidRPr="002D7A10">
        <w:rPr>
          <w:rFonts w:asciiTheme="minorHAnsi" w:hAnsiTheme="minorHAnsi" w:cs="Calibri"/>
          <w:shd w:val="clear" w:color="auto" w:fill="FFFFFF"/>
        </w:rPr>
        <w:t>a to na</w:t>
      </w:r>
      <w:r w:rsidRPr="002D7A10">
        <w:rPr>
          <w:rFonts w:asciiTheme="minorHAnsi" w:hAnsiTheme="minorHAnsi" w:cs="Calibri"/>
          <w:shd w:val="clear" w:color="auto" w:fill="FFFFFF"/>
        </w:rPr>
        <w:t xml:space="preserve"> 8 ústavov Slovenskej akadémie vied. Na začiatku akad. roka 2015/2016 mala STU uzavretých 28 rámcových dohôd o spolupráci s EVI na uskutočňovaní doktorandských študijných programov.</w:t>
      </w:r>
    </w:p>
    <w:p w:rsidR="002170CC" w:rsidRPr="002D7A10" w:rsidRDefault="002170CC" w:rsidP="00D947F5">
      <w:pPr>
        <w:rPr>
          <w:rFonts w:asciiTheme="minorHAnsi" w:hAnsiTheme="minorHAnsi" w:cs="Calibri"/>
        </w:rPr>
      </w:pPr>
      <w:r w:rsidRPr="002D7A10">
        <w:rPr>
          <w:rFonts w:asciiTheme="minorHAnsi" w:hAnsiTheme="minorHAnsi" w:cs="Calibri"/>
        </w:rPr>
        <w:t xml:space="preserve">Cieľom prijímacieho konania na tretí stupeň štúdia na STU v zmysle zákona bolo zistenie predpokladov uchádzača pre samostatnú tvorivú činnosť v oblasti vedy a techniky alebo samostatnú teoretickú a tvorivú činnosť v oblasti umenia. Na </w:t>
      </w:r>
      <w:r w:rsidRPr="002D7A10">
        <w:rPr>
          <w:rFonts w:asciiTheme="minorHAnsi" w:hAnsiTheme="minorHAnsi" w:cs="Calibri"/>
        </w:rPr>
        <w:lastRenderedPageBreak/>
        <w:t xml:space="preserve">všetkých </w:t>
      </w:r>
      <w:r w:rsidR="008230A0" w:rsidRPr="002D7A10">
        <w:rPr>
          <w:rFonts w:asciiTheme="minorHAnsi" w:hAnsiTheme="minorHAnsi" w:cs="Calibri"/>
        </w:rPr>
        <w:t>súčastiach univerzity prebiehalo</w:t>
      </w:r>
      <w:r w:rsidRPr="002D7A10">
        <w:rPr>
          <w:rFonts w:asciiTheme="minorHAnsi" w:hAnsiTheme="minorHAnsi" w:cs="Calibri"/>
        </w:rPr>
        <w:t xml:space="preserve"> overovanie predpokladov uchádzačo</w:t>
      </w:r>
      <w:r w:rsidR="00D947F5">
        <w:rPr>
          <w:rFonts w:asciiTheme="minorHAnsi" w:hAnsiTheme="minorHAnsi" w:cs="Calibri"/>
        </w:rPr>
        <w:t xml:space="preserve">v o štúdium prijímacou skúškou. </w:t>
      </w:r>
      <w:r w:rsidRPr="002D7A10">
        <w:rPr>
          <w:rFonts w:asciiTheme="minorHAnsi" w:hAnsiTheme="minorHAnsi" w:cs="Calibri"/>
        </w:rPr>
        <w:t xml:space="preserve">V zmysle zákona boli pre uchádzačov vypísané témy dizertačných prác, o ktoré sa záujemcovia mohli uchádzať v rámci prijímacieho konania na dennú alebo externú formu štúdia. V prípade, ak sa na jednu tému dizertačnej práce prihlásilo viac uchádzačov, prijímacia komisia vytvorila návrh poradia prijatia uchádzačov. </w:t>
      </w:r>
    </w:p>
    <w:p w:rsidR="002170CC" w:rsidRPr="002D7A10" w:rsidRDefault="002170CC" w:rsidP="00D947F5">
      <w:pPr>
        <w:rPr>
          <w:rFonts w:asciiTheme="minorHAnsi" w:hAnsiTheme="minorHAnsi" w:cs="Calibri"/>
        </w:rPr>
      </w:pPr>
      <w:r w:rsidRPr="002D7A10">
        <w:rPr>
          <w:rFonts w:asciiTheme="minorHAnsi" w:hAnsiTheme="minorHAnsi" w:cs="Calibri"/>
        </w:rPr>
        <w:t xml:space="preserve">Keďže súčasťou tretieho stupňa štúdia je aktívne používanie cudzieho jazyka, súčasťou prijímacej skúšky </w:t>
      </w:r>
      <w:r w:rsidR="008230A0" w:rsidRPr="002D7A10">
        <w:rPr>
          <w:rFonts w:asciiTheme="minorHAnsi" w:hAnsiTheme="minorHAnsi" w:cs="Calibri"/>
        </w:rPr>
        <w:t>bolo</w:t>
      </w:r>
      <w:r w:rsidRPr="002D7A10">
        <w:rPr>
          <w:rFonts w:asciiTheme="minorHAnsi" w:hAnsiTheme="minorHAnsi" w:cs="Calibri"/>
        </w:rPr>
        <w:t xml:space="preserve"> tiež overovanie jazykovej spôsobilosti uchádzača v  anglickom jazyku. </w:t>
      </w:r>
    </w:p>
    <w:p w:rsidR="00B51749" w:rsidRPr="002D7A10" w:rsidRDefault="00B51749" w:rsidP="00B51749">
      <w:pPr>
        <w:rPr>
          <w:rFonts w:asciiTheme="minorHAnsi" w:hAnsiTheme="minorHAnsi"/>
          <w:color w:val="FF0000"/>
        </w:rPr>
      </w:pPr>
    </w:p>
    <w:p w:rsidR="00B51749" w:rsidRDefault="00B51749" w:rsidP="00D947F5">
      <w:pPr>
        <w:pStyle w:val="Nadpis3"/>
        <w:rPr>
          <w:rFonts w:asciiTheme="minorHAnsi" w:hAnsiTheme="minorHAnsi"/>
          <w:color w:val="auto"/>
        </w:rPr>
      </w:pPr>
      <w:bookmarkStart w:id="18" w:name="_Toc448261560"/>
      <w:r w:rsidRPr="002D7A10">
        <w:rPr>
          <w:rFonts w:asciiTheme="minorHAnsi" w:hAnsiTheme="minorHAnsi"/>
          <w:color w:val="auto"/>
        </w:rPr>
        <w:t>Preskúmanie rozhodnutí o neprijatí na štúdium</w:t>
      </w:r>
      <w:bookmarkEnd w:id="18"/>
    </w:p>
    <w:p w:rsidR="00D947F5" w:rsidRPr="00D947F5" w:rsidRDefault="00D947F5" w:rsidP="00D947F5">
      <w:pPr>
        <w:rPr>
          <w:lang w:eastAsia="cs-CZ"/>
        </w:rPr>
      </w:pPr>
    </w:p>
    <w:p w:rsidR="00E057AC" w:rsidRPr="002D7A10" w:rsidRDefault="00E057AC" w:rsidP="0005714D">
      <w:pPr>
        <w:tabs>
          <w:tab w:val="left" w:pos="0"/>
          <w:tab w:val="left" w:pos="284"/>
        </w:tabs>
        <w:rPr>
          <w:rFonts w:asciiTheme="minorHAnsi" w:hAnsiTheme="minorHAnsi" w:cs="Calibri"/>
        </w:rPr>
      </w:pPr>
      <w:r w:rsidRPr="002D7A10">
        <w:rPr>
          <w:rFonts w:asciiTheme="minorHAnsi" w:hAnsiTheme="minorHAnsi" w:cs="Calibri"/>
        </w:rPr>
        <w:t xml:space="preserve">Vzhľadom na kapacitné možnosti univerzity 14 </w:t>
      </w:r>
      <w:r w:rsidRPr="002D7A10">
        <w:rPr>
          <w:rFonts w:asciiTheme="minorHAnsi" w:hAnsiTheme="minorHAnsi" w:cs="Calibri"/>
          <w:shd w:val="clear" w:color="auto" w:fill="FFFFFF"/>
        </w:rPr>
        <w:t xml:space="preserve">% </w:t>
      </w:r>
      <w:r w:rsidRPr="002D7A10">
        <w:rPr>
          <w:rFonts w:asciiTheme="minorHAnsi" w:hAnsiTheme="minorHAnsi" w:cs="Calibri"/>
        </w:rPr>
        <w:t>uchádzačov dostalo rozhodnutie o neprijatí na štúdium v rámci celej STU</w:t>
      </w:r>
      <w:r w:rsidRPr="002D7A10">
        <w:rPr>
          <w:rFonts w:asciiTheme="minorHAnsi" w:hAnsiTheme="minorHAnsi" w:cs="Calibri"/>
          <w:shd w:val="clear" w:color="auto" w:fill="FFFFFF"/>
        </w:rPr>
        <w:t xml:space="preserve">. </w:t>
      </w:r>
      <w:r w:rsidRPr="002D7A10">
        <w:rPr>
          <w:rFonts w:asciiTheme="minorHAnsi" w:hAnsiTheme="minorHAnsi" w:cs="Calibri"/>
        </w:rPr>
        <w:t xml:space="preserve">Týmto uchádzačom </w:t>
      </w:r>
      <w:r w:rsidR="0010608A" w:rsidRPr="002D7A10">
        <w:rPr>
          <w:rFonts w:asciiTheme="minorHAnsi" w:hAnsiTheme="minorHAnsi" w:cs="Calibri"/>
        </w:rPr>
        <w:t xml:space="preserve">môžu podľa </w:t>
      </w:r>
      <w:r w:rsidRPr="002D7A10">
        <w:rPr>
          <w:rFonts w:asciiTheme="minorHAnsi" w:hAnsiTheme="minorHAnsi" w:cs="Calibri"/>
        </w:rPr>
        <w:t xml:space="preserve">§ 58 ods. 8 zákona podať žiadosť o preskúmanie rozhodnutia o neprijatí na štúdium. Pomerne nízke percento žiadostí o preskúmanie rozhodnutí o neprijatí </w:t>
      </w:r>
      <w:r w:rsidR="0010608A" w:rsidRPr="002D7A10">
        <w:rPr>
          <w:rFonts w:asciiTheme="minorHAnsi" w:hAnsiTheme="minorHAnsi" w:cs="Calibri"/>
        </w:rPr>
        <w:t>potvrdzuje korektnosť</w:t>
      </w:r>
      <w:r w:rsidRPr="002D7A10">
        <w:rPr>
          <w:rFonts w:asciiTheme="minorHAnsi" w:hAnsiTheme="minorHAnsi" w:cs="Calibri"/>
        </w:rPr>
        <w:t xml:space="preserve"> priebehu prijímacieho konania a</w:t>
      </w:r>
      <w:r w:rsidR="0010608A" w:rsidRPr="002D7A10">
        <w:rPr>
          <w:rFonts w:asciiTheme="minorHAnsi" w:hAnsiTheme="minorHAnsi" w:cs="Calibri"/>
        </w:rPr>
        <w:t> </w:t>
      </w:r>
      <w:r w:rsidRPr="002D7A10">
        <w:rPr>
          <w:rFonts w:asciiTheme="minorHAnsi" w:hAnsiTheme="minorHAnsi" w:cs="Calibri"/>
        </w:rPr>
        <w:t>objektívnos</w:t>
      </w:r>
      <w:r w:rsidR="0010608A" w:rsidRPr="002D7A10">
        <w:rPr>
          <w:rFonts w:asciiTheme="minorHAnsi" w:hAnsiTheme="minorHAnsi" w:cs="Calibri"/>
        </w:rPr>
        <w:t xml:space="preserve">ť </w:t>
      </w:r>
      <w:r w:rsidR="00EA0264">
        <w:rPr>
          <w:rFonts w:asciiTheme="minorHAnsi" w:hAnsiTheme="minorHAnsi" w:cs="Calibri"/>
        </w:rPr>
        <w:t xml:space="preserve">rozhodnutia o jeho výsledku. </w:t>
      </w:r>
      <w:r w:rsidRPr="002D7A10">
        <w:rPr>
          <w:rFonts w:asciiTheme="minorHAnsi" w:hAnsiTheme="minorHAnsi" w:cs="Calibri"/>
        </w:rPr>
        <w:t xml:space="preserve">Tabuľka č. </w:t>
      </w:r>
      <w:r w:rsidR="007A4973" w:rsidRPr="002D7A10">
        <w:rPr>
          <w:rFonts w:asciiTheme="minorHAnsi" w:hAnsiTheme="minorHAnsi" w:cs="Calibri"/>
        </w:rPr>
        <w:t>3.</w:t>
      </w:r>
      <w:r w:rsidRPr="002D7A10">
        <w:rPr>
          <w:rFonts w:asciiTheme="minorHAnsi" w:hAnsiTheme="minorHAnsi" w:cs="Calibri"/>
        </w:rPr>
        <w:t xml:space="preserve">23 udáva počet žiadostí neprijatých uchádzačov postúpených na preskúmanie rektorovi. Z celkového </w:t>
      </w:r>
      <w:r w:rsidRPr="002D7A10">
        <w:rPr>
          <w:rFonts w:asciiTheme="minorHAnsi" w:hAnsiTheme="minorHAnsi" w:cs="Calibri"/>
          <w:shd w:val="clear" w:color="auto" w:fill="FFFFFF"/>
        </w:rPr>
        <w:t xml:space="preserve">počtu 1 461 </w:t>
      </w:r>
      <w:r w:rsidRPr="002D7A10">
        <w:rPr>
          <w:rFonts w:asciiTheme="minorHAnsi" w:hAnsiTheme="minorHAnsi" w:cs="Calibri"/>
        </w:rPr>
        <w:t>neprijatých uchádzačov na štúdium všetkých akreditovaných ŠP na STU žiadosti o preskúmanie podalo 106 uchádzačov (7</w:t>
      </w:r>
      <w:r w:rsidRPr="002D7A10">
        <w:rPr>
          <w:rFonts w:asciiTheme="minorHAnsi" w:hAnsiTheme="minorHAnsi" w:cs="Calibri"/>
          <w:shd w:val="clear" w:color="auto" w:fill="FFFFFF"/>
        </w:rPr>
        <w:t xml:space="preserve"> %).</w:t>
      </w:r>
      <w:r w:rsidRPr="002D7A10">
        <w:rPr>
          <w:rFonts w:asciiTheme="minorHAnsi" w:hAnsiTheme="minorHAnsi" w:cs="Calibri"/>
        </w:rPr>
        <w:t xml:space="preserve"> </w:t>
      </w:r>
    </w:p>
    <w:p w:rsidR="00E057AC" w:rsidRPr="002D7A10" w:rsidRDefault="00E057AC" w:rsidP="00E057AC">
      <w:pPr>
        <w:tabs>
          <w:tab w:val="left" w:pos="0"/>
          <w:tab w:val="left" w:pos="284"/>
        </w:tabs>
        <w:rPr>
          <w:rFonts w:asciiTheme="minorHAnsi" w:hAnsiTheme="minorHAnsi" w:cs="Calibri"/>
        </w:rPr>
      </w:pPr>
    </w:p>
    <w:p w:rsidR="00E057AC" w:rsidRPr="00505861" w:rsidRDefault="00E057AC" w:rsidP="00E057AC">
      <w:pPr>
        <w:tabs>
          <w:tab w:val="left" w:pos="0"/>
          <w:tab w:val="left" w:pos="284"/>
        </w:tabs>
        <w:rPr>
          <w:rFonts w:asciiTheme="minorHAnsi" w:hAnsiTheme="minorHAnsi" w:cs="Calibri"/>
          <w:b/>
          <w:sz w:val="20"/>
          <w:szCs w:val="20"/>
        </w:rPr>
      </w:pPr>
      <w:r w:rsidRPr="00505861">
        <w:rPr>
          <w:rFonts w:asciiTheme="minorHAnsi" w:hAnsiTheme="minorHAnsi" w:cs="Calibri"/>
          <w:b/>
          <w:sz w:val="20"/>
          <w:szCs w:val="20"/>
        </w:rPr>
        <w:t xml:space="preserve">Tabuľka č. </w:t>
      </w:r>
      <w:r w:rsidR="007A4973" w:rsidRPr="00505861">
        <w:rPr>
          <w:rFonts w:asciiTheme="minorHAnsi" w:hAnsiTheme="minorHAnsi" w:cs="Calibri"/>
          <w:b/>
          <w:sz w:val="20"/>
          <w:szCs w:val="20"/>
        </w:rPr>
        <w:t>3.</w:t>
      </w:r>
      <w:r w:rsidRPr="00505861">
        <w:rPr>
          <w:rFonts w:asciiTheme="minorHAnsi" w:hAnsiTheme="minorHAnsi" w:cs="Calibri"/>
          <w:b/>
          <w:sz w:val="20"/>
          <w:szCs w:val="20"/>
        </w:rPr>
        <w:t>23:  Počet žiadostí o preskúmanie rozhodnutí dekana o neprijatí na štúdium v akad. roku 2015/2016</w:t>
      </w:r>
    </w:p>
    <w:tbl>
      <w:tblPr>
        <w:tblW w:w="9421" w:type="dxa"/>
        <w:tblInd w:w="75" w:type="dxa"/>
        <w:tblCellMar>
          <w:left w:w="70" w:type="dxa"/>
          <w:right w:w="70" w:type="dxa"/>
        </w:tblCellMar>
        <w:tblLook w:val="04A0" w:firstRow="1" w:lastRow="0" w:firstColumn="1" w:lastColumn="0" w:noHBand="0" w:noVBand="1"/>
      </w:tblPr>
      <w:tblGrid>
        <w:gridCol w:w="874"/>
        <w:gridCol w:w="1248"/>
        <w:gridCol w:w="1718"/>
        <w:gridCol w:w="1258"/>
        <w:gridCol w:w="1503"/>
        <w:gridCol w:w="1191"/>
        <w:gridCol w:w="1629"/>
      </w:tblGrid>
      <w:tr w:rsidR="00E057AC" w:rsidRPr="00505861" w:rsidTr="00CE307D">
        <w:trPr>
          <w:trHeight w:val="20"/>
        </w:trPr>
        <w:tc>
          <w:tcPr>
            <w:tcW w:w="874" w:type="dxa"/>
            <w:vMerge w:val="restart"/>
            <w:tcBorders>
              <w:top w:val="single" w:sz="4" w:space="0" w:color="auto"/>
              <w:left w:val="single" w:sz="4" w:space="0" w:color="auto"/>
              <w:bottom w:val="single" w:sz="4" w:space="0" w:color="000000"/>
              <w:right w:val="single" w:sz="4" w:space="0" w:color="auto"/>
            </w:tcBorders>
            <w:noWrap/>
            <w:vAlign w:val="center"/>
            <w:hideMark/>
          </w:tcPr>
          <w:p w:rsidR="00E057AC" w:rsidRPr="00505861" w:rsidRDefault="00E057AC" w:rsidP="00CE307D">
            <w:pPr>
              <w:rPr>
                <w:rFonts w:asciiTheme="minorHAnsi" w:eastAsia="Times New Roman" w:hAnsiTheme="minorHAnsi" w:cs="Arial"/>
                <w:b/>
                <w:bCs/>
                <w:sz w:val="20"/>
                <w:szCs w:val="20"/>
                <w:lang w:eastAsia="sk-SK"/>
              </w:rPr>
            </w:pPr>
          </w:p>
        </w:tc>
        <w:tc>
          <w:tcPr>
            <w:tcW w:w="2966" w:type="dxa"/>
            <w:gridSpan w:val="2"/>
            <w:tcBorders>
              <w:top w:val="single" w:sz="4" w:space="0" w:color="auto"/>
              <w:left w:val="nil"/>
              <w:bottom w:val="single" w:sz="4" w:space="0" w:color="auto"/>
              <w:right w:val="double" w:sz="6" w:space="0" w:color="000000"/>
            </w:tcBorders>
            <w:noWrap/>
            <w:vAlign w:val="bottom"/>
            <w:hideMark/>
          </w:tcPr>
          <w:p w:rsidR="00E057AC" w:rsidRPr="00505861" w:rsidRDefault="00E057A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I. stupeň</w:t>
            </w:r>
          </w:p>
        </w:tc>
        <w:tc>
          <w:tcPr>
            <w:tcW w:w="2761" w:type="dxa"/>
            <w:gridSpan w:val="2"/>
            <w:tcBorders>
              <w:top w:val="single" w:sz="4" w:space="0" w:color="auto"/>
              <w:left w:val="nil"/>
              <w:bottom w:val="single" w:sz="4" w:space="0" w:color="auto"/>
              <w:right w:val="double" w:sz="6" w:space="0" w:color="000000"/>
            </w:tcBorders>
            <w:noWrap/>
            <w:vAlign w:val="bottom"/>
            <w:hideMark/>
          </w:tcPr>
          <w:p w:rsidR="00E057AC" w:rsidRPr="00505861" w:rsidRDefault="00E057A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II. stupeň</w:t>
            </w:r>
          </w:p>
        </w:tc>
        <w:tc>
          <w:tcPr>
            <w:tcW w:w="2820" w:type="dxa"/>
            <w:gridSpan w:val="2"/>
            <w:tcBorders>
              <w:top w:val="single" w:sz="4" w:space="0" w:color="auto"/>
              <w:left w:val="nil"/>
              <w:bottom w:val="single" w:sz="4" w:space="0" w:color="auto"/>
              <w:right w:val="double" w:sz="6" w:space="0" w:color="000000"/>
            </w:tcBorders>
            <w:noWrap/>
            <w:vAlign w:val="bottom"/>
            <w:hideMark/>
          </w:tcPr>
          <w:p w:rsidR="00E057AC" w:rsidRPr="00505861" w:rsidRDefault="00E057A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III. stupeň</w:t>
            </w:r>
          </w:p>
        </w:tc>
      </w:tr>
      <w:tr w:rsidR="00E057AC" w:rsidRPr="00505861" w:rsidTr="00CE307D">
        <w:trPr>
          <w:trHeight w:val="29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057AC" w:rsidRPr="00505861" w:rsidRDefault="00E057AC" w:rsidP="00CE307D">
            <w:pPr>
              <w:rPr>
                <w:rFonts w:asciiTheme="minorHAnsi" w:eastAsia="Times New Roman" w:hAnsiTheme="minorHAnsi" w:cs="Arial"/>
                <w:b/>
                <w:bCs/>
                <w:sz w:val="20"/>
                <w:szCs w:val="20"/>
                <w:lang w:eastAsia="sk-SK"/>
              </w:rPr>
            </w:pPr>
          </w:p>
        </w:tc>
        <w:tc>
          <w:tcPr>
            <w:tcW w:w="1248" w:type="dxa"/>
            <w:vMerge w:val="restart"/>
            <w:tcBorders>
              <w:top w:val="nil"/>
              <w:left w:val="single" w:sz="4" w:space="0" w:color="auto"/>
              <w:bottom w:val="single" w:sz="4" w:space="0" w:color="000000"/>
              <w:right w:val="single" w:sz="4" w:space="0" w:color="auto"/>
            </w:tcBorders>
            <w:noWrap/>
            <w:vAlign w:val="center"/>
            <w:hideMark/>
          </w:tcPr>
          <w:p w:rsidR="00E057AC" w:rsidRPr="00505861" w:rsidRDefault="00E057A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neprijatí</w:t>
            </w:r>
          </w:p>
        </w:tc>
        <w:tc>
          <w:tcPr>
            <w:tcW w:w="1718" w:type="dxa"/>
            <w:vMerge w:val="restart"/>
            <w:tcBorders>
              <w:top w:val="nil"/>
              <w:left w:val="single" w:sz="4" w:space="0" w:color="auto"/>
              <w:bottom w:val="single" w:sz="4" w:space="0" w:color="000000"/>
              <w:right w:val="double" w:sz="6" w:space="0" w:color="auto"/>
            </w:tcBorders>
            <w:vAlign w:val="center"/>
            <w:hideMark/>
          </w:tcPr>
          <w:p w:rsidR="00E057AC" w:rsidRPr="00505861" w:rsidRDefault="00E057A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Žiadosti</w:t>
            </w:r>
          </w:p>
          <w:p w:rsidR="00E057AC" w:rsidRPr="00505861" w:rsidRDefault="00E057A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o preskúmanie</w:t>
            </w:r>
          </w:p>
        </w:tc>
        <w:tc>
          <w:tcPr>
            <w:tcW w:w="1258" w:type="dxa"/>
            <w:vMerge w:val="restart"/>
            <w:tcBorders>
              <w:top w:val="nil"/>
              <w:left w:val="double" w:sz="6" w:space="0" w:color="auto"/>
              <w:bottom w:val="single" w:sz="4" w:space="0" w:color="000000"/>
              <w:right w:val="single" w:sz="4" w:space="0" w:color="auto"/>
            </w:tcBorders>
            <w:noWrap/>
            <w:vAlign w:val="center"/>
            <w:hideMark/>
          </w:tcPr>
          <w:p w:rsidR="00E057AC" w:rsidRPr="00505861" w:rsidRDefault="00E057A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neprijatí</w:t>
            </w:r>
          </w:p>
        </w:tc>
        <w:tc>
          <w:tcPr>
            <w:tcW w:w="1503" w:type="dxa"/>
            <w:vMerge w:val="restart"/>
            <w:tcBorders>
              <w:top w:val="nil"/>
              <w:left w:val="single" w:sz="4" w:space="0" w:color="auto"/>
              <w:bottom w:val="single" w:sz="4" w:space="0" w:color="000000"/>
              <w:right w:val="double" w:sz="6" w:space="0" w:color="auto"/>
            </w:tcBorders>
            <w:vAlign w:val="center"/>
            <w:hideMark/>
          </w:tcPr>
          <w:p w:rsidR="00E057AC" w:rsidRPr="00505861" w:rsidRDefault="00E057A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Žiadosti</w:t>
            </w:r>
          </w:p>
          <w:p w:rsidR="00E057AC" w:rsidRPr="00505861" w:rsidRDefault="00E057A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o preskúmanie</w:t>
            </w:r>
          </w:p>
        </w:tc>
        <w:tc>
          <w:tcPr>
            <w:tcW w:w="1191" w:type="dxa"/>
            <w:vMerge w:val="restart"/>
            <w:tcBorders>
              <w:top w:val="nil"/>
              <w:left w:val="double" w:sz="6" w:space="0" w:color="auto"/>
              <w:bottom w:val="single" w:sz="4" w:space="0" w:color="000000"/>
              <w:right w:val="single" w:sz="4" w:space="0" w:color="auto"/>
            </w:tcBorders>
            <w:noWrap/>
            <w:vAlign w:val="center"/>
            <w:hideMark/>
          </w:tcPr>
          <w:p w:rsidR="00E057AC" w:rsidRPr="00505861" w:rsidRDefault="00E057A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neprijatí</w:t>
            </w:r>
          </w:p>
        </w:tc>
        <w:tc>
          <w:tcPr>
            <w:tcW w:w="1629" w:type="dxa"/>
            <w:vMerge w:val="restart"/>
            <w:tcBorders>
              <w:top w:val="nil"/>
              <w:left w:val="single" w:sz="4" w:space="0" w:color="auto"/>
              <w:bottom w:val="single" w:sz="4" w:space="0" w:color="000000"/>
              <w:right w:val="double" w:sz="6" w:space="0" w:color="auto"/>
            </w:tcBorders>
            <w:vAlign w:val="center"/>
            <w:hideMark/>
          </w:tcPr>
          <w:p w:rsidR="00E057AC" w:rsidRPr="00505861" w:rsidRDefault="00E057A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Žiadosti</w:t>
            </w:r>
          </w:p>
          <w:p w:rsidR="00E057AC" w:rsidRPr="00505861" w:rsidRDefault="00E057AC" w:rsidP="00CE307D">
            <w:pPr>
              <w:jc w:val="center"/>
              <w:rPr>
                <w:rFonts w:asciiTheme="minorHAnsi" w:eastAsia="Times New Roman" w:hAnsiTheme="minorHAnsi" w:cs="Arial"/>
                <w:sz w:val="20"/>
                <w:szCs w:val="20"/>
                <w:lang w:eastAsia="sk-SK"/>
              </w:rPr>
            </w:pPr>
            <w:r w:rsidRPr="00505861">
              <w:rPr>
                <w:rFonts w:asciiTheme="minorHAnsi" w:eastAsia="Times New Roman" w:hAnsiTheme="minorHAnsi" w:cs="Arial"/>
                <w:sz w:val="20"/>
                <w:szCs w:val="20"/>
                <w:lang w:eastAsia="sk-SK"/>
              </w:rPr>
              <w:t>o preskúmanie</w:t>
            </w:r>
          </w:p>
        </w:tc>
      </w:tr>
      <w:tr w:rsidR="00E057AC" w:rsidRPr="00505861" w:rsidTr="00CE307D">
        <w:trPr>
          <w:trHeight w:val="29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057AC" w:rsidRPr="00505861" w:rsidRDefault="00E057AC" w:rsidP="00CE307D">
            <w:pPr>
              <w:rPr>
                <w:rFonts w:asciiTheme="minorHAnsi" w:eastAsia="Times New Roman" w:hAnsiTheme="minorHAnsi" w:cs="Arial"/>
                <w:b/>
                <w:bCs/>
                <w:sz w:val="20"/>
                <w:szCs w:val="20"/>
                <w:lang w:eastAsia="sk-SK"/>
              </w:rPr>
            </w:pPr>
          </w:p>
        </w:tc>
        <w:tc>
          <w:tcPr>
            <w:tcW w:w="1248" w:type="dxa"/>
            <w:vMerge/>
            <w:tcBorders>
              <w:top w:val="nil"/>
              <w:left w:val="single" w:sz="4" w:space="0" w:color="auto"/>
              <w:bottom w:val="single" w:sz="4" w:space="0" w:color="000000"/>
              <w:right w:val="single" w:sz="4" w:space="0" w:color="auto"/>
            </w:tcBorders>
            <w:vAlign w:val="center"/>
            <w:hideMark/>
          </w:tcPr>
          <w:p w:rsidR="00E057AC" w:rsidRPr="00505861" w:rsidRDefault="00E057AC" w:rsidP="00CE307D">
            <w:pPr>
              <w:rPr>
                <w:rFonts w:asciiTheme="minorHAnsi" w:eastAsia="Times New Roman" w:hAnsiTheme="minorHAnsi" w:cs="Arial"/>
                <w:sz w:val="20"/>
                <w:szCs w:val="20"/>
                <w:lang w:eastAsia="sk-SK"/>
              </w:rPr>
            </w:pPr>
          </w:p>
        </w:tc>
        <w:tc>
          <w:tcPr>
            <w:tcW w:w="1718" w:type="dxa"/>
            <w:vMerge/>
            <w:tcBorders>
              <w:top w:val="nil"/>
              <w:left w:val="single" w:sz="4" w:space="0" w:color="auto"/>
              <w:bottom w:val="single" w:sz="4" w:space="0" w:color="000000"/>
              <w:right w:val="double" w:sz="6" w:space="0" w:color="auto"/>
            </w:tcBorders>
            <w:vAlign w:val="center"/>
            <w:hideMark/>
          </w:tcPr>
          <w:p w:rsidR="00E057AC" w:rsidRPr="00505861" w:rsidRDefault="00E057AC" w:rsidP="00CE307D">
            <w:pPr>
              <w:rPr>
                <w:rFonts w:asciiTheme="minorHAnsi" w:eastAsia="Times New Roman" w:hAnsiTheme="minorHAnsi" w:cs="Arial"/>
                <w:sz w:val="20"/>
                <w:szCs w:val="20"/>
                <w:lang w:eastAsia="sk-SK"/>
              </w:rPr>
            </w:pPr>
          </w:p>
        </w:tc>
        <w:tc>
          <w:tcPr>
            <w:tcW w:w="1258" w:type="dxa"/>
            <w:vMerge/>
            <w:tcBorders>
              <w:top w:val="nil"/>
              <w:left w:val="double" w:sz="6" w:space="0" w:color="auto"/>
              <w:bottom w:val="single" w:sz="4" w:space="0" w:color="000000"/>
              <w:right w:val="single" w:sz="4" w:space="0" w:color="auto"/>
            </w:tcBorders>
            <w:vAlign w:val="center"/>
            <w:hideMark/>
          </w:tcPr>
          <w:p w:rsidR="00E057AC" w:rsidRPr="00505861" w:rsidRDefault="00E057AC" w:rsidP="00CE307D">
            <w:pPr>
              <w:rPr>
                <w:rFonts w:asciiTheme="minorHAnsi" w:eastAsia="Times New Roman" w:hAnsiTheme="minorHAnsi" w:cs="Arial"/>
                <w:sz w:val="20"/>
                <w:szCs w:val="20"/>
                <w:lang w:eastAsia="sk-SK"/>
              </w:rPr>
            </w:pPr>
          </w:p>
        </w:tc>
        <w:tc>
          <w:tcPr>
            <w:tcW w:w="1503" w:type="dxa"/>
            <w:vMerge/>
            <w:tcBorders>
              <w:top w:val="nil"/>
              <w:left w:val="single" w:sz="4" w:space="0" w:color="auto"/>
              <w:bottom w:val="single" w:sz="4" w:space="0" w:color="000000"/>
              <w:right w:val="double" w:sz="6" w:space="0" w:color="auto"/>
            </w:tcBorders>
            <w:vAlign w:val="center"/>
            <w:hideMark/>
          </w:tcPr>
          <w:p w:rsidR="00E057AC" w:rsidRPr="00505861" w:rsidRDefault="00E057AC" w:rsidP="00CE307D">
            <w:pPr>
              <w:rPr>
                <w:rFonts w:asciiTheme="minorHAnsi" w:eastAsia="Times New Roman" w:hAnsiTheme="minorHAnsi" w:cs="Arial"/>
                <w:sz w:val="20"/>
                <w:szCs w:val="20"/>
                <w:lang w:eastAsia="sk-SK"/>
              </w:rPr>
            </w:pPr>
          </w:p>
        </w:tc>
        <w:tc>
          <w:tcPr>
            <w:tcW w:w="1191" w:type="dxa"/>
            <w:vMerge/>
            <w:tcBorders>
              <w:top w:val="nil"/>
              <w:left w:val="double" w:sz="6" w:space="0" w:color="auto"/>
              <w:bottom w:val="single" w:sz="4" w:space="0" w:color="000000"/>
              <w:right w:val="single" w:sz="4" w:space="0" w:color="auto"/>
            </w:tcBorders>
            <w:vAlign w:val="center"/>
            <w:hideMark/>
          </w:tcPr>
          <w:p w:rsidR="00E057AC" w:rsidRPr="00505861" w:rsidRDefault="00E057AC" w:rsidP="00CE307D">
            <w:pPr>
              <w:rPr>
                <w:rFonts w:asciiTheme="minorHAnsi" w:eastAsia="Times New Roman" w:hAnsiTheme="minorHAnsi" w:cs="Arial"/>
                <w:sz w:val="20"/>
                <w:szCs w:val="20"/>
                <w:lang w:eastAsia="sk-SK"/>
              </w:rPr>
            </w:pPr>
          </w:p>
        </w:tc>
        <w:tc>
          <w:tcPr>
            <w:tcW w:w="1629" w:type="dxa"/>
            <w:vMerge/>
            <w:tcBorders>
              <w:top w:val="nil"/>
              <w:left w:val="single" w:sz="4" w:space="0" w:color="auto"/>
              <w:bottom w:val="single" w:sz="4" w:space="0" w:color="000000"/>
              <w:right w:val="double" w:sz="6" w:space="0" w:color="auto"/>
            </w:tcBorders>
            <w:vAlign w:val="center"/>
            <w:hideMark/>
          </w:tcPr>
          <w:p w:rsidR="00E057AC" w:rsidRPr="00505861" w:rsidRDefault="00E057AC" w:rsidP="00CE307D">
            <w:pPr>
              <w:rPr>
                <w:rFonts w:asciiTheme="minorHAnsi" w:eastAsia="Times New Roman" w:hAnsiTheme="minorHAnsi" w:cs="Arial"/>
                <w:sz w:val="20"/>
                <w:szCs w:val="20"/>
                <w:lang w:eastAsia="sk-SK"/>
              </w:rPr>
            </w:pPr>
          </w:p>
        </w:tc>
      </w:tr>
      <w:tr w:rsidR="00E057AC" w:rsidRPr="00505861" w:rsidTr="00CE307D">
        <w:trPr>
          <w:trHeight w:val="20"/>
        </w:trPr>
        <w:tc>
          <w:tcPr>
            <w:tcW w:w="874" w:type="dxa"/>
            <w:tcBorders>
              <w:top w:val="nil"/>
              <w:left w:val="single" w:sz="4" w:space="0" w:color="auto"/>
              <w:bottom w:val="single" w:sz="4" w:space="0" w:color="auto"/>
              <w:right w:val="single" w:sz="4" w:space="0" w:color="auto"/>
            </w:tcBorders>
            <w:noWrap/>
            <w:vAlign w:val="bottom"/>
            <w:hideMark/>
          </w:tcPr>
          <w:p w:rsidR="00E057AC" w:rsidRPr="00505861" w:rsidRDefault="00E057AC" w:rsidP="00CE307D">
            <w:pP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STU</w:t>
            </w:r>
          </w:p>
        </w:tc>
        <w:tc>
          <w:tcPr>
            <w:tcW w:w="1248" w:type="dxa"/>
            <w:tcBorders>
              <w:top w:val="nil"/>
              <w:left w:val="nil"/>
              <w:bottom w:val="single" w:sz="4" w:space="0" w:color="auto"/>
              <w:right w:val="single" w:sz="4" w:space="0" w:color="auto"/>
            </w:tcBorders>
            <w:noWrap/>
            <w:vAlign w:val="center"/>
            <w:hideMark/>
          </w:tcPr>
          <w:p w:rsidR="00E057AC" w:rsidRPr="00505861" w:rsidRDefault="00E057A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1 109</w:t>
            </w:r>
          </w:p>
        </w:tc>
        <w:tc>
          <w:tcPr>
            <w:tcW w:w="1718" w:type="dxa"/>
            <w:tcBorders>
              <w:top w:val="nil"/>
              <w:left w:val="nil"/>
              <w:bottom w:val="single" w:sz="4" w:space="0" w:color="auto"/>
              <w:right w:val="double" w:sz="6" w:space="0" w:color="auto"/>
            </w:tcBorders>
            <w:noWrap/>
            <w:vAlign w:val="center"/>
            <w:hideMark/>
          </w:tcPr>
          <w:p w:rsidR="00E057AC" w:rsidRPr="00505861" w:rsidRDefault="00E057AC" w:rsidP="00CE307D">
            <w:pPr>
              <w:ind w:leftChars="-1" w:hangingChars="1" w:hanging="2"/>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80</w:t>
            </w:r>
          </w:p>
        </w:tc>
        <w:tc>
          <w:tcPr>
            <w:tcW w:w="1258" w:type="dxa"/>
            <w:tcBorders>
              <w:top w:val="nil"/>
              <w:left w:val="nil"/>
              <w:bottom w:val="single" w:sz="4" w:space="0" w:color="auto"/>
              <w:right w:val="single" w:sz="4" w:space="0" w:color="auto"/>
            </w:tcBorders>
            <w:noWrap/>
            <w:vAlign w:val="center"/>
            <w:hideMark/>
          </w:tcPr>
          <w:p w:rsidR="00E057AC" w:rsidRPr="00505861" w:rsidRDefault="00E057A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284</w:t>
            </w:r>
          </w:p>
        </w:tc>
        <w:tc>
          <w:tcPr>
            <w:tcW w:w="1503" w:type="dxa"/>
            <w:tcBorders>
              <w:top w:val="nil"/>
              <w:left w:val="nil"/>
              <w:bottom w:val="single" w:sz="4" w:space="0" w:color="auto"/>
              <w:right w:val="double" w:sz="6" w:space="0" w:color="auto"/>
            </w:tcBorders>
            <w:noWrap/>
            <w:vAlign w:val="center"/>
            <w:hideMark/>
          </w:tcPr>
          <w:p w:rsidR="00E057AC" w:rsidRPr="00505861" w:rsidRDefault="00E057A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14</w:t>
            </w:r>
          </w:p>
        </w:tc>
        <w:tc>
          <w:tcPr>
            <w:tcW w:w="1191" w:type="dxa"/>
            <w:tcBorders>
              <w:top w:val="nil"/>
              <w:left w:val="nil"/>
              <w:bottom w:val="single" w:sz="4" w:space="0" w:color="auto"/>
              <w:right w:val="single" w:sz="4" w:space="0" w:color="auto"/>
            </w:tcBorders>
            <w:noWrap/>
            <w:vAlign w:val="center"/>
            <w:hideMark/>
          </w:tcPr>
          <w:p w:rsidR="00E057AC" w:rsidRPr="00505861" w:rsidRDefault="00E057AC" w:rsidP="00505861">
            <w:pPr>
              <w:ind w:firstLineChars="300" w:firstLine="602"/>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68</w:t>
            </w:r>
          </w:p>
        </w:tc>
        <w:tc>
          <w:tcPr>
            <w:tcW w:w="1629" w:type="dxa"/>
            <w:tcBorders>
              <w:top w:val="nil"/>
              <w:left w:val="nil"/>
              <w:bottom w:val="single" w:sz="4" w:space="0" w:color="auto"/>
              <w:right w:val="double" w:sz="6" w:space="0" w:color="auto"/>
            </w:tcBorders>
            <w:noWrap/>
            <w:vAlign w:val="center"/>
            <w:hideMark/>
          </w:tcPr>
          <w:p w:rsidR="00E057AC" w:rsidRPr="00505861" w:rsidRDefault="00E057AC" w:rsidP="00CE307D">
            <w:pPr>
              <w:jc w:val="center"/>
              <w:rPr>
                <w:rFonts w:asciiTheme="minorHAnsi" w:eastAsia="Times New Roman" w:hAnsiTheme="minorHAnsi" w:cs="Arial"/>
                <w:b/>
                <w:bCs/>
                <w:sz w:val="20"/>
                <w:szCs w:val="20"/>
                <w:lang w:eastAsia="sk-SK"/>
              </w:rPr>
            </w:pPr>
            <w:r w:rsidRPr="00505861">
              <w:rPr>
                <w:rFonts w:asciiTheme="minorHAnsi" w:eastAsia="Times New Roman" w:hAnsiTheme="minorHAnsi" w:cs="Arial"/>
                <w:b/>
                <w:bCs/>
                <w:sz w:val="20"/>
                <w:szCs w:val="20"/>
                <w:lang w:eastAsia="sk-SK"/>
              </w:rPr>
              <w:t>12</w:t>
            </w:r>
          </w:p>
        </w:tc>
      </w:tr>
    </w:tbl>
    <w:p w:rsidR="00E057AC" w:rsidRPr="00505861" w:rsidRDefault="00E057AC" w:rsidP="00E057AC">
      <w:pPr>
        <w:tabs>
          <w:tab w:val="left" w:pos="0"/>
          <w:tab w:val="left" w:pos="284"/>
        </w:tabs>
        <w:rPr>
          <w:rFonts w:asciiTheme="minorHAnsi" w:hAnsiTheme="minorHAnsi" w:cs="Calibri"/>
          <w:sz w:val="20"/>
          <w:szCs w:val="20"/>
        </w:rPr>
      </w:pPr>
    </w:p>
    <w:p w:rsidR="0010608A" w:rsidRPr="00505861" w:rsidRDefault="0010608A" w:rsidP="00E057AC">
      <w:pPr>
        <w:tabs>
          <w:tab w:val="left" w:pos="0"/>
          <w:tab w:val="left" w:pos="284"/>
        </w:tabs>
        <w:rPr>
          <w:rFonts w:asciiTheme="minorHAnsi" w:hAnsiTheme="minorHAnsi" w:cs="Calibri"/>
          <w:b/>
          <w:sz w:val="20"/>
          <w:szCs w:val="20"/>
        </w:rPr>
      </w:pPr>
    </w:p>
    <w:p w:rsidR="00E057AC" w:rsidRPr="00505861" w:rsidRDefault="00E057AC" w:rsidP="00E057AC">
      <w:pPr>
        <w:tabs>
          <w:tab w:val="left" w:pos="0"/>
          <w:tab w:val="left" w:pos="284"/>
        </w:tabs>
        <w:rPr>
          <w:rFonts w:asciiTheme="minorHAnsi" w:hAnsiTheme="minorHAnsi" w:cs="Calibri"/>
          <w:b/>
          <w:sz w:val="20"/>
          <w:szCs w:val="20"/>
        </w:rPr>
      </w:pPr>
      <w:r w:rsidRPr="00505861">
        <w:rPr>
          <w:rFonts w:asciiTheme="minorHAnsi" w:hAnsiTheme="minorHAnsi" w:cs="Calibri"/>
          <w:b/>
          <w:sz w:val="20"/>
          <w:szCs w:val="20"/>
        </w:rPr>
        <w:t xml:space="preserve">Graf č. </w:t>
      </w:r>
      <w:r w:rsidR="007A4973" w:rsidRPr="00505861">
        <w:rPr>
          <w:rFonts w:asciiTheme="minorHAnsi" w:hAnsiTheme="minorHAnsi" w:cs="Calibri"/>
          <w:b/>
          <w:sz w:val="20"/>
          <w:szCs w:val="20"/>
        </w:rPr>
        <w:t>3.</w:t>
      </w:r>
      <w:r w:rsidRPr="00505861">
        <w:rPr>
          <w:rFonts w:asciiTheme="minorHAnsi" w:hAnsiTheme="minorHAnsi" w:cs="Calibri"/>
          <w:b/>
          <w:sz w:val="20"/>
          <w:szCs w:val="20"/>
        </w:rPr>
        <w:t xml:space="preserve">12: Počet žiadostí o preskúmanie rozhodnutí dekana o neprijatí na štúdium v akad. roku 2015/2016 </w:t>
      </w:r>
    </w:p>
    <w:p w:rsidR="00E057AC" w:rsidRPr="00505861" w:rsidRDefault="00E057AC" w:rsidP="00E057AC">
      <w:pPr>
        <w:tabs>
          <w:tab w:val="left" w:pos="0"/>
          <w:tab w:val="left" w:pos="284"/>
        </w:tabs>
        <w:rPr>
          <w:rFonts w:asciiTheme="minorHAnsi" w:hAnsiTheme="minorHAnsi" w:cs="Calibri"/>
          <w:sz w:val="20"/>
          <w:szCs w:val="20"/>
        </w:rPr>
      </w:pPr>
      <w:r w:rsidRPr="00505861">
        <w:rPr>
          <w:rFonts w:asciiTheme="minorHAnsi" w:hAnsiTheme="minorHAnsi"/>
          <w:noProof/>
          <w:sz w:val="20"/>
          <w:szCs w:val="20"/>
          <w:lang w:eastAsia="sk-SK"/>
        </w:rPr>
        <w:drawing>
          <wp:inline distT="0" distB="0" distL="0" distR="0" wp14:anchorId="132D43ED" wp14:editId="4A93A92C">
            <wp:extent cx="4191000" cy="2571750"/>
            <wp:effectExtent l="0" t="0" r="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51749" w:rsidRPr="00505861" w:rsidRDefault="00B51749" w:rsidP="00B51749">
      <w:pPr>
        <w:tabs>
          <w:tab w:val="left" w:pos="0"/>
          <w:tab w:val="left" w:pos="284"/>
        </w:tabs>
        <w:rPr>
          <w:rFonts w:asciiTheme="minorHAnsi" w:hAnsiTheme="minorHAnsi" w:cs="Calibri"/>
          <w:b/>
          <w:sz w:val="20"/>
          <w:szCs w:val="20"/>
        </w:rPr>
      </w:pPr>
    </w:p>
    <w:p w:rsidR="00B51749" w:rsidRPr="002D7A10" w:rsidRDefault="00B51749" w:rsidP="00B51749">
      <w:pPr>
        <w:tabs>
          <w:tab w:val="left" w:pos="0"/>
          <w:tab w:val="left" w:pos="284"/>
        </w:tabs>
        <w:rPr>
          <w:rFonts w:asciiTheme="minorHAnsi" w:hAnsiTheme="minorHAnsi"/>
          <w:b/>
        </w:rPr>
      </w:pPr>
    </w:p>
    <w:p w:rsidR="00B51749" w:rsidRPr="002D7A10" w:rsidRDefault="00B51749" w:rsidP="0000089C">
      <w:pPr>
        <w:pStyle w:val="Nadpis3"/>
        <w:rPr>
          <w:rFonts w:asciiTheme="minorHAnsi" w:hAnsiTheme="minorHAnsi"/>
          <w:color w:val="auto"/>
        </w:rPr>
      </w:pPr>
      <w:r w:rsidRPr="002D7A10">
        <w:rPr>
          <w:rFonts w:asciiTheme="minorHAnsi" w:hAnsiTheme="minorHAnsi"/>
          <w:color w:val="auto"/>
        </w:rPr>
        <w:t xml:space="preserve"> </w:t>
      </w:r>
      <w:bookmarkStart w:id="19" w:name="_Toc448261561"/>
      <w:r w:rsidRPr="002D7A10">
        <w:rPr>
          <w:rFonts w:asciiTheme="minorHAnsi" w:hAnsiTheme="minorHAnsi"/>
          <w:color w:val="auto"/>
        </w:rPr>
        <w:t>Vyhodnotenie prijímacieho konania na STU na akademický rok 2014/2015</w:t>
      </w:r>
      <w:bookmarkEnd w:id="19"/>
    </w:p>
    <w:p w:rsidR="00B51749" w:rsidRPr="002D7A10" w:rsidRDefault="00B51749" w:rsidP="00B51749">
      <w:pPr>
        <w:rPr>
          <w:rFonts w:asciiTheme="minorHAnsi" w:hAnsiTheme="minorHAnsi"/>
          <w:color w:val="FF0000"/>
        </w:rPr>
      </w:pPr>
    </w:p>
    <w:p w:rsidR="009979FE" w:rsidRPr="00EA0264" w:rsidRDefault="009979FE" w:rsidP="00EA0264">
      <w:pPr>
        <w:ind w:right="272"/>
        <w:rPr>
          <w:rFonts w:asciiTheme="minorHAnsi" w:hAnsiTheme="minorHAnsi" w:cstheme="majorHAnsi"/>
          <w:b/>
        </w:rPr>
      </w:pPr>
      <w:r w:rsidRPr="002D7A10">
        <w:rPr>
          <w:rFonts w:asciiTheme="minorHAnsi" w:hAnsiTheme="minorHAnsi" w:cstheme="majorHAnsi"/>
        </w:rPr>
        <w:t xml:space="preserve">V prijímacom konaní 2015/2016 bolo celkovo zapísaných 4 171 prijatých uchádzačov na prvom stupni štúdia; 2 220 na druhom stupni štúdia a 199 na treťom stupni štúdia (149 v dennej forme a 50 v  externej forme). </w:t>
      </w:r>
      <w:r w:rsidRPr="002D7A10">
        <w:rPr>
          <w:rFonts w:asciiTheme="minorHAnsi" w:hAnsiTheme="minorHAnsi" w:cstheme="majorHAnsi"/>
          <w:b/>
        </w:rPr>
        <w:t>Spolu sa z</w:t>
      </w:r>
      <w:r w:rsidR="00EA0264">
        <w:rPr>
          <w:rFonts w:asciiTheme="minorHAnsi" w:hAnsiTheme="minorHAnsi" w:cstheme="majorHAnsi"/>
          <w:b/>
        </w:rPr>
        <w:t xml:space="preserve">apísalo 6 590 nových študentov. </w:t>
      </w:r>
      <w:r w:rsidRPr="002D7A10">
        <w:rPr>
          <w:rFonts w:asciiTheme="minorHAnsi" w:hAnsiTheme="minorHAnsi" w:cstheme="majorHAnsi"/>
        </w:rPr>
        <w:t xml:space="preserve">Oproti akademickému roku 2014/2015 to znamená pokles o 6,8 % na prvom stupni štúdia, nárast o 6,5 % na druhom stupni štúdia a pokles o 23,5 % na treťom stupni štúdia. </w:t>
      </w:r>
    </w:p>
    <w:p w:rsidR="009979FE" w:rsidRPr="002D7A10" w:rsidRDefault="009979FE" w:rsidP="009979FE">
      <w:pPr>
        <w:ind w:right="275"/>
        <w:rPr>
          <w:rFonts w:asciiTheme="minorHAnsi" w:hAnsiTheme="minorHAnsi" w:cstheme="majorHAnsi"/>
          <w:b/>
        </w:rPr>
      </w:pPr>
      <w:r w:rsidRPr="002D7A10">
        <w:rPr>
          <w:rFonts w:asciiTheme="minorHAnsi" w:hAnsiTheme="minorHAnsi" w:cstheme="majorHAnsi"/>
          <w:b/>
        </w:rPr>
        <w:t>Pokles na prvom stupni štúdia je spôsobený hlavne výrazným poklesom maturantov SR až o 7,5 % oproti minulému roku. Pokles na treťom stupni štúdia v dennej forme vyplýva hlavne zo zmenného modelu financovania od ak. roku 2012/2013, odkedy si počty študentov určujú samotné fakulty.</w:t>
      </w:r>
    </w:p>
    <w:p w:rsidR="009979FE" w:rsidRPr="002D7A10" w:rsidRDefault="009979FE" w:rsidP="009979FE">
      <w:pPr>
        <w:ind w:right="275"/>
        <w:rPr>
          <w:rFonts w:asciiTheme="minorHAnsi" w:hAnsiTheme="minorHAnsi" w:cstheme="majorHAnsi"/>
        </w:rPr>
      </w:pPr>
    </w:p>
    <w:p w:rsidR="009979FE" w:rsidRPr="005D6D02" w:rsidRDefault="009979FE" w:rsidP="009979FE">
      <w:pPr>
        <w:rPr>
          <w:rFonts w:asciiTheme="minorHAnsi" w:hAnsiTheme="minorHAnsi" w:cs="Calibri"/>
          <w:b/>
          <w:sz w:val="20"/>
          <w:szCs w:val="20"/>
        </w:rPr>
      </w:pPr>
      <w:r w:rsidRPr="005D6D02">
        <w:rPr>
          <w:rFonts w:asciiTheme="minorHAnsi" w:hAnsiTheme="minorHAnsi" w:cs="Calibri"/>
          <w:b/>
          <w:sz w:val="20"/>
          <w:szCs w:val="20"/>
        </w:rPr>
        <w:t>Tabuľka č.</w:t>
      </w:r>
      <w:r w:rsidR="007A4973" w:rsidRPr="005D6D02">
        <w:rPr>
          <w:rFonts w:asciiTheme="minorHAnsi" w:hAnsiTheme="minorHAnsi" w:cs="Calibri"/>
          <w:b/>
          <w:sz w:val="20"/>
          <w:szCs w:val="20"/>
        </w:rPr>
        <w:t>3.</w:t>
      </w:r>
      <w:r w:rsidRPr="005D6D02">
        <w:rPr>
          <w:rFonts w:asciiTheme="minorHAnsi" w:hAnsiTheme="minorHAnsi" w:cs="Calibri"/>
          <w:b/>
          <w:sz w:val="20"/>
          <w:szCs w:val="20"/>
        </w:rPr>
        <w:t>24: Počet uchádzačov na STU v porovnaní s predchádzajúcim akad. rokom</w:t>
      </w:r>
    </w:p>
    <w:tbl>
      <w:tblPr>
        <w:tblW w:w="6111" w:type="dxa"/>
        <w:tblInd w:w="55" w:type="dxa"/>
        <w:tblLayout w:type="fixed"/>
        <w:tblCellMar>
          <w:left w:w="70" w:type="dxa"/>
          <w:right w:w="70" w:type="dxa"/>
        </w:tblCellMar>
        <w:tblLook w:val="04A0" w:firstRow="1" w:lastRow="0" w:firstColumn="1" w:lastColumn="0" w:noHBand="0" w:noVBand="1"/>
      </w:tblPr>
      <w:tblGrid>
        <w:gridCol w:w="1222"/>
        <w:gridCol w:w="1222"/>
        <w:gridCol w:w="1222"/>
        <w:gridCol w:w="1222"/>
        <w:gridCol w:w="1223"/>
      </w:tblGrid>
      <w:tr w:rsidR="009979FE" w:rsidRPr="005D6D02" w:rsidTr="00CE307D">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9FE" w:rsidRPr="005D6D02" w:rsidRDefault="009979FE" w:rsidP="00CE307D">
            <w:pPr>
              <w:jc w:val="center"/>
              <w:rPr>
                <w:rFonts w:asciiTheme="minorHAnsi" w:eastAsia="Times New Roman" w:hAnsiTheme="minorHAnsi" w:cs="Arial"/>
                <w:b/>
                <w:i/>
                <w:iCs/>
                <w:sz w:val="20"/>
                <w:szCs w:val="20"/>
                <w:lang w:eastAsia="sk-SK"/>
              </w:rPr>
            </w:pPr>
            <w:r w:rsidRPr="005D6D02">
              <w:rPr>
                <w:rFonts w:asciiTheme="minorHAnsi" w:eastAsia="Times New Roman" w:hAnsiTheme="minorHAnsi" w:cs="Arial"/>
                <w:b/>
                <w:i/>
                <w:iCs/>
                <w:sz w:val="20"/>
                <w:szCs w:val="20"/>
                <w:lang w:eastAsia="sk-SK"/>
              </w:rPr>
              <w:t> </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9979FE" w:rsidRPr="005D6D02" w:rsidRDefault="009979FE" w:rsidP="00CE307D">
            <w:pPr>
              <w:jc w:val="center"/>
              <w:rPr>
                <w:rFonts w:asciiTheme="minorHAnsi" w:eastAsia="Times New Roman" w:hAnsiTheme="minorHAnsi" w:cs="Arial"/>
                <w:b/>
                <w:sz w:val="20"/>
                <w:szCs w:val="20"/>
                <w:lang w:eastAsia="sk-SK"/>
              </w:rPr>
            </w:pPr>
            <w:r w:rsidRPr="005D6D02">
              <w:rPr>
                <w:rFonts w:asciiTheme="minorHAnsi" w:eastAsia="Times New Roman" w:hAnsiTheme="minorHAnsi" w:cs="Arial"/>
                <w:b/>
                <w:sz w:val="20"/>
                <w:szCs w:val="20"/>
                <w:lang w:eastAsia="sk-SK"/>
              </w:rPr>
              <w:t>2014/2015</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9979FE" w:rsidRPr="005D6D02" w:rsidRDefault="009979FE" w:rsidP="00CE307D">
            <w:pPr>
              <w:jc w:val="center"/>
              <w:rPr>
                <w:rFonts w:asciiTheme="minorHAnsi" w:eastAsia="Times New Roman" w:hAnsiTheme="minorHAnsi" w:cs="Arial"/>
                <w:b/>
                <w:sz w:val="20"/>
                <w:szCs w:val="20"/>
                <w:lang w:eastAsia="sk-SK"/>
              </w:rPr>
            </w:pPr>
            <w:r w:rsidRPr="005D6D02">
              <w:rPr>
                <w:rFonts w:asciiTheme="minorHAnsi" w:eastAsia="Times New Roman" w:hAnsiTheme="minorHAnsi" w:cs="Arial"/>
                <w:b/>
                <w:sz w:val="20"/>
                <w:szCs w:val="20"/>
                <w:lang w:eastAsia="sk-SK"/>
              </w:rPr>
              <w:t>2015/2016</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9979FE" w:rsidRPr="005D6D02" w:rsidRDefault="009979FE" w:rsidP="00CE307D">
            <w:pPr>
              <w:jc w:val="center"/>
              <w:rPr>
                <w:rFonts w:asciiTheme="minorHAnsi" w:eastAsia="Times New Roman" w:hAnsiTheme="minorHAnsi" w:cs="Arial"/>
                <w:b/>
                <w:sz w:val="20"/>
                <w:szCs w:val="20"/>
                <w:lang w:eastAsia="sk-SK"/>
              </w:rPr>
            </w:pPr>
            <w:r w:rsidRPr="005D6D02">
              <w:rPr>
                <w:rFonts w:asciiTheme="minorHAnsi" w:eastAsia="Times New Roman" w:hAnsiTheme="minorHAnsi" w:cs="Arial"/>
                <w:b/>
                <w:sz w:val="20"/>
                <w:szCs w:val="20"/>
                <w:lang w:eastAsia="sk-SK"/>
              </w:rPr>
              <w:t>rozdiel</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9979FE" w:rsidRPr="005D6D02" w:rsidRDefault="009979FE" w:rsidP="00CE307D">
            <w:pPr>
              <w:jc w:val="center"/>
              <w:rPr>
                <w:rFonts w:asciiTheme="minorHAnsi" w:eastAsia="Times New Roman" w:hAnsiTheme="minorHAnsi" w:cs="Arial"/>
                <w:b/>
                <w:sz w:val="20"/>
                <w:szCs w:val="20"/>
                <w:lang w:eastAsia="sk-SK"/>
              </w:rPr>
            </w:pPr>
            <w:r w:rsidRPr="005D6D02">
              <w:rPr>
                <w:rFonts w:asciiTheme="minorHAnsi" w:eastAsia="Times New Roman" w:hAnsiTheme="minorHAnsi" w:cs="Arial"/>
                <w:b/>
                <w:sz w:val="20"/>
                <w:szCs w:val="20"/>
                <w:lang w:eastAsia="sk-SK"/>
              </w:rPr>
              <w:t>rozdiel v %</w:t>
            </w:r>
          </w:p>
        </w:tc>
      </w:tr>
      <w:tr w:rsidR="009979FE" w:rsidRPr="005D6D02" w:rsidTr="00CE307D">
        <w:trPr>
          <w:trHeight w:val="2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9979FE" w:rsidRPr="005D6D02" w:rsidRDefault="009979FE" w:rsidP="00CE307D">
            <w:pPr>
              <w:rPr>
                <w:rFonts w:asciiTheme="minorHAnsi" w:eastAsia="Times New Roman" w:hAnsiTheme="minorHAnsi" w:cs="Arial"/>
                <w:b/>
                <w:sz w:val="20"/>
                <w:szCs w:val="20"/>
                <w:lang w:eastAsia="sk-SK"/>
              </w:rPr>
            </w:pPr>
            <w:r w:rsidRPr="005D6D02">
              <w:rPr>
                <w:rFonts w:asciiTheme="minorHAnsi" w:eastAsia="Times New Roman" w:hAnsiTheme="minorHAnsi" w:cs="Arial"/>
                <w:b/>
                <w:sz w:val="20"/>
                <w:szCs w:val="20"/>
                <w:lang w:eastAsia="sk-SK"/>
              </w:rPr>
              <w:t>I. stupeň</w:t>
            </w:r>
          </w:p>
        </w:tc>
        <w:tc>
          <w:tcPr>
            <w:tcW w:w="1222" w:type="dxa"/>
            <w:tcBorders>
              <w:top w:val="nil"/>
              <w:left w:val="nil"/>
              <w:bottom w:val="single" w:sz="4" w:space="0" w:color="auto"/>
              <w:right w:val="single" w:sz="4" w:space="0" w:color="auto"/>
            </w:tcBorders>
            <w:shd w:val="clear" w:color="000000" w:fill="FFFFFF"/>
            <w:vAlign w:val="center"/>
            <w:hideMark/>
          </w:tcPr>
          <w:p w:rsidR="009979FE" w:rsidRPr="005D6D02" w:rsidRDefault="009979FE" w:rsidP="00CE307D">
            <w:pPr>
              <w:jc w:val="center"/>
              <w:rPr>
                <w:rFonts w:asciiTheme="minorHAnsi" w:eastAsia="Times New Roman" w:hAnsiTheme="minorHAnsi" w:cs="Arial"/>
                <w:sz w:val="20"/>
                <w:szCs w:val="20"/>
                <w:lang w:eastAsia="sk-SK"/>
              </w:rPr>
            </w:pPr>
            <w:r w:rsidRPr="005D6D02">
              <w:rPr>
                <w:rFonts w:asciiTheme="minorHAnsi" w:eastAsia="Times New Roman" w:hAnsiTheme="minorHAnsi" w:cs="Arial"/>
                <w:sz w:val="20"/>
                <w:szCs w:val="20"/>
                <w:lang w:eastAsia="sk-SK"/>
              </w:rPr>
              <w:t>7 931</w:t>
            </w:r>
          </w:p>
        </w:tc>
        <w:tc>
          <w:tcPr>
            <w:tcW w:w="1222" w:type="dxa"/>
            <w:tcBorders>
              <w:top w:val="nil"/>
              <w:left w:val="nil"/>
              <w:bottom w:val="single" w:sz="4" w:space="0" w:color="auto"/>
              <w:right w:val="single" w:sz="4" w:space="0" w:color="auto"/>
            </w:tcBorders>
            <w:shd w:val="clear" w:color="000000" w:fill="FFFFFF"/>
            <w:vAlign w:val="center"/>
            <w:hideMark/>
          </w:tcPr>
          <w:p w:rsidR="009979FE" w:rsidRPr="005D6D02" w:rsidRDefault="009979FE" w:rsidP="00CE307D">
            <w:pPr>
              <w:jc w:val="center"/>
              <w:rPr>
                <w:rFonts w:asciiTheme="minorHAnsi" w:eastAsia="Times New Roman" w:hAnsiTheme="minorHAnsi" w:cs="Arial"/>
                <w:sz w:val="20"/>
                <w:szCs w:val="20"/>
                <w:lang w:eastAsia="sk-SK"/>
              </w:rPr>
            </w:pPr>
            <w:r w:rsidRPr="005D6D02">
              <w:rPr>
                <w:rFonts w:asciiTheme="minorHAnsi" w:eastAsia="Times New Roman" w:hAnsiTheme="minorHAnsi" w:cs="Arial"/>
                <w:sz w:val="20"/>
                <w:szCs w:val="20"/>
                <w:lang w:eastAsia="sk-SK"/>
              </w:rPr>
              <w:t>7 511</w:t>
            </w:r>
          </w:p>
        </w:tc>
        <w:tc>
          <w:tcPr>
            <w:tcW w:w="1222" w:type="dxa"/>
            <w:tcBorders>
              <w:top w:val="nil"/>
              <w:left w:val="nil"/>
              <w:bottom w:val="single" w:sz="4" w:space="0" w:color="auto"/>
              <w:right w:val="single" w:sz="4" w:space="0" w:color="auto"/>
            </w:tcBorders>
            <w:shd w:val="clear" w:color="auto" w:fill="auto"/>
            <w:vAlign w:val="center"/>
            <w:hideMark/>
          </w:tcPr>
          <w:p w:rsidR="009979FE" w:rsidRPr="005D6D02" w:rsidRDefault="009979FE" w:rsidP="00CE307D">
            <w:pPr>
              <w:jc w:val="center"/>
              <w:rPr>
                <w:rFonts w:asciiTheme="minorHAnsi" w:eastAsia="Times New Roman" w:hAnsiTheme="minorHAnsi" w:cs="Arial"/>
                <w:sz w:val="20"/>
                <w:szCs w:val="20"/>
                <w:lang w:eastAsia="sk-SK"/>
              </w:rPr>
            </w:pPr>
            <w:r w:rsidRPr="005D6D02">
              <w:rPr>
                <w:rFonts w:asciiTheme="minorHAnsi" w:eastAsia="Times New Roman" w:hAnsiTheme="minorHAnsi" w:cs="Arial"/>
                <w:sz w:val="20"/>
                <w:szCs w:val="20"/>
                <w:lang w:eastAsia="sk-SK"/>
              </w:rPr>
              <w:t>-420</w:t>
            </w:r>
          </w:p>
        </w:tc>
        <w:tc>
          <w:tcPr>
            <w:tcW w:w="1223" w:type="dxa"/>
            <w:tcBorders>
              <w:top w:val="nil"/>
              <w:left w:val="nil"/>
              <w:bottom w:val="single" w:sz="4" w:space="0" w:color="auto"/>
              <w:right w:val="single" w:sz="4" w:space="0" w:color="auto"/>
            </w:tcBorders>
            <w:shd w:val="clear" w:color="auto" w:fill="D9D9D9" w:themeFill="background1" w:themeFillShade="D9"/>
            <w:vAlign w:val="center"/>
            <w:hideMark/>
          </w:tcPr>
          <w:p w:rsidR="009979FE" w:rsidRPr="005D6D02" w:rsidRDefault="009979FE" w:rsidP="00CE307D">
            <w:pPr>
              <w:jc w:val="center"/>
              <w:rPr>
                <w:rFonts w:asciiTheme="minorHAnsi" w:eastAsia="Times New Roman" w:hAnsiTheme="minorHAnsi" w:cs="Arial"/>
                <w:sz w:val="20"/>
                <w:szCs w:val="20"/>
                <w:lang w:eastAsia="sk-SK"/>
              </w:rPr>
            </w:pPr>
            <w:r w:rsidRPr="005D6D02">
              <w:rPr>
                <w:rFonts w:asciiTheme="minorHAnsi" w:eastAsia="Times New Roman" w:hAnsiTheme="minorHAnsi" w:cs="Arial"/>
                <w:sz w:val="20"/>
                <w:szCs w:val="20"/>
                <w:lang w:eastAsia="sk-SK"/>
              </w:rPr>
              <w:t>-5,3%</w:t>
            </w:r>
          </w:p>
        </w:tc>
      </w:tr>
      <w:tr w:rsidR="009979FE" w:rsidRPr="005D6D02" w:rsidTr="00CE307D">
        <w:trPr>
          <w:trHeight w:val="2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9979FE" w:rsidRPr="005D6D02" w:rsidRDefault="009979FE" w:rsidP="00CE307D">
            <w:pPr>
              <w:rPr>
                <w:rFonts w:asciiTheme="minorHAnsi" w:eastAsia="Times New Roman" w:hAnsiTheme="minorHAnsi" w:cs="Arial"/>
                <w:b/>
                <w:sz w:val="20"/>
                <w:szCs w:val="20"/>
                <w:lang w:eastAsia="sk-SK"/>
              </w:rPr>
            </w:pPr>
            <w:r w:rsidRPr="005D6D02">
              <w:rPr>
                <w:rFonts w:asciiTheme="minorHAnsi" w:eastAsia="Times New Roman" w:hAnsiTheme="minorHAnsi" w:cs="Arial"/>
                <w:b/>
                <w:sz w:val="20"/>
                <w:szCs w:val="20"/>
                <w:lang w:eastAsia="sk-SK"/>
              </w:rPr>
              <w:t>II. stupeň</w:t>
            </w:r>
          </w:p>
        </w:tc>
        <w:tc>
          <w:tcPr>
            <w:tcW w:w="1222" w:type="dxa"/>
            <w:tcBorders>
              <w:top w:val="nil"/>
              <w:left w:val="nil"/>
              <w:bottom w:val="single" w:sz="4" w:space="0" w:color="auto"/>
              <w:right w:val="single" w:sz="4" w:space="0" w:color="auto"/>
            </w:tcBorders>
            <w:shd w:val="clear" w:color="000000" w:fill="FFFFFF"/>
            <w:vAlign w:val="center"/>
            <w:hideMark/>
          </w:tcPr>
          <w:p w:rsidR="009979FE" w:rsidRPr="005D6D02" w:rsidRDefault="009979FE" w:rsidP="00CE307D">
            <w:pPr>
              <w:jc w:val="center"/>
              <w:rPr>
                <w:rFonts w:asciiTheme="minorHAnsi" w:eastAsia="Times New Roman" w:hAnsiTheme="minorHAnsi" w:cs="Arial"/>
                <w:sz w:val="20"/>
                <w:szCs w:val="20"/>
                <w:lang w:eastAsia="sk-SK"/>
              </w:rPr>
            </w:pPr>
            <w:r w:rsidRPr="005D6D02">
              <w:rPr>
                <w:rFonts w:asciiTheme="minorHAnsi" w:eastAsia="Times New Roman" w:hAnsiTheme="minorHAnsi" w:cs="Arial"/>
                <w:sz w:val="20"/>
                <w:szCs w:val="20"/>
                <w:lang w:eastAsia="sk-SK"/>
              </w:rPr>
              <w:t>2 637</w:t>
            </w:r>
          </w:p>
        </w:tc>
        <w:tc>
          <w:tcPr>
            <w:tcW w:w="1222" w:type="dxa"/>
            <w:tcBorders>
              <w:top w:val="nil"/>
              <w:left w:val="nil"/>
              <w:bottom w:val="single" w:sz="4" w:space="0" w:color="auto"/>
              <w:right w:val="single" w:sz="4" w:space="0" w:color="auto"/>
            </w:tcBorders>
            <w:shd w:val="clear" w:color="000000" w:fill="FFFFFF"/>
            <w:vAlign w:val="center"/>
            <w:hideMark/>
          </w:tcPr>
          <w:p w:rsidR="009979FE" w:rsidRPr="005D6D02" w:rsidRDefault="009979FE" w:rsidP="00CE307D">
            <w:pPr>
              <w:jc w:val="center"/>
              <w:rPr>
                <w:rFonts w:asciiTheme="minorHAnsi" w:eastAsia="Times New Roman" w:hAnsiTheme="minorHAnsi" w:cs="Arial"/>
                <w:sz w:val="20"/>
                <w:szCs w:val="20"/>
                <w:lang w:eastAsia="sk-SK"/>
              </w:rPr>
            </w:pPr>
            <w:r w:rsidRPr="005D6D02">
              <w:rPr>
                <w:rFonts w:asciiTheme="minorHAnsi" w:eastAsia="Times New Roman" w:hAnsiTheme="minorHAnsi" w:cs="Arial"/>
                <w:sz w:val="20"/>
                <w:szCs w:val="20"/>
                <w:lang w:eastAsia="sk-SK"/>
              </w:rPr>
              <w:t>2 695</w:t>
            </w:r>
          </w:p>
        </w:tc>
        <w:tc>
          <w:tcPr>
            <w:tcW w:w="1222" w:type="dxa"/>
            <w:tcBorders>
              <w:top w:val="nil"/>
              <w:left w:val="nil"/>
              <w:bottom w:val="single" w:sz="4" w:space="0" w:color="auto"/>
              <w:right w:val="single" w:sz="4" w:space="0" w:color="auto"/>
            </w:tcBorders>
            <w:shd w:val="clear" w:color="auto" w:fill="auto"/>
            <w:vAlign w:val="center"/>
            <w:hideMark/>
          </w:tcPr>
          <w:p w:rsidR="009979FE" w:rsidRPr="005D6D02" w:rsidRDefault="009979FE" w:rsidP="00CE307D">
            <w:pPr>
              <w:jc w:val="center"/>
              <w:rPr>
                <w:rFonts w:asciiTheme="minorHAnsi" w:eastAsia="Times New Roman" w:hAnsiTheme="minorHAnsi" w:cs="Arial"/>
                <w:sz w:val="20"/>
                <w:szCs w:val="20"/>
                <w:lang w:eastAsia="sk-SK"/>
              </w:rPr>
            </w:pPr>
            <w:r w:rsidRPr="005D6D02">
              <w:rPr>
                <w:rFonts w:asciiTheme="minorHAnsi" w:eastAsia="Times New Roman" w:hAnsiTheme="minorHAnsi" w:cs="Arial"/>
                <w:sz w:val="20"/>
                <w:szCs w:val="20"/>
                <w:lang w:eastAsia="sk-SK"/>
              </w:rPr>
              <w:t>58</w:t>
            </w:r>
          </w:p>
        </w:tc>
        <w:tc>
          <w:tcPr>
            <w:tcW w:w="1223" w:type="dxa"/>
            <w:tcBorders>
              <w:top w:val="nil"/>
              <w:left w:val="nil"/>
              <w:bottom w:val="single" w:sz="4" w:space="0" w:color="auto"/>
              <w:right w:val="single" w:sz="4" w:space="0" w:color="auto"/>
            </w:tcBorders>
            <w:shd w:val="clear" w:color="auto" w:fill="D9D9D9" w:themeFill="background1" w:themeFillShade="D9"/>
            <w:vAlign w:val="center"/>
            <w:hideMark/>
          </w:tcPr>
          <w:p w:rsidR="009979FE" w:rsidRPr="005D6D02" w:rsidRDefault="009979FE" w:rsidP="00CE307D">
            <w:pPr>
              <w:jc w:val="center"/>
              <w:rPr>
                <w:rFonts w:asciiTheme="minorHAnsi" w:eastAsia="Times New Roman" w:hAnsiTheme="minorHAnsi" w:cs="Arial"/>
                <w:sz w:val="20"/>
                <w:szCs w:val="20"/>
                <w:lang w:eastAsia="sk-SK"/>
              </w:rPr>
            </w:pPr>
            <w:r w:rsidRPr="005D6D02">
              <w:rPr>
                <w:rFonts w:asciiTheme="minorHAnsi" w:eastAsia="Times New Roman" w:hAnsiTheme="minorHAnsi" w:cs="Arial"/>
                <w:sz w:val="20"/>
                <w:szCs w:val="20"/>
                <w:lang w:eastAsia="sk-SK"/>
              </w:rPr>
              <w:t>2,2%</w:t>
            </w:r>
          </w:p>
        </w:tc>
      </w:tr>
      <w:tr w:rsidR="009979FE" w:rsidRPr="005D6D02" w:rsidTr="00CE307D">
        <w:trPr>
          <w:trHeight w:val="20"/>
        </w:trPr>
        <w:tc>
          <w:tcPr>
            <w:tcW w:w="1222" w:type="dxa"/>
            <w:tcBorders>
              <w:top w:val="nil"/>
              <w:left w:val="single" w:sz="4" w:space="0" w:color="auto"/>
              <w:bottom w:val="single" w:sz="4" w:space="0" w:color="auto"/>
              <w:right w:val="single" w:sz="4" w:space="0" w:color="auto"/>
            </w:tcBorders>
            <w:shd w:val="clear" w:color="auto" w:fill="auto"/>
            <w:vAlign w:val="center"/>
            <w:hideMark/>
          </w:tcPr>
          <w:p w:rsidR="009979FE" w:rsidRPr="005D6D02" w:rsidRDefault="009979FE" w:rsidP="00CE307D">
            <w:pPr>
              <w:rPr>
                <w:rFonts w:asciiTheme="minorHAnsi" w:eastAsia="Times New Roman" w:hAnsiTheme="minorHAnsi" w:cs="Arial"/>
                <w:b/>
                <w:sz w:val="20"/>
                <w:szCs w:val="20"/>
                <w:lang w:eastAsia="sk-SK"/>
              </w:rPr>
            </w:pPr>
            <w:r w:rsidRPr="005D6D02">
              <w:rPr>
                <w:rFonts w:asciiTheme="minorHAnsi" w:eastAsia="Times New Roman" w:hAnsiTheme="minorHAnsi" w:cs="Arial"/>
                <w:b/>
                <w:sz w:val="20"/>
                <w:szCs w:val="20"/>
                <w:lang w:eastAsia="sk-SK"/>
              </w:rPr>
              <w:t>III. stupeň</w:t>
            </w:r>
          </w:p>
        </w:tc>
        <w:tc>
          <w:tcPr>
            <w:tcW w:w="1222" w:type="dxa"/>
            <w:tcBorders>
              <w:top w:val="nil"/>
              <w:left w:val="nil"/>
              <w:bottom w:val="single" w:sz="4" w:space="0" w:color="auto"/>
              <w:right w:val="single" w:sz="4" w:space="0" w:color="auto"/>
            </w:tcBorders>
            <w:shd w:val="clear" w:color="000000" w:fill="FFFFFF"/>
            <w:vAlign w:val="center"/>
            <w:hideMark/>
          </w:tcPr>
          <w:p w:rsidR="009979FE" w:rsidRPr="005D6D02" w:rsidRDefault="009979FE" w:rsidP="00CE307D">
            <w:pPr>
              <w:jc w:val="center"/>
              <w:rPr>
                <w:rFonts w:asciiTheme="minorHAnsi" w:eastAsia="Times New Roman" w:hAnsiTheme="minorHAnsi" w:cs="Arial"/>
                <w:sz w:val="20"/>
                <w:szCs w:val="20"/>
                <w:lang w:eastAsia="sk-SK"/>
              </w:rPr>
            </w:pPr>
            <w:r w:rsidRPr="005D6D02">
              <w:rPr>
                <w:rFonts w:asciiTheme="minorHAnsi" w:eastAsia="Times New Roman" w:hAnsiTheme="minorHAnsi" w:cs="Arial"/>
                <w:sz w:val="20"/>
                <w:szCs w:val="20"/>
                <w:lang w:eastAsia="sk-SK"/>
              </w:rPr>
              <w:t>396</w:t>
            </w:r>
          </w:p>
        </w:tc>
        <w:tc>
          <w:tcPr>
            <w:tcW w:w="1222" w:type="dxa"/>
            <w:tcBorders>
              <w:top w:val="nil"/>
              <w:left w:val="nil"/>
              <w:bottom w:val="single" w:sz="4" w:space="0" w:color="auto"/>
              <w:right w:val="single" w:sz="4" w:space="0" w:color="auto"/>
            </w:tcBorders>
            <w:shd w:val="clear" w:color="000000" w:fill="FFFFFF"/>
            <w:vAlign w:val="center"/>
            <w:hideMark/>
          </w:tcPr>
          <w:p w:rsidR="009979FE" w:rsidRPr="005D6D02" w:rsidRDefault="009979FE" w:rsidP="00CE307D">
            <w:pPr>
              <w:jc w:val="center"/>
              <w:rPr>
                <w:rFonts w:asciiTheme="minorHAnsi" w:eastAsia="Times New Roman" w:hAnsiTheme="minorHAnsi" w:cs="Arial"/>
                <w:sz w:val="20"/>
                <w:szCs w:val="20"/>
                <w:lang w:eastAsia="sk-SK"/>
              </w:rPr>
            </w:pPr>
            <w:r w:rsidRPr="005D6D02">
              <w:rPr>
                <w:rFonts w:asciiTheme="minorHAnsi" w:eastAsia="Times New Roman" w:hAnsiTheme="minorHAnsi" w:cs="Arial"/>
                <w:sz w:val="20"/>
                <w:szCs w:val="20"/>
                <w:lang w:eastAsia="sk-SK"/>
              </w:rPr>
              <w:t>284</w:t>
            </w:r>
          </w:p>
        </w:tc>
        <w:tc>
          <w:tcPr>
            <w:tcW w:w="1222" w:type="dxa"/>
            <w:tcBorders>
              <w:top w:val="nil"/>
              <w:left w:val="nil"/>
              <w:bottom w:val="single" w:sz="4" w:space="0" w:color="auto"/>
              <w:right w:val="single" w:sz="4" w:space="0" w:color="auto"/>
            </w:tcBorders>
            <w:shd w:val="clear" w:color="auto" w:fill="auto"/>
            <w:vAlign w:val="center"/>
            <w:hideMark/>
          </w:tcPr>
          <w:p w:rsidR="009979FE" w:rsidRPr="005D6D02" w:rsidRDefault="009979FE" w:rsidP="00CE307D">
            <w:pPr>
              <w:jc w:val="center"/>
              <w:rPr>
                <w:rFonts w:asciiTheme="minorHAnsi" w:eastAsia="Times New Roman" w:hAnsiTheme="minorHAnsi" w:cs="Arial"/>
                <w:sz w:val="20"/>
                <w:szCs w:val="20"/>
                <w:lang w:eastAsia="sk-SK"/>
              </w:rPr>
            </w:pPr>
            <w:r w:rsidRPr="005D6D02">
              <w:rPr>
                <w:rFonts w:asciiTheme="minorHAnsi" w:eastAsia="Times New Roman" w:hAnsiTheme="minorHAnsi" w:cs="Arial"/>
                <w:sz w:val="20"/>
                <w:szCs w:val="20"/>
                <w:lang w:eastAsia="sk-SK"/>
              </w:rPr>
              <w:t>-112</w:t>
            </w:r>
          </w:p>
        </w:tc>
        <w:tc>
          <w:tcPr>
            <w:tcW w:w="1223" w:type="dxa"/>
            <w:tcBorders>
              <w:top w:val="nil"/>
              <w:left w:val="nil"/>
              <w:bottom w:val="single" w:sz="4" w:space="0" w:color="auto"/>
              <w:right w:val="single" w:sz="4" w:space="0" w:color="auto"/>
            </w:tcBorders>
            <w:shd w:val="clear" w:color="auto" w:fill="D9D9D9" w:themeFill="background1" w:themeFillShade="D9"/>
            <w:vAlign w:val="center"/>
            <w:hideMark/>
          </w:tcPr>
          <w:p w:rsidR="009979FE" w:rsidRPr="005D6D02" w:rsidRDefault="009979FE" w:rsidP="00CE307D">
            <w:pPr>
              <w:jc w:val="center"/>
              <w:rPr>
                <w:rFonts w:asciiTheme="minorHAnsi" w:eastAsia="Times New Roman" w:hAnsiTheme="minorHAnsi" w:cs="Arial"/>
                <w:sz w:val="20"/>
                <w:szCs w:val="20"/>
                <w:lang w:eastAsia="sk-SK"/>
              </w:rPr>
            </w:pPr>
            <w:r w:rsidRPr="005D6D02">
              <w:rPr>
                <w:rFonts w:asciiTheme="minorHAnsi" w:eastAsia="Times New Roman" w:hAnsiTheme="minorHAnsi" w:cs="Arial"/>
                <w:sz w:val="20"/>
                <w:szCs w:val="20"/>
                <w:lang w:eastAsia="sk-SK"/>
              </w:rPr>
              <w:t>-28,3%</w:t>
            </w:r>
          </w:p>
        </w:tc>
      </w:tr>
    </w:tbl>
    <w:p w:rsidR="0010608A" w:rsidRPr="005D6D02" w:rsidRDefault="0010608A" w:rsidP="0010608A">
      <w:pPr>
        <w:rPr>
          <w:rFonts w:asciiTheme="minorHAnsi" w:hAnsiTheme="minorHAnsi" w:cs="Calibri"/>
          <w:sz w:val="20"/>
          <w:szCs w:val="20"/>
        </w:rPr>
      </w:pPr>
    </w:p>
    <w:p w:rsidR="0010608A" w:rsidRPr="005D6D02" w:rsidRDefault="0010608A" w:rsidP="0010608A">
      <w:pPr>
        <w:rPr>
          <w:rFonts w:asciiTheme="minorHAnsi" w:hAnsiTheme="minorHAnsi" w:cs="Calibri"/>
          <w:sz w:val="20"/>
          <w:szCs w:val="20"/>
        </w:rPr>
      </w:pPr>
    </w:p>
    <w:p w:rsidR="009979FE" w:rsidRPr="005D6D02" w:rsidRDefault="009979FE" w:rsidP="0010608A">
      <w:pPr>
        <w:rPr>
          <w:rFonts w:asciiTheme="minorHAnsi" w:hAnsiTheme="minorHAnsi" w:cs="Calibri"/>
          <w:sz w:val="20"/>
          <w:szCs w:val="20"/>
        </w:rPr>
      </w:pPr>
      <w:r w:rsidRPr="005D6D02">
        <w:rPr>
          <w:rFonts w:asciiTheme="minorHAnsi" w:hAnsiTheme="minorHAnsi" w:cs="Calibri"/>
          <w:b/>
          <w:sz w:val="20"/>
          <w:szCs w:val="20"/>
        </w:rPr>
        <w:t xml:space="preserve">Tabuľka č. </w:t>
      </w:r>
      <w:r w:rsidR="007A4973" w:rsidRPr="005D6D02">
        <w:rPr>
          <w:rFonts w:asciiTheme="minorHAnsi" w:hAnsiTheme="minorHAnsi" w:cs="Calibri"/>
          <w:b/>
          <w:sz w:val="20"/>
          <w:szCs w:val="20"/>
        </w:rPr>
        <w:t>3.</w:t>
      </w:r>
      <w:r w:rsidRPr="005D6D02">
        <w:rPr>
          <w:rFonts w:asciiTheme="minorHAnsi" w:hAnsiTheme="minorHAnsi" w:cs="Calibri"/>
          <w:b/>
          <w:sz w:val="20"/>
          <w:szCs w:val="20"/>
        </w:rPr>
        <w:t>25: Počet zapísaných študentov na STU v porovnaní s predchádzajúcim akad. rokom</w:t>
      </w:r>
    </w:p>
    <w:tbl>
      <w:tblPr>
        <w:tblW w:w="6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2"/>
        <w:gridCol w:w="1222"/>
        <w:gridCol w:w="1222"/>
        <w:gridCol w:w="1222"/>
        <w:gridCol w:w="1223"/>
      </w:tblGrid>
      <w:tr w:rsidR="009979FE" w:rsidRPr="005D6D02" w:rsidTr="00CE307D">
        <w:trPr>
          <w:trHeight w:val="20"/>
        </w:trPr>
        <w:tc>
          <w:tcPr>
            <w:tcW w:w="1222" w:type="dxa"/>
            <w:shd w:val="clear" w:color="auto" w:fill="auto"/>
            <w:noWrap/>
            <w:vAlign w:val="center"/>
            <w:hideMark/>
          </w:tcPr>
          <w:p w:rsidR="009979FE" w:rsidRPr="005D6D02" w:rsidRDefault="009979FE" w:rsidP="00CE307D">
            <w:pPr>
              <w:rPr>
                <w:rFonts w:asciiTheme="minorHAnsi" w:eastAsia="Times New Roman" w:hAnsiTheme="minorHAnsi" w:cs="Arial"/>
                <w:b/>
                <w:color w:val="000000"/>
                <w:sz w:val="20"/>
                <w:szCs w:val="20"/>
                <w:lang w:eastAsia="sk-SK"/>
              </w:rPr>
            </w:pPr>
            <w:r w:rsidRPr="005D6D02">
              <w:rPr>
                <w:rFonts w:asciiTheme="minorHAnsi" w:eastAsia="Times New Roman" w:hAnsiTheme="minorHAnsi" w:cs="Arial"/>
                <w:b/>
                <w:color w:val="000000"/>
                <w:sz w:val="20"/>
                <w:szCs w:val="20"/>
                <w:lang w:eastAsia="sk-SK"/>
              </w:rPr>
              <w:t> </w:t>
            </w:r>
          </w:p>
        </w:tc>
        <w:tc>
          <w:tcPr>
            <w:tcW w:w="1222" w:type="dxa"/>
            <w:shd w:val="clear" w:color="000000" w:fill="FFFFFF"/>
            <w:vAlign w:val="center"/>
            <w:hideMark/>
          </w:tcPr>
          <w:p w:rsidR="009979FE" w:rsidRPr="005D6D02" w:rsidRDefault="009979FE" w:rsidP="00CE307D">
            <w:pPr>
              <w:jc w:val="center"/>
              <w:rPr>
                <w:rFonts w:asciiTheme="minorHAnsi" w:eastAsia="Times New Roman" w:hAnsiTheme="minorHAnsi" w:cs="Arial"/>
                <w:b/>
                <w:sz w:val="20"/>
                <w:szCs w:val="20"/>
                <w:lang w:eastAsia="sk-SK"/>
              </w:rPr>
            </w:pPr>
            <w:r w:rsidRPr="005D6D02">
              <w:rPr>
                <w:rFonts w:asciiTheme="minorHAnsi" w:eastAsia="Times New Roman" w:hAnsiTheme="minorHAnsi" w:cs="Arial"/>
                <w:b/>
                <w:sz w:val="20"/>
                <w:szCs w:val="20"/>
                <w:lang w:eastAsia="sk-SK"/>
              </w:rPr>
              <w:t>2014/2015</w:t>
            </w:r>
          </w:p>
        </w:tc>
        <w:tc>
          <w:tcPr>
            <w:tcW w:w="1222" w:type="dxa"/>
            <w:shd w:val="clear" w:color="000000" w:fill="FFFFFF"/>
            <w:noWrap/>
            <w:vAlign w:val="center"/>
            <w:hideMark/>
          </w:tcPr>
          <w:p w:rsidR="009979FE" w:rsidRPr="005D6D02" w:rsidRDefault="009979FE" w:rsidP="00CE307D">
            <w:pPr>
              <w:jc w:val="center"/>
              <w:rPr>
                <w:rFonts w:asciiTheme="minorHAnsi" w:eastAsia="Times New Roman" w:hAnsiTheme="minorHAnsi" w:cs="Arial"/>
                <w:b/>
                <w:color w:val="000000"/>
                <w:sz w:val="20"/>
                <w:szCs w:val="20"/>
                <w:lang w:eastAsia="sk-SK"/>
              </w:rPr>
            </w:pPr>
            <w:r w:rsidRPr="005D6D02">
              <w:rPr>
                <w:rFonts w:asciiTheme="minorHAnsi" w:eastAsia="Times New Roman" w:hAnsiTheme="minorHAnsi" w:cs="Arial"/>
                <w:b/>
                <w:color w:val="000000"/>
                <w:sz w:val="20"/>
                <w:szCs w:val="20"/>
                <w:lang w:eastAsia="sk-SK"/>
              </w:rPr>
              <w:t>2015/2016</w:t>
            </w:r>
          </w:p>
        </w:tc>
        <w:tc>
          <w:tcPr>
            <w:tcW w:w="1222" w:type="dxa"/>
            <w:shd w:val="clear" w:color="auto" w:fill="auto"/>
            <w:noWrap/>
            <w:vAlign w:val="center"/>
            <w:hideMark/>
          </w:tcPr>
          <w:p w:rsidR="009979FE" w:rsidRPr="005D6D02" w:rsidRDefault="009979FE" w:rsidP="00CE307D">
            <w:pPr>
              <w:jc w:val="center"/>
              <w:rPr>
                <w:rFonts w:asciiTheme="minorHAnsi" w:eastAsia="Times New Roman" w:hAnsiTheme="minorHAnsi" w:cs="Arial"/>
                <w:b/>
                <w:color w:val="000000"/>
                <w:sz w:val="20"/>
                <w:szCs w:val="20"/>
                <w:lang w:eastAsia="sk-SK"/>
              </w:rPr>
            </w:pPr>
            <w:r w:rsidRPr="005D6D02">
              <w:rPr>
                <w:rFonts w:asciiTheme="minorHAnsi" w:eastAsia="Times New Roman" w:hAnsiTheme="minorHAnsi" w:cs="Arial"/>
                <w:b/>
                <w:color w:val="000000"/>
                <w:sz w:val="20"/>
                <w:szCs w:val="20"/>
                <w:lang w:eastAsia="sk-SK"/>
              </w:rPr>
              <w:t>rozdiel</w:t>
            </w:r>
          </w:p>
        </w:tc>
        <w:tc>
          <w:tcPr>
            <w:tcW w:w="1223" w:type="dxa"/>
            <w:shd w:val="clear" w:color="auto" w:fill="auto"/>
            <w:vAlign w:val="center"/>
            <w:hideMark/>
          </w:tcPr>
          <w:p w:rsidR="009979FE" w:rsidRPr="005D6D02" w:rsidRDefault="009979FE" w:rsidP="00CE307D">
            <w:pPr>
              <w:jc w:val="center"/>
              <w:rPr>
                <w:rFonts w:asciiTheme="minorHAnsi" w:eastAsia="Times New Roman" w:hAnsiTheme="minorHAnsi" w:cs="Arial"/>
                <w:b/>
                <w:color w:val="000000"/>
                <w:sz w:val="20"/>
                <w:szCs w:val="20"/>
                <w:lang w:eastAsia="sk-SK"/>
              </w:rPr>
            </w:pPr>
            <w:r w:rsidRPr="005D6D02">
              <w:rPr>
                <w:rFonts w:asciiTheme="minorHAnsi" w:eastAsia="Times New Roman" w:hAnsiTheme="minorHAnsi" w:cs="Arial"/>
                <w:b/>
                <w:color w:val="000000"/>
                <w:sz w:val="20"/>
                <w:szCs w:val="20"/>
                <w:lang w:eastAsia="sk-SK"/>
              </w:rPr>
              <w:t>rozdiel v %</w:t>
            </w:r>
          </w:p>
        </w:tc>
      </w:tr>
      <w:tr w:rsidR="009979FE" w:rsidRPr="005D6D02" w:rsidTr="00CE307D">
        <w:trPr>
          <w:trHeight w:val="20"/>
        </w:trPr>
        <w:tc>
          <w:tcPr>
            <w:tcW w:w="1222" w:type="dxa"/>
            <w:shd w:val="clear" w:color="auto" w:fill="auto"/>
            <w:vAlign w:val="center"/>
            <w:hideMark/>
          </w:tcPr>
          <w:p w:rsidR="009979FE" w:rsidRPr="005D6D02" w:rsidRDefault="009979FE" w:rsidP="00CE307D">
            <w:pPr>
              <w:rPr>
                <w:rFonts w:asciiTheme="minorHAnsi" w:eastAsia="Times New Roman" w:hAnsiTheme="minorHAnsi" w:cs="Arial"/>
                <w:b/>
                <w:sz w:val="20"/>
                <w:szCs w:val="20"/>
                <w:lang w:eastAsia="sk-SK"/>
              </w:rPr>
            </w:pPr>
            <w:r w:rsidRPr="005D6D02">
              <w:rPr>
                <w:rFonts w:asciiTheme="minorHAnsi" w:eastAsia="Times New Roman" w:hAnsiTheme="minorHAnsi" w:cs="Arial"/>
                <w:b/>
                <w:sz w:val="20"/>
                <w:szCs w:val="20"/>
                <w:lang w:eastAsia="sk-SK"/>
              </w:rPr>
              <w:t>I. stupeň</w:t>
            </w:r>
          </w:p>
        </w:tc>
        <w:tc>
          <w:tcPr>
            <w:tcW w:w="1222" w:type="dxa"/>
            <w:shd w:val="clear" w:color="000000" w:fill="FFFFFF"/>
            <w:noWrap/>
            <w:vAlign w:val="center"/>
            <w:hideMark/>
          </w:tcPr>
          <w:p w:rsidR="009979FE" w:rsidRPr="005D6D02" w:rsidRDefault="009979FE" w:rsidP="00CE307D">
            <w:pPr>
              <w:jc w:val="center"/>
              <w:rPr>
                <w:rFonts w:asciiTheme="minorHAnsi" w:eastAsia="Times New Roman" w:hAnsiTheme="minorHAnsi" w:cs="Arial"/>
                <w:color w:val="000000"/>
                <w:sz w:val="20"/>
                <w:szCs w:val="20"/>
                <w:lang w:eastAsia="sk-SK"/>
              </w:rPr>
            </w:pPr>
            <w:r w:rsidRPr="005D6D02">
              <w:rPr>
                <w:rFonts w:asciiTheme="minorHAnsi" w:eastAsia="Times New Roman" w:hAnsiTheme="minorHAnsi" w:cs="Arial"/>
                <w:color w:val="000000"/>
                <w:sz w:val="20"/>
                <w:szCs w:val="20"/>
                <w:lang w:eastAsia="sk-SK"/>
              </w:rPr>
              <w:t>4 473</w:t>
            </w:r>
          </w:p>
        </w:tc>
        <w:tc>
          <w:tcPr>
            <w:tcW w:w="1222" w:type="dxa"/>
            <w:shd w:val="clear" w:color="000000" w:fill="FFFFFF"/>
            <w:noWrap/>
            <w:vAlign w:val="center"/>
            <w:hideMark/>
          </w:tcPr>
          <w:p w:rsidR="009979FE" w:rsidRPr="005D6D02" w:rsidRDefault="009979FE" w:rsidP="00CE307D">
            <w:pPr>
              <w:jc w:val="center"/>
              <w:rPr>
                <w:rFonts w:asciiTheme="minorHAnsi" w:eastAsia="Times New Roman" w:hAnsiTheme="minorHAnsi" w:cs="Arial"/>
                <w:color w:val="000000"/>
                <w:sz w:val="20"/>
                <w:szCs w:val="20"/>
                <w:lang w:eastAsia="sk-SK"/>
              </w:rPr>
            </w:pPr>
            <w:r w:rsidRPr="005D6D02">
              <w:rPr>
                <w:rFonts w:asciiTheme="minorHAnsi" w:eastAsia="Times New Roman" w:hAnsiTheme="minorHAnsi" w:cs="Arial"/>
                <w:color w:val="000000"/>
                <w:sz w:val="20"/>
                <w:szCs w:val="20"/>
                <w:lang w:eastAsia="sk-SK"/>
              </w:rPr>
              <w:t>4 171</w:t>
            </w:r>
          </w:p>
        </w:tc>
        <w:tc>
          <w:tcPr>
            <w:tcW w:w="1222" w:type="dxa"/>
            <w:shd w:val="clear" w:color="auto" w:fill="auto"/>
            <w:noWrap/>
            <w:vAlign w:val="center"/>
            <w:hideMark/>
          </w:tcPr>
          <w:p w:rsidR="009979FE" w:rsidRPr="005D6D02" w:rsidRDefault="009979FE" w:rsidP="00CE307D">
            <w:pPr>
              <w:jc w:val="center"/>
              <w:rPr>
                <w:rFonts w:asciiTheme="minorHAnsi" w:eastAsia="Times New Roman" w:hAnsiTheme="minorHAnsi" w:cs="Arial"/>
                <w:color w:val="000000"/>
                <w:sz w:val="20"/>
                <w:szCs w:val="20"/>
                <w:lang w:eastAsia="sk-SK"/>
              </w:rPr>
            </w:pPr>
            <w:r w:rsidRPr="005D6D02">
              <w:rPr>
                <w:rFonts w:asciiTheme="minorHAnsi" w:eastAsia="Times New Roman" w:hAnsiTheme="minorHAnsi" w:cs="Arial"/>
                <w:color w:val="000000"/>
                <w:sz w:val="20"/>
                <w:szCs w:val="20"/>
                <w:lang w:eastAsia="sk-SK"/>
              </w:rPr>
              <w:t>-302</w:t>
            </w:r>
          </w:p>
        </w:tc>
        <w:tc>
          <w:tcPr>
            <w:tcW w:w="1223" w:type="dxa"/>
            <w:shd w:val="clear" w:color="auto" w:fill="D9D9D9" w:themeFill="background1" w:themeFillShade="D9"/>
            <w:noWrap/>
            <w:vAlign w:val="center"/>
            <w:hideMark/>
          </w:tcPr>
          <w:p w:rsidR="009979FE" w:rsidRPr="005D6D02" w:rsidRDefault="009979FE" w:rsidP="00CE307D">
            <w:pPr>
              <w:jc w:val="center"/>
              <w:rPr>
                <w:rFonts w:asciiTheme="minorHAnsi" w:eastAsia="Times New Roman" w:hAnsiTheme="minorHAnsi" w:cs="Arial"/>
                <w:color w:val="000000"/>
                <w:sz w:val="20"/>
                <w:szCs w:val="20"/>
                <w:lang w:eastAsia="sk-SK"/>
              </w:rPr>
            </w:pPr>
            <w:r w:rsidRPr="005D6D02">
              <w:rPr>
                <w:rFonts w:asciiTheme="minorHAnsi" w:eastAsia="Times New Roman" w:hAnsiTheme="minorHAnsi" w:cs="Arial"/>
                <w:color w:val="000000"/>
                <w:sz w:val="20"/>
                <w:szCs w:val="20"/>
                <w:lang w:eastAsia="sk-SK"/>
              </w:rPr>
              <w:t>-6,8%</w:t>
            </w:r>
          </w:p>
        </w:tc>
      </w:tr>
      <w:tr w:rsidR="009979FE" w:rsidRPr="005D6D02" w:rsidTr="00CE307D">
        <w:trPr>
          <w:trHeight w:val="20"/>
        </w:trPr>
        <w:tc>
          <w:tcPr>
            <w:tcW w:w="1222" w:type="dxa"/>
            <w:shd w:val="clear" w:color="auto" w:fill="auto"/>
            <w:vAlign w:val="center"/>
            <w:hideMark/>
          </w:tcPr>
          <w:p w:rsidR="009979FE" w:rsidRPr="005D6D02" w:rsidRDefault="009979FE" w:rsidP="00CE307D">
            <w:pPr>
              <w:rPr>
                <w:rFonts w:asciiTheme="minorHAnsi" w:eastAsia="Times New Roman" w:hAnsiTheme="minorHAnsi" w:cs="Arial"/>
                <w:b/>
                <w:sz w:val="20"/>
                <w:szCs w:val="20"/>
                <w:lang w:eastAsia="sk-SK"/>
              </w:rPr>
            </w:pPr>
            <w:r w:rsidRPr="005D6D02">
              <w:rPr>
                <w:rFonts w:asciiTheme="minorHAnsi" w:eastAsia="Times New Roman" w:hAnsiTheme="minorHAnsi" w:cs="Arial"/>
                <w:b/>
                <w:sz w:val="20"/>
                <w:szCs w:val="20"/>
                <w:lang w:eastAsia="sk-SK"/>
              </w:rPr>
              <w:t>II. stupeň</w:t>
            </w:r>
          </w:p>
        </w:tc>
        <w:tc>
          <w:tcPr>
            <w:tcW w:w="1222" w:type="dxa"/>
            <w:shd w:val="clear" w:color="000000" w:fill="FFFFFF"/>
            <w:noWrap/>
            <w:vAlign w:val="center"/>
            <w:hideMark/>
          </w:tcPr>
          <w:p w:rsidR="009979FE" w:rsidRPr="005D6D02" w:rsidRDefault="009979FE" w:rsidP="00CE307D">
            <w:pPr>
              <w:jc w:val="center"/>
              <w:rPr>
                <w:rFonts w:asciiTheme="minorHAnsi" w:eastAsia="Times New Roman" w:hAnsiTheme="minorHAnsi" w:cs="Arial"/>
                <w:color w:val="000000"/>
                <w:sz w:val="20"/>
                <w:szCs w:val="20"/>
                <w:lang w:eastAsia="sk-SK"/>
              </w:rPr>
            </w:pPr>
            <w:r w:rsidRPr="005D6D02">
              <w:rPr>
                <w:rFonts w:asciiTheme="minorHAnsi" w:eastAsia="Times New Roman" w:hAnsiTheme="minorHAnsi" w:cs="Arial"/>
                <w:color w:val="000000"/>
                <w:sz w:val="20"/>
                <w:szCs w:val="20"/>
                <w:lang w:eastAsia="sk-SK"/>
              </w:rPr>
              <w:t>2 084</w:t>
            </w:r>
          </w:p>
        </w:tc>
        <w:tc>
          <w:tcPr>
            <w:tcW w:w="1222" w:type="dxa"/>
            <w:shd w:val="clear" w:color="000000" w:fill="FFFFFF"/>
            <w:noWrap/>
            <w:vAlign w:val="center"/>
            <w:hideMark/>
          </w:tcPr>
          <w:p w:rsidR="009979FE" w:rsidRPr="005D6D02" w:rsidRDefault="009979FE" w:rsidP="00CE307D">
            <w:pPr>
              <w:jc w:val="center"/>
              <w:rPr>
                <w:rFonts w:asciiTheme="minorHAnsi" w:eastAsia="Times New Roman" w:hAnsiTheme="minorHAnsi" w:cs="Arial"/>
                <w:color w:val="000000"/>
                <w:sz w:val="20"/>
                <w:szCs w:val="20"/>
                <w:lang w:eastAsia="sk-SK"/>
              </w:rPr>
            </w:pPr>
            <w:r w:rsidRPr="005D6D02">
              <w:rPr>
                <w:rFonts w:asciiTheme="minorHAnsi" w:eastAsia="Times New Roman" w:hAnsiTheme="minorHAnsi" w:cs="Arial"/>
                <w:color w:val="000000"/>
                <w:sz w:val="20"/>
                <w:szCs w:val="20"/>
                <w:lang w:eastAsia="sk-SK"/>
              </w:rPr>
              <w:t>2 220</w:t>
            </w:r>
          </w:p>
        </w:tc>
        <w:tc>
          <w:tcPr>
            <w:tcW w:w="1222" w:type="dxa"/>
            <w:shd w:val="clear" w:color="auto" w:fill="auto"/>
            <w:noWrap/>
            <w:vAlign w:val="center"/>
            <w:hideMark/>
          </w:tcPr>
          <w:p w:rsidR="009979FE" w:rsidRPr="005D6D02" w:rsidRDefault="009979FE" w:rsidP="00CE307D">
            <w:pPr>
              <w:jc w:val="center"/>
              <w:rPr>
                <w:rFonts w:asciiTheme="minorHAnsi" w:eastAsia="Times New Roman" w:hAnsiTheme="minorHAnsi" w:cs="Arial"/>
                <w:color w:val="000000"/>
                <w:sz w:val="20"/>
                <w:szCs w:val="20"/>
                <w:lang w:eastAsia="sk-SK"/>
              </w:rPr>
            </w:pPr>
            <w:r w:rsidRPr="005D6D02">
              <w:rPr>
                <w:rFonts w:asciiTheme="minorHAnsi" w:eastAsia="Times New Roman" w:hAnsiTheme="minorHAnsi" w:cs="Arial"/>
                <w:color w:val="000000"/>
                <w:sz w:val="20"/>
                <w:szCs w:val="20"/>
                <w:lang w:eastAsia="sk-SK"/>
              </w:rPr>
              <w:t>136</w:t>
            </w:r>
          </w:p>
        </w:tc>
        <w:tc>
          <w:tcPr>
            <w:tcW w:w="1223" w:type="dxa"/>
            <w:shd w:val="clear" w:color="auto" w:fill="D9D9D9" w:themeFill="background1" w:themeFillShade="D9"/>
            <w:noWrap/>
            <w:vAlign w:val="center"/>
            <w:hideMark/>
          </w:tcPr>
          <w:p w:rsidR="009979FE" w:rsidRPr="005D6D02" w:rsidRDefault="009979FE" w:rsidP="00CE307D">
            <w:pPr>
              <w:jc w:val="center"/>
              <w:rPr>
                <w:rFonts w:asciiTheme="minorHAnsi" w:eastAsia="Times New Roman" w:hAnsiTheme="minorHAnsi" w:cs="Arial"/>
                <w:color w:val="000000"/>
                <w:sz w:val="20"/>
                <w:szCs w:val="20"/>
                <w:lang w:eastAsia="sk-SK"/>
              </w:rPr>
            </w:pPr>
            <w:r w:rsidRPr="005D6D02">
              <w:rPr>
                <w:rFonts w:asciiTheme="minorHAnsi" w:eastAsia="Times New Roman" w:hAnsiTheme="minorHAnsi" w:cs="Arial"/>
                <w:color w:val="000000"/>
                <w:sz w:val="20"/>
                <w:szCs w:val="20"/>
                <w:lang w:eastAsia="sk-SK"/>
              </w:rPr>
              <w:t>6,5%</w:t>
            </w:r>
          </w:p>
        </w:tc>
      </w:tr>
      <w:tr w:rsidR="009979FE" w:rsidRPr="005D6D02" w:rsidTr="00CE307D">
        <w:trPr>
          <w:trHeight w:val="20"/>
        </w:trPr>
        <w:tc>
          <w:tcPr>
            <w:tcW w:w="1222" w:type="dxa"/>
            <w:shd w:val="clear" w:color="auto" w:fill="auto"/>
            <w:vAlign w:val="center"/>
            <w:hideMark/>
          </w:tcPr>
          <w:p w:rsidR="009979FE" w:rsidRPr="005D6D02" w:rsidRDefault="009979FE" w:rsidP="00CE307D">
            <w:pPr>
              <w:rPr>
                <w:rFonts w:asciiTheme="minorHAnsi" w:eastAsia="Times New Roman" w:hAnsiTheme="minorHAnsi" w:cs="Arial"/>
                <w:b/>
                <w:sz w:val="20"/>
                <w:szCs w:val="20"/>
                <w:lang w:eastAsia="sk-SK"/>
              </w:rPr>
            </w:pPr>
            <w:r w:rsidRPr="005D6D02">
              <w:rPr>
                <w:rFonts w:asciiTheme="minorHAnsi" w:eastAsia="Times New Roman" w:hAnsiTheme="minorHAnsi" w:cs="Arial"/>
                <w:b/>
                <w:sz w:val="20"/>
                <w:szCs w:val="20"/>
                <w:lang w:eastAsia="sk-SK"/>
              </w:rPr>
              <w:t>III. stupeň</w:t>
            </w:r>
          </w:p>
        </w:tc>
        <w:tc>
          <w:tcPr>
            <w:tcW w:w="1222" w:type="dxa"/>
            <w:shd w:val="clear" w:color="000000" w:fill="FFFFFF"/>
            <w:noWrap/>
            <w:vAlign w:val="center"/>
            <w:hideMark/>
          </w:tcPr>
          <w:p w:rsidR="009979FE" w:rsidRPr="005D6D02" w:rsidRDefault="009979FE" w:rsidP="00CE307D">
            <w:pPr>
              <w:jc w:val="center"/>
              <w:rPr>
                <w:rFonts w:asciiTheme="minorHAnsi" w:eastAsia="Times New Roman" w:hAnsiTheme="minorHAnsi" w:cs="Arial"/>
                <w:color w:val="000000"/>
                <w:sz w:val="20"/>
                <w:szCs w:val="20"/>
                <w:lang w:eastAsia="sk-SK"/>
              </w:rPr>
            </w:pPr>
            <w:r w:rsidRPr="005D6D02">
              <w:rPr>
                <w:rFonts w:asciiTheme="minorHAnsi" w:eastAsia="Times New Roman" w:hAnsiTheme="minorHAnsi" w:cs="Arial"/>
                <w:color w:val="000000"/>
                <w:sz w:val="20"/>
                <w:szCs w:val="20"/>
                <w:lang w:eastAsia="sk-SK"/>
              </w:rPr>
              <w:t>260</w:t>
            </w:r>
          </w:p>
        </w:tc>
        <w:tc>
          <w:tcPr>
            <w:tcW w:w="1222" w:type="dxa"/>
            <w:shd w:val="clear" w:color="000000" w:fill="FFFFFF"/>
            <w:noWrap/>
            <w:vAlign w:val="center"/>
            <w:hideMark/>
          </w:tcPr>
          <w:p w:rsidR="009979FE" w:rsidRPr="005D6D02" w:rsidRDefault="009979FE" w:rsidP="00CE307D">
            <w:pPr>
              <w:jc w:val="center"/>
              <w:rPr>
                <w:rFonts w:asciiTheme="minorHAnsi" w:eastAsia="Times New Roman" w:hAnsiTheme="minorHAnsi" w:cs="Arial"/>
                <w:color w:val="000000"/>
                <w:sz w:val="20"/>
                <w:szCs w:val="20"/>
                <w:lang w:eastAsia="sk-SK"/>
              </w:rPr>
            </w:pPr>
            <w:r w:rsidRPr="005D6D02">
              <w:rPr>
                <w:rFonts w:asciiTheme="minorHAnsi" w:eastAsia="Times New Roman" w:hAnsiTheme="minorHAnsi" w:cs="Arial"/>
                <w:color w:val="000000"/>
                <w:sz w:val="20"/>
                <w:szCs w:val="20"/>
                <w:lang w:eastAsia="sk-SK"/>
              </w:rPr>
              <w:t>199</w:t>
            </w:r>
          </w:p>
        </w:tc>
        <w:tc>
          <w:tcPr>
            <w:tcW w:w="1222" w:type="dxa"/>
            <w:shd w:val="clear" w:color="auto" w:fill="auto"/>
            <w:noWrap/>
            <w:vAlign w:val="center"/>
            <w:hideMark/>
          </w:tcPr>
          <w:p w:rsidR="009979FE" w:rsidRPr="005D6D02" w:rsidRDefault="009979FE" w:rsidP="00CE307D">
            <w:pPr>
              <w:jc w:val="center"/>
              <w:rPr>
                <w:rFonts w:asciiTheme="minorHAnsi" w:eastAsia="Times New Roman" w:hAnsiTheme="minorHAnsi" w:cs="Arial"/>
                <w:color w:val="000000"/>
                <w:sz w:val="20"/>
                <w:szCs w:val="20"/>
                <w:lang w:eastAsia="sk-SK"/>
              </w:rPr>
            </w:pPr>
            <w:r w:rsidRPr="005D6D02">
              <w:rPr>
                <w:rFonts w:asciiTheme="minorHAnsi" w:eastAsia="Times New Roman" w:hAnsiTheme="minorHAnsi" w:cs="Arial"/>
                <w:color w:val="000000"/>
                <w:sz w:val="20"/>
                <w:szCs w:val="20"/>
                <w:lang w:eastAsia="sk-SK"/>
              </w:rPr>
              <w:t>-61</w:t>
            </w:r>
          </w:p>
        </w:tc>
        <w:tc>
          <w:tcPr>
            <w:tcW w:w="1223" w:type="dxa"/>
            <w:shd w:val="clear" w:color="auto" w:fill="D9D9D9" w:themeFill="background1" w:themeFillShade="D9"/>
            <w:noWrap/>
            <w:vAlign w:val="center"/>
            <w:hideMark/>
          </w:tcPr>
          <w:p w:rsidR="009979FE" w:rsidRPr="005D6D02" w:rsidRDefault="009979FE" w:rsidP="00CE307D">
            <w:pPr>
              <w:jc w:val="center"/>
              <w:rPr>
                <w:rFonts w:asciiTheme="minorHAnsi" w:eastAsia="Times New Roman" w:hAnsiTheme="minorHAnsi" w:cs="Arial"/>
                <w:color w:val="000000"/>
                <w:sz w:val="20"/>
                <w:szCs w:val="20"/>
                <w:lang w:eastAsia="sk-SK"/>
              </w:rPr>
            </w:pPr>
            <w:r w:rsidRPr="005D6D02">
              <w:rPr>
                <w:rFonts w:asciiTheme="minorHAnsi" w:eastAsia="Times New Roman" w:hAnsiTheme="minorHAnsi" w:cs="Arial"/>
                <w:color w:val="000000"/>
                <w:sz w:val="20"/>
                <w:szCs w:val="20"/>
                <w:lang w:eastAsia="sk-SK"/>
              </w:rPr>
              <w:t>-23,5%</w:t>
            </w:r>
          </w:p>
        </w:tc>
      </w:tr>
    </w:tbl>
    <w:p w:rsidR="009979FE" w:rsidRPr="005D6D02" w:rsidRDefault="009979FE" w:rsidP="009979FE">
      <w:pPr>
        <w:rPr>
          <w:rFonts w:asciiTheme="minorHAnsi" w:hAnsiTheme="minorHAnsi" w:cs="Calibri"/>
          <w:sz w:val="20"/>
          <w:szCs w:val="20"/>
          <w:shd w:val="clear" w:color="auto" w:fill="FFFFFF"/>
        </w:rPr>
      </w:pPr>
    </w:p>
    <w:p w:rsidR="00F51EA1" w:rsidRDefault="00F51EA1" w:rsidP="0010608A">
      <w:pPr>
        <w:spacing w:after="120"/>
        <w:rPr>
          <w:rFonts w:asciiTheme="minorHAnsi" w:hAnsiTheme="minorHAnsi" w:cs="Calibri"/>
        </w:rPr>
      </w:pPr>
    </w:p>
    <w:p w:rsidR="009979FE" w:rsidRPr="002D7A10" w:rsidRDefault="009979FE" w:rsidP="0010608A">
      <w:pPr>
        <w:spacing w:after="120"/>
        <w:rPr>
          <w:rFonts w:asciiTheme="minorHAnsi" w:hAnsiTheme="minorHAnsi" w:cs="Calibri"/>
        </w:rPr>
      </w:pPr>
      <w:r w:rsidRPr="002D7A10">
        <w:rPr>
          <w:rFonts w:asciiTheme="minorHAnsi" w:hAnsiTheme="minorHAnsi" w:cs="Calibri"/>
        </w:rPr>
        <w:t>Porovnanie počtu zapísaných študentov z prijatých uchádzačov na prvý stupeň štúdia v dennej forme štúdia na vybraných vysokých školách v Slovenskej republike v akad. rokoch 2010/2011 až 2014/2015 je znázornené v </w:t>
      </w:r>
      <w:r w:rsidR="007A4973" w:rsidRPr="002D7A10">
        <w:rPr>
          <w:rFonts w:asciiTheme="minorHAnsi" w:hAnsiTheme="minorHAnsi" w:cs="Calibri"/>
        </w:rPr>
        <w:t>g</w:t>
      </w:r>
      <w:r w:rsidRPr="002D7A10">
        <w:rPr>
          <w:rFonts w:asciiTheme="minorHAnsi" w:hAnsiTheme="minorHAnsi" w:cs="Calibri"/>
        </w:rPr>
        <w:t xml:space="preserve">rafe č. </w:t>
      </w:r>
      <w:r w:rsidR="007A4973" w:rsidRPr="002D7A10">
        <w:rPr>
          <w:rFonts w:asciiTheme="minorHAnsi" w:hAnsiTheme="minorHAnsi" w:cs="Calibri"/>
        </w:rPr>
        <w:t>3.</w:t>
      </w:r>
      <w:r w:rsidR="0010608A" w:rsidRPr="002D7A10">
        <w:rPr>
          <w:rFonts w:asciiTheme="minorHAnsi" w:hAnsiTheme="minorHAnsi" w:cs="Calibri"/>
        </w:rPr>
        <w:t xml:space="preserve">13. </w:t>
      </w:r>
      <w:r w:rsidR="00EA0264">
        <w:rPr>
          <w:rFonts w:asciiTheme="minorHAnsi" w:hAnsiTheme="minorHAnsi" w:cs="Calibri"/>
        </w:rPr>
        <w:t>E</w:t>
      </w:r>
      <w:r w:rsidRPr="002D7A10">
        <w:rPr>
          <w:rFonts w:asciiTheme="minorHAnsi" w:hAnsiTheme="minorHAnsi" w:cs="Calibri"/>
        </w:rPr>
        <w:t>videntný</w:t>
      </w:r>
      <w:r w:rsidR="00EA0264">
        <w:rPr>
          <w:rFonts w:asciiTheme="minorHAnsi" w:hAnsiTheme="minorHAnsi" w:cs="Calibri"/>
        </w:rPr>
        <w:t xml:space="preserve"> je</w:t>
      </w:r>
      <w:r w:rsidRPr="002D7A10">
        <w:rPr>
          <w:rFonts w:asciiTheme="minorHAnsi" w:hAnsiTheme="minorHAnsi" w:cs="Calibri"/>
        </w:rPr>
        <w:t xml:space="preserve"> klesajúci trend zapísaných novoprijatých študentov na všetkých porovnávaných vysokých školách.</w:t>
      </w:r>
    </w:p>
    <w:p w:rsidR="009979FE" w:rsidRPr="002D7A10" w:rsidRDefault="009979FE" w:rsidP="009979FE">
      <w:pPr>
        <w:rPr>
          <w:rFonts w:asciiTheme="minorHAnsi" w:hAnsiTheme="minorHAnsi" w:cs="Calibri"/>
          <w:b/>
        </w:rPr>
      </w:pPr>
    </w:p>
    <w:p w:rsidR="009979FE" w:rsidRPr="00F736BA" w:rsidRDefault="009979FE" w:rsidP="00EA0264">
      <w:pPr>
        <w:jc w:val="left"/>
        <w:rPr>
          <w:rFonts w:asciiTheme="minorHAnsi" w:hAnsiTheme="minorHAnsi" w:cs="Calibri"/>
          <w:sz w:val="20"/>
          <w:szCs w:val="20"/>
        </w:rPr>
      </w:pPr>
      <w:r w:rsidRPr="00F736BA">
        <w:rPr>
          <w:rFonts w:asciiTheme="minorHAnsi" w:hAnsiTheme="minorHAnsi" w:cs="Calibri"/>
          <w:b/>
          <w:sz w:val="20"/>
          <w:szCs w:val="20"/>
        </w:rPr>
        <w:lastRenderedPageBreak/>
        <w:t xml:space="preserve">Graf č. </w:t>
      </w:r>
      <w:r w:rsidR="007A4973" w:rsidRPr="00F736BA">
        <w:rPr>
          <w:rFonts w:asciiTheme="minorHAnsi" w:hAnsiTheme="minorHAnsi" w:cs="Calibri"/>
          <w:b/>
          <w:sz w:val="20"/>
          <w:szCs w:val="20"/>
        </w:rPr>
        <w:t>3.</w:t>
      </w:r>
      <w:r w:rsidRPr="00F736BA">
        <w:rPr>
          <w:rFonts w:asciiTheme="minorHAnsi" w:hAnsiTheme="minorHAnsi" w:cs="Calibri"/>
          <w:b/>
          <w:sz w:val="20"/>
          <w:szCs w:val="20"/>
        </w:rPr>
        <w:t>13: Porovnanie počtu zapísaných študentov na prvom stupni štúdia v dennej forme štúdia na vybraných vysokých školách v Slovenskej republike za päť rokov</w:t>
      </w:r>
      <w:r w:rsidRPr="00F736BA">
        <w:rPr>
          <w:rFonts w:asciiTheme="minorHAnsi" w:hAnsiTheme="minorHAnsi"/>
          <w:noProof/>
          <w:sz w:val="20"/>
          <w:szCs w:val="20"/>
          <w:lang w:eastAsia="sk-SK"/>
        </w:rPr>
        <w:drawing>
          <wp:inline distT="0" distB="0" distL="0" distR="0" wp14:anchorId="1DCDE12A" wp14:editId="7E43DC79">
            <wp:extent cx="5429250" cy="317182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979FE" w:rsidRPr="00F736BA" w:rsidRDefault="009979FE" w:rsidP="009979FE">
      <w:pPr>
        <w:rPr>
          <w:rFonts w:asciiTheme="minorHAnsi" w:hAnsiTheme="minorHAnsi" w:cs="Calibri"/>
          <w:sz w:val="20"/>
          <w:szCs w:val="20"/>
        </w:rPr>
      </w:pPr>
    </w:p>
    <w:p w:rsidR="009979FE" w:rsidRPr="00F736BA" w:rsidRDefault="009979FE" w:rsidP="009979FE">
      <w:pPr>
        <w:rPr>
          <w:rStyle w:val="Hypertextovprepojenie"/>
          <w:rFonts w:asciiTheme="minorHAnsi" w:hAnsiTheme="minorHAnsi" w:cs="Calibri"/>
          <w:sz w:val="20"/>
          <w:szCs w:val="20"/>
        </w:rPr>
      </w:pPr>
      <w:r w:rsidRPr="00F736BA">
        <w:rPr>
          <w:rFonts w:asciiTheme="minorHAnsi" w:hAnsiTheme="minorHAnsi" w:cs="Calibri"/>
          <w:sz w:val="20"/>
          <w:szCs w:val="20"/>
        </w:rPr>
        <w:t xml:space="preserve">Zdroj: Štatistické ročenky CVTI (UIPŠ), </w:t>
      </w:r>
      <w:hyperlink r:id="rId29" w:history="1">
        <w:r w:rsidRPr="00F736BA">
          <w:rPr>
            <w:rStyle w:val="Hypertextovprepojenie"/>
            <w:rFonts w:asciiTheme="minorHAnsi" w:hAnsiTheme="minorHAnsi" w:cs="Calibri"/>
            <w:sz w:val="20"/>
            <w:szCs w:val="20"/>
          </w:rPr>
          <w:t>www.uips.sk</w:t>
        </w:r>
      </w:hyperlink>
      <w:r w:rsidRPr="00F736BA">
        <w:rPr>
          <w:rStyle w:val="Hypertextovprepojenie"/>
          <w:rFonts w:asciiTheme="minorHAnsi" w:hAnsiTheme="minorHAnsi" w:cs="Calibri"/>
          <w:sz w:val="20"/>
          <w:szCs w:val="20"/>
        </w:rPr>
        <w:t xml:space="preserve"> </w:t>
      </w:r>
    </w:p>
    <w:p w:rsidR="009979FE" w:rsidRPr="00F736BA" w:rsidRDefault="009979FE" w:rsidP="009979FE">
      <w:pPr>
        <w:rPr>
          <w:rFonts w:asciiTheme="minorHAnsi" w:hAnsiTheme="minorHAnsi" w:cs="Calibri"/>
          <w:sz w:val="20"/>
          <w:szCs w:val="20"/>
        </w:rPr>
      </w:pPr>
      <w:r w:rsidRPr="00F736BA">
        <w:rPr>
          <w:rFonts w:asciiTheme="minorHAnsi" w:hAnsiTheme="minorHAnsi" w:cs="Calibri"/>
          <w:sz w:val="20"/>
          <w:szCs w:val="20"/>
        </w:rPr>
        <w:t>Výsledky prijímacieho konania na akad. rok 2015/2016 ešte nie sú publikované</w:t>
      </w:r>
    </w:p>
    <w:p w:rsidR="009979FE" w:rsidRPr="00F736BA" w:rsidRDefault="009979FE" w:rsidP="009979FE">
      <w:pPr>
        <w:rPr>
          <w:rFonts w:asciiTheme="minorHAnsi" w:hAnsiTheme="minorHAnsi" w:cs="Calibri"/>
          <w:sz w:val="20"/>
          <w:szCs w:val="20"/>
        </w:rPr>
      </w:pPr>
      <w:r w:rsidRPr="00F736BA">
        <w:rPr>
          <w:rFonts w:asciiTheme="minorHAnsi" w:hAnsiTheme="minorHAnsi" w:cs="Calibri"/>
          <w:sz w:val="20"/>
          <w:szCs w:val="20"/>
        </w:rPr>
        <w:t>Vysvetlivky:</w:t>
      </w:r>
      <w:r w:rsidRPr="00F736BA">
        <w:rPr>
          <w:rFonts w:asciiTheme="minorHAnsi" w:hAnsiTheme="minorHAnsi" w:cs="Calibri"/>
          <w:sz w:val="20"/>
          <w:szCs w:val="20"/>
        </w:rPr>
        <w:tab/>
      </w:r>
    </w:p>
    <w:p w:rsidR="009979FE" w:rsidRPr="00F736BA" w:rsidRDefault="009979FE" w:rsidP="009979FE">
      <w:pPr>
        <w:rPr>
          <w:rFonts w:asciiTheme="minorHAnsi" w:hAnsiTheme="minorHAnsi" w:cs="Calibri"/>
          <w:sz w:val="20"/>
          <w:szCs w:val="20"/>
        </w:rPr>
      </w:pPr>
      <w:r w:rsidRPr="00F736BA">
        <w:rPr>
          <w:rFonts w:asciiTheme="minorHAnsi" w:hAnsiTheme="minorHAnsi" w:cs="Calibri"/>
          <w:sz w:val="20"/>
          <w:szCs w:val="20"/>
        </w:rPr>
        <w:t>UK</w:t>
      </w:r>
      <w:r w:rsidRPr="00F736BA">
        <w:rPr>
          <w:rFonts w:asciiTheme="minorHAnsi" w:hAnsiTheme="minorHAnsi" w:cs="Calibri"/>
          <w:sz w:val="20"/>
          <w:szCs w:val="20"/>
        </w:rPr>
        <w:tab/>
        <w:t xml:space="preserve">Univerzita Komenského v Bratislave </w:t>
      </w:r>
    </w:p>
    <w:p w:rsidR="009979FE" w:rsidRPr="00F736BA" w:rsidRDefault="009979FE" w:rsidP="009979FE">
      <w:pPr>
        <w:rPr>
          <w:rFonts w:asciiTheme="minorHAnsi" w:hAnsiTheme="minorHAnsi" w:cs="Calibri"/>
          <w:sz w:val="20"/>
          <w:szCs w:val="20"/>
        </w:rPr>
      </w:pPr>
      <w:r w:rsidRPr="00F736BA">
        <w:rPr>
          <w:rFonts w:asciiTheme="minorHAnsi" w:hAnsiTheme="minorHAnsi" w:cs="Calibri"/>
          <w:sz w:val="20"/>
          <w:szCs w:val="20"/>
        </w:rPr>
        <w:t>STU</w:t>
      </w:r>
      <w:r w:rsidRPr="00F736BA">
        <w:rPr>
          <w:rFonts w:asciiTheme="minorHAnsi" w:hAnsiTheme="minorHAnsi" w:cs="Calibri"/>
          <w:sz w:val="20"/>
          <w:szCs w:val="20"/>
        </w:rPr>
        <w:tab/>
        <w:t>Slovenská technická univerzita v Bratislave</w:t>
      </w:r>
    </w:p>
    <w:p w:rsidR="009979FE" w:rsidRPr="00F736BA" w:rsidRDefault="009979FE" w:rsidP="009979FE">
      <w:pPr>
        <w:rPr>
          <w:rFonts w:asciiTheme="minorHAnsi" w:hAnsiTheme="minorHAnsi" w:cs="Calibri"/>
          <w:sz w:val="20"/>
          <w:szCs w:val="20"/>
        </w:rPr>
      </w:pPr>
      <w:r w:rsidRPr="00F736BA">
        <w:rPr>
          <w:rFonts w:asciiTheme="minorHAnsi" w:hAnsiTheme="minorHAnsi" w:cs="Calibri"/>
          <w:sz w:val="20"/>
          <w:szCs w:val="20"/>
        </w:rPr>
        <w:t>TU KE</w:t>
      </w:r>
      <w:r w:rsidRPr="00F736BA">
        <w:rPr>
          <w:rFonts w:asciiTheme="minorHAnsi" w:hAnsiTheme="minorHAnsi" w:cs="Calibri"/>
          <w:sz w:val="20"/>
          <w:szCs w:val="20"/>
        </w:rPr>
        <w:tab/>
        <w:t>Technická univerzita v Košiciach</w:t>
      </w:r>
    </w:p>
    <w:p w:rsidR="009979FE" w:rsidRPr="00F736BA" w:rsidRDefault="009979FE" w:rsidP="009979FE">
      <w:pPr>
        <w:rPr>
          <w:rFonts w:asciiTheme="minorHAnsi" w:hAnsiTheme="minorHAnsi" w:cs="Calibri"/>
          <w:sz w:val="20"/>
          <w:szCs w:val="20"/>
        </w:rPr>
      </w:pPr>
      <w:r w:rsidRPr="00F736BA">
        <w:rPr>
          <w:rFonts w:asciiTheme="minorHAnsi" w:hAnsiTheme="minorHAnsi" w:cs="Calibri"/>
          <w:sz w:val="20"/>
          <w:szCs w:val="20"/>
        </w:rPr>
        <w:t xml:space="preserve">ŽU </w:t>
      </w:r>
      <w:r w:rsidRPr="00F736BA">
        <w:rPr>
          <w:rFonts w:asciiTheme="minorHAnsi" w:hAnsiTheme="minorHAnsi" w:cs="Calibri"/>
          <w:sz w:val="20"/>
          <w:szCs w:val="20"/>
        </w:rPr>
        <w:tab/>
        <w:t>Žilinská univerzita v Žiline</w:t>
      </w:r>
    </w:p>
    <w:p w:rsidR="009979FE" w:rsidRPr="00F736BA" w:rsidRDefault="009979FE" w:rsidP="009979FE">
      <w:pPr>
        <w:rPr>
          <w:rFonts w:asciiTheme="minorHAnsi" w:hAnsiTheme="minorHAnsi" w:cs="Calibri"/>
          <w:sz w:val="20"/>
          <w:szCs w:val="20"/>
        </w:rPr>
      </w:pPr>
      <w:r w:rsidRPr="00F736BA">
        <w:rPr>
          <w:rFonts w:asciiTheme="minorHAnsi" w:hAnsiTheme="minorHAnsi" w:cs="Calibri"/>
          <w:sz w:val="20"/>
          <w:szCs w:val="20"/>
        </w:rPr>
        <w:t>SPU</w:t>
      </w:r>
      <w:r w:rsidRPr="00F736BA">
        <w:rPr>
          <w:rFonts w:asciiTheme="minorHAnsi" w:hAnsiTheme="minorHAnsi" w:cs="Calibri"/>
          <w:sz w:val="20"/>
          <w:szCs w:val="20"/>
        </w:rPr>
        <w:tab/>
        <w:t>Slovenská poľnohospodárska univerzity v Nitre</w:t>
      </w:r>
    </w:p>
    <w:p w:rsidR="009979FE" w:rsidRPr="00F736BA" w:rsidRDefault="009979FE" w:rsidP="009979FE">
      <w:pPr>
        <w:rPr>
          <w:rFonts w:asciiTheme="minorHAnsi" w:hAnsiTheme="minorHAnsi" w:cs="Calibri"/>
          <w:sz w:val="20"/>
          <w:szCs w:val="20"/>
        </w:rPr>
      </w:pPr>
      <w:r w:rsidRPr="00F736BA">
        <w:rPr>
          <w:rFonts w:asciiTheme="minorHAnsi" w:hAnsiTheme="minorHAnsi" w:cs="Calibri"/>
          <w:sz w:val="20"/>
          <w:szCs w:val="20"/>
        </w:rPr>
        <w:t>TU ZV</w:t>
      </w:r>
      <w:r w:rsidRPr="00F736BA">
        <w:rPr>
          <w:rFonts w:asciiTheme="minorHAnsi" w:hAnsiTheme="minorHAnsi" w:cs="Calibri"/>
          <w:sz w:val="20"/>
          <w:szCs w:val="20"/>
        </w:rPr>
        <w:tab/>
        <w:t>Technická univerzita vo Zvolene</w:t>
      </w:r>
    </w:p>
    <w:p w:rsidR="009979FE" w:rsidRPr="00F736BA" w:rsidRDefault="009979FE" w:rsidP="009979FE">
      <w:pPr>
        <w:rPr>
          <w:rFonts w:asciiTheme="minorHAnsi" w:hAnsiTheme="minorHAnsi" w:cs="Calibri"/>
          <w:b/>
          <w:sz w:val="20"/>
          <w:szCs w:val="20"/>
        </w:rPr>
      </w:pPr>
    </w:p>
    <w:p w:rsidR="009979FE" w:rsidRPr="002D7A10" w:rsidRDefault="009979FE" w:rsidP="00B51749">
      <w:pPr>
        <w:rPr>
          <w:rFonts w:asciiTheme="minorHAnsi" w:hAnsiTheme="minorHAnsi"/>
          <w:color w:val="FF0000"/>
        </w:rPr>
      </w:pPr>
    </w:p>
    <w:p w:rsidR="00B51749" w:rsidRPr="002D7A10" w:rsidRDefault="00B51749" w:rsidP="00B51749">
      <w:pPr>
        <w:pStyle w:val="Nadpis2"/>
        <w:rPr>
          <w:rFonts w:asciiTheme="minorHAnsi" w:hAnsiTheme="minorHAnsi"/>
          <w:color w:val="auto"/>
          <w:sz w:val="24"/>
          <w:szCs w:val="24"/>
        </w:rPr>
      </w:pPr>
      <w:bookmarkStart w:id="20" w:name="_Toc448261562"/>
      <w:r w:rsidRPr="002D7A10">
        <w:rPr>
          <w:rFonts w:asciiTheme="minorHAnsi" w:hAnsiTheme="minorHAnsi"/>
          <w:color w:val="auto"/>
          <w:sz w:val="24"/>
          <w:szCs w:val="24"/>
        </w:rPr>
        <w:t>Údaje o absolventoch vysokoškolského štúdia</w:t>
      </w:r>
      <w:bookmarkEnd w:id="20"/>
    </w:p>
    <w:p w:rsidR="00FA539F" w:rsidRPr="002D7A10" w:rsidRDefault="00FA539F" w:rsidP="00FA539F">
      <w:pPr>
        <w:rPr>
          <w:rFonts w:asciiTheme="minorHAnsi" w:hAnsiTheme="minorHAnsi" w:cs="Calibri"/>
          <w:shd w:val="clear" w:color="auto" w:fill="FFFFFF"/>
        </w:rPr>
      </w:pPr>
      <w:r w:rsidRPr="002D7A10">
        <w:rPr>
          <w:rFonts w:asciiTheme="minorHAnsi" w:hAnsiTheme="minorHAnsi" w:cs="Calibri"/>
          <w:shd w:val="clear" w:color="auto" w:fill="FFFFFF"/>
        </w:rPr>
        <w:t xml:space="preserve">V akad. roku 2014/2015 na STU riadne </w:t>
      </w:r>
      <w:r w:rsidRPr="002D7A10">
        <w:rPr>
          <w:rFonts w:asciiTheme="minorHAnsi" w:hAnsiTheme="minorHAnsi" w:cs="Calibri"/>
          <w:b/>
          <w:shd w:val="clear" w:color="auto" w:fill="FFFFFF"/>
        </w:rPr>
        <w:t>skončilo štúdium 4 172 absolventov</w:t>
      </w:r>
      <w:r w:rsidRPr="002D7A10">
        <w:rPr>
          <w:rFonts w:asciiTheme="minorHAnsi" w:hAnsiTheme="minorHAnsi" w:cs="Calibri"/>
          <w:shd w:val="clear" w:color="auto" w:fill="FFFFFF"/>
        </w:rPr>
        <w:t xml:space="preserve">, z toho na prvom stupni štúdia úspešne skončilo štúdium 2 068 absolventov, na druhom stupni štúdia 1 859 absolventov a na treťom stupni štúdia 245 absolventov, z toho 181 v dennej forme a 64 v externej forme štúdia. Zo všetkých absolventov tretieho stupňa štúdia 70 % skončilo štúdium v štandardnej dĺžke štúdia. Prehľad absolventov STU na jednotlivých stupňoch štúdia je znázornený </w:t>
      </w:r>
      <w:r w:rsidR="00CE307D" w:rsidRPr="002D7A10">
        <w:rPr>
          <w:rFonts w:asciiTheme="minorHAnsi" w:hAnsiTheme="minorHAnsi" w:cs="Calibri"/>
          <w:shd w:val="clear" w:color="auto" w:fill="FFFFFF"/>
        </w:rPr>
        <w:t>v g</w:t>
      </w:r>
      <w:r w:rsidRPr="002D7A10">
        <w:rPr>
          <w:rFonts w:asciiTheme="minorHAnsi" w:hAnsiTheme="minorHAnsi" w:cs="Calibri"/>
          <w:shd w:val="clear" w:color="auto" w:fill="FFFFFF"/>
        </w:rPr>
        <w:t xml:space="preserve">rafe č. </w:t>
      </w:r>
      <w:r w:rsidR="00CE307D" w:rsidRPr="002D7A10">
        <w:rPr>
          <w:rFonts w:asciiTheme="minorHAnsi" w:hAnsiTheme="minorHAnsi" w:cs="Calibri"/>
          <w:shd w:val="clear" w:color="auto" w:fill="FFFFFF"/>
        </w:rPr>
        <w:t>3.</w:t>
      </w:r>
      <w:r w:rsidRPr="002D7A10">
        <w:rPr>
          <w:rFonts w:asciiTheme="minorHAnsi" w:hAnsiTheme="minorHAnsi" w:cs="Calibri"/>
          <w:shd w:val="clear" w:color="auto" w:fill="FFFFFF"/>
        </w:rPr>
        <w:t xml:space="preserve">14. </w:t>
      </w:r>
    </w:p>
    <w:p w:rsidR="001A4BFF" w:rsidRDefault="001A4BFF" w:rsidP="00FA539F">
      <w:pPr>
        <w:spacing w:after="120"/>
        <w:rPr>
          <w:rFonts w:asciiTheme="minorHAnsi" w:hAnsiTheme="minorHAnsi" w:cs="Calibri"/>
          <w:shd w:val="clear" w:color="auto" w:fill="FFFFFF"/>
        </w:rPr>
      </w:pPr>
      <w:r w:rsidRPr="002D7A10">
        <w:rPr>
          <w:rFonts w:asciiTheme="minorHAnsi" w:hAnsiTheme="minorHAnsi" w:cs="Calibri"/>
          <w:shd w:val="clear" w:color="auto" w:fill="FFFFFF"/>
        </w:rPr>
        <w:t>T</w:t>
      </w:r>
      <w:r w:rsidR="00FA539F" w:rsidRPr="002D7A10">
        <w:rPr>
          <w:rFonts w:asciiTheme="minorHAnsi" w:hAnsiTheme="minorHAnsi" w:cs="Calibri"/>
          <w:shd w:val="clear" w:color="auto" w:fill="FFFFFF"/>
        </w:rPr>
        <w:t>abuľk</w:t>
      </w:r>
      <w:r w:rsidRPr="002D7A10">
        <w:rPr>
          <w:rFonts w:asciiTheme="minorHAnsi" w:hAnsiTheme="minorHAnsi" w:cs="Calibri"/>
          <w:shd w:val="clear" w:color="auto" w:fill="FFFFFF"/>
        </w:rPr>
        <w:t>a</w:t>
      </w:r>
      <w:r w:rsidR="00FA539F" w:rsidRPr="002D7A10">
        <w:rPr>
          <w:rFonts w:asciiTheme="minorHAnsi" w:hAnsiTheme="minorHAnsi" w:cs="Calibri"/>
          <w:shd w:val="clear" w:color="auto" w:fill="FFFFFF"/>
        </w:rPr>
        <w:t xml:space="preserve"> č. </w:t>
      </w:r>
      <w:r w:rsidR="00CE307D" w:rsidRPr="002D7A10">
        <w:rPr>
          <w:rFonts w:asciiTheme="minorHAnsi" w:hAnsiTheme="minorHAnsi" w:cs="Calibri"/>
          <w:shd w:val="clear" w:color="auto" w:fill="FFFFFF"/>
        </w:rPr>
        <w:t>3.</w:t>
      </w:r>
      <w:r w:rsidR="00FA539F" w:rsidRPr="002D7A10">
        <w:rPr>
          <w:rFonts w:asciiTheme="minorHAnsi" w:hAnsiTheme="minorHAnsi" w:cs="Calibri"/>
          <w:shd w:val="clear" w:color="auto" w:fill="FFFFFF"/>
        </w:rPr>
        <w:t>26 uvádza celkov</w:t>
      </w:r>
      <w:r w:rsidRPr="002D7A10">
        <w:rPr>
          <w:rFonts w:asciiTheme="minorHAnsi" w:hAnsiTheme="minorHAnsi" w:cs="Calibri"/>
          <w:shd w:val="clear" w:color="auto" w:fill="FFFFFF"/>
        </w:rPr>
        <w:t>é</w:t>
      </w:r>
      <w:r w:rsidR="00FA539F" w:rsidRPr="002D7A10">
        <w:rPr>
          <w:rFonts w:asciiTheme="minorHAnsi" w:hAnsiTheme="minorHAnsi" w:cs="Calibri"/>
          <w:shd w:val="clear" w:color="auto" w:fill="FFFFFF"/>
        </w:rPr>
        <w:t xml:space="preserve"> počt</w:t>
      </w:r>
      <w:r w:rsidRPr="002D7A10">
        <w:rPr>
          <w:rFonts w:asciiTheme="minorHAnsi" w:hAnsiTheme="minorHAnsi" w:cs="Calibri"/>
          <w:shd w:val="clear" w:color="auto" w:fill="FFFFFF"/>
        </w:rPr>
        <w:t>y</w:t>
      </w:r>
      <w:r w:rsidR="00FA539F" w:rsidRPr="002D7A10">
        <w:rPr>
          <w:rFonts w:asciiTheme="minorHAnsi" w:hAnsiTheme="minorHAnsi" w:cs="Calibri"/>
          <w:shd w:val="clear" w:color="auto" w:fill="FFFFFF"/>
        </w:rPr>
        <w:t xml:space="preserve"> absolventov v kalendárnom roku 2015 na jednotlivých súčastiach STU. Prehľad počtu absolventov na jednotkových stupňoch štúdia za posledných päť kalendárnych rokov uvádza </w:t>
      </w:r>
      <w:r w:rsidR="00CE307D" w:rsidRPr="002D7A10">
        <w:rPr>
          <w:rFonts w:asciiTheme="minorHAnsi" w:hAnsiTheme="minorHAnsi" w:cs="Calibri"/>
          <w:shd w:val="clear" w:color="auto" w:fill="FFFFFF"/>
        </w:rPr>
        <w:t>g</w:t>
      </w:r>
      <w:r w:rsidR="00FA539F" w:rsidRPr="002D7A10">
        <w:rPr>
          <w:rFonts w:asciiTheme="minorHAnsi" w:hAnsiTheme="minorHAnsi" w:cs="Calibri"/>
          <w:shd w:val="clear" w:color="auto" w:fill="FFFFFF"/>
        </w:rPr>
        <w:t xml:space="preserve">raf č. </w:t>
      </w:r>
      <w:r w:rsidR="00CE307D" w:rsidRPr="002D7A10">
        <w:rPr>
          <w:rFonts w:asciiTheme="minorHAnsi" w:hAnsiTheme="minorHAnsi" w:cs="Calibri"/>
          <w:shd w:val="clear" w:color="auto" w:fill="FFFFFF"/>
        </w:rPr>
        <w:t>3.</w:t>
      </w:r>
      <w:r w:rsidR="00D947F5">
        <w:rPr>
          <w:rFonts w:asciiTheme="minorHAnsi" w:hAnsiTheme="minorHAnsi" w:cs="Calibri"/>
          <w:shd w:val="clear" w:color="auto" w:fill="FFFFFF"/>
        </w:rPr>
        <w:t>15.</w:t>
      </w:r>
    </w:p>
    <w:p w:rsidR="00D947F5" w:rsidRPr="002D7A10" w:rsidRDefault="00D947F5" w:rsidP="00FA539F">
      <w:pPr>
        <w:spacing w:after="120"/>
        <w:rPr>
          <w:rFonts w:asciiTheme="minorHAnsi" w:hAnsiTheme="minorHAnsi" w:cs="Calibri"/>
          <w:shd w:val="clear" w:color="auto" w:fill="FFFFFF"/>
        </w:rPr>
      </w:pPr>
    </w:p>
    <w:p w:rsidR="00FA539F" w:rsidRPr="00870E70" w:rsidRDefault="00FA539F" w:rsidP="00EA0264">
      <w:pPr>
        <w:jc w:val="left"/>
        <w:rPr>
          <w:rFonts w:asciiTheme="minorHAnsi" w:hAnsiTheme="minorHAnsi" w:cs="Calibri"/>
          <w:sz w:val="20"/>
          <w:szCs w:val="20"/>
          <w:shd w:val="clear" w:color="auto" w:fill="FFFFFF"/>
        </w:rPr>
      </w:pPr>
      <w:r w:rsidRPr="00870E70">
        <w:rPr>
          <w:rFonts w:asciiTheme="minorHAnsi" w:hAnsiTheme="minorHAnsi" w:cs="Calibri"/>
          <w:b/>
          <w:sz w:val="20"/>
          <w:szCs w:val="20"/>
          <w:shd w:val="clear" w:color="auto" w:fill="FFFFFF"/>
        </w:rPr>
        <w:lastRenderedPageBreak/>
        <w:t xml:space="preserve">Graf č. </w:t>
      </w:r>
      <w:r w:rsidR="00CE307D" w:rsidRPr="00870E70">
        <w:rPr>
          <w:rFonts w:asciiTheme="minorHAnsi" w:hAnsiTheme="minorHAnsi" w:cs="Calibri"/>
          <w:b/>
          <w:sz w:val="20"/>
          <w:szCs w:val="20"/>
          <w:shd w:val="clear" w:color="auto" w:fill="FFFFFF"/>
        </w:rPr>
        <w:t>3.</w:t>
      </w:r>
      <w:r w:rsidRPr="00870E70">
        <w:rPr>
          <w:rFonts w:asciiTheme="minorHAnsi" w:hAnsiTheme="minorHAnsi" w:cs="Calibri"/>
          <w:b/>
          <w:sz w:val="20"/>
          <w:szCs w:val="20"/>
          <w:shd w:val="clear" w:color="auto" w:fill="FFFFFF"/>
        </w:rPr>
        <w:t>14:  Počet študentov, ktorí riadne skončili štúdium v akad. roku 2014/2015</w:t>
      </w:r>
      <w:r w:rsidRPr="00870E70">
        <w:rPr>
          <w:rFonts w:asciiTheme="minorHAnsi" w:hAnsiTheme="minorHAnsi"/>
          <w:noProof/>
          <w:sz w:val="20"/>
          <w:szCs w:val="20"/>
          <w:lang w:eastAsia="sk-SK"/>
        </w:rPr>
        <w:drawing>
          <wp:inline distT="0" distB="0" distL="0" distR="0" wp14:anchorId="0C6E1475" wp14:editId="761381C6">
            <wp:extent cx="4467225" cy="20955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A539F" w:rsidRDefault="00FA539F" w:rsidP="00FA539F">
      <w:pPr>
        <w:rPr>
          <w:rFonts w:asciiTheme="minorHAnsi" w:hAnsiTheme="minorHAnsi" w:cs="Calibri"/>
          <w:sz w:val="20"/>
          <w:szCs w:val="20"/>
          <w:shd w:val="clear" w:color="auto" w:fill="FFFFFF"/>
        </w:rPr>
      </w:pPr>
    </w:p>
    <w:p w:rsidR="00E62272" w:rsidRPr="00870E70" w:rsidRDefault="00E62272" w:rsidP="00FA539F">
      <w:pPr>
        <w:rPr>
          <w:rFonts w:asciiTheme="minorHAnsi" w:hAnsiTheme="minorHAnsi" w:cs="Calibri"/>
          <w:sz w:val="20"/>
          <w:szCs w:val="20"/>
          <w:shd w:val="clear" w:color="auto" w:fill="FFFFFF"/>
        </w:rPr>
      </w:pPr>
    </w:p>
    <w:p w:rsidR="00FA539F" w:rsidRPr="00870E70" w:rsidRDefault="00FA539F" w:rsidP="00FA539F">
      <w:pPr>
        <w:rPr>
          <w:rFonts w:asciiTheme="minorHAnsi" w:hAnsiTheme="minorHAnsi" w:cs="Arial"/>
          <w:b/>
          <w:iCs/>
          <w:sz w:val="20"/>
          <w:szCs w:val="20"/>
          <w:lang w:eastAsia="sk-SK"/>
        </w:rPr>
      </w:pPr>
      <w:r w:rsidRPr="00870E70">
        <w:rPr>
          <w:rFonts w:asciiTheme="minorHAnsi" w:hAnsiTheme="minorHAnsi" w:cs="Arial"/>
          <w:b/>
          <w:bCs/>
          <w:iCs/>
          <w:sz w:val="20"/>
          <w:szCs w:val="20"/>
          <w:lang w:eastAsia="sk-SK"/>
        </w:rPr>
        <w:t xml:space="preserve">Tabuľka č. </w:t>
      </w:r>
      <w:r w:rsidR="00CE307D" w:rsidRPr="00870E70">
        <w:rPr>
          <w:rFonts w:asciiTheme="minorHAnsi" w:hAnsiTheme="minorHAnsi" w:cs="Arial"/>
          <w:b/>
          <w:bCs/>
          <w:iCs/>
          <w:sz w:val="20"/>
          <w:szCs w:val="20"/>
          <w:lang w:eastAsia="sk-SK"/>
        </w:rPr>
        <w:t>3.</w:t>
      </w:r>
      <w:r w:rsidRPr="00870E70">
        <w:rPr>
          <w:rFonts w:asciiTheme="minorHAnsi" w:hAnsiTheme="minorHAnsi" w:cs="Arial"/>
          <w:b/>
          <w:bCs/>
          <w:iCs/>
          <w:sz w:val="20"/>
          <w:szCs w:val="20"/>
          <w:lang w:eastAsia="sk-SK"/>
        </w:rPr>
        <w:t>26:</w:t>
      </w:r>
      <w:r w:rsidRPr="00870E70">
        <w:rPr>
          <w:rFonts w:asciiTheme="minorHAnsi" w:hAnsiTheme="minorHAnsi" w:cs="Arial"/>
          <w:b/>
          <w:iCs/>
          <w:sz w:val="20"/>
          <w:szCs w:val="20"/>
          <w:lang w:eastAsia="sk-SK"/>
        </w:rPr>
        <w:t xml:space="preserve"> Počet absolventov STU v kalendárnom roku 2015 k 31.12.2015</w:t>
      </w:r>
    </w:p>
    <w:tbl>
      <w:tblPr>
        <w:tblW w:w="9536" w:type="dxa"/>
        <w:tblInd w:w="-110" w:type="dxa"/>
        <w:tblCellMar>
          <w:left w:w="70" w:type="dxa"/>
          <w:right w:w="70" w:type="dxa"/>
        </w:tblCellMar>
        <w:tblLook w:val="04A0" w:firstRow="1" w:lastRow="0" w:firstColumn="1" w:lastColumn="0" w:noHBand="0" w:noVBand="1"/>
      </w:tblPr>
      <w:tblGrid>
        <w:gridCol w:w="747"/>
        <w:gridCol w:w="426"/>
        <w:gridCol w:w="929"/>
        <w:gridCol w:w="929"/>
        <w:gridCol w:w="929"/>
        <w:gridCol w:w="929"/>
        <w:gridCol w:w="930"/>
        <w:gridCol w:w="929"/>
        <w:gridCol w:w="929"/>
        <w:gridCol w:w="929"/>
        <w:gridCol w:w="930"/>
      </w:tblGrid>
      <w:tr w:rsidR="00FA539F" w:rsidRPr="00870E70" w:rsidTr="00CE307D">
        <w:trPr>
          <w:trHeight w:val="20"/>
        </w:trPr>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539F" w:rsidRPr="00870E70" w:rsidRDefault="00FA539F" w:rsidP="00870E70">
            <w:pPr>
              <w:ind w:firstLineChars="100" w:firstLine="200"/>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 </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FA539F" w:rsidRPr="00870E70" w:rsidRDefault="00FA539F" w:rsidP="00CE307D">
            <w:pPr>
              <w:jc w:val="cente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SvF</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FA539F" w:rsidRPr="00870E70" w:rsidRDefault="00FA539F" w:rsidP="00CE307D">
            <w:pPr>
              <w:jc w:val="cente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SjF</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FA539F" w:rsidRPr="00870E70" w:rsidRDefault="00FA539F" w:rsidP="00CE307D">
            <w:pPr>
              <w:jc w:val="cente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FEI</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FA539F" w:rsidRPr="00870E70" w:rsidRDefault="00FA539F" w:rsidP="00CE307D">
            <w:pPr>
              <w:jc w:val="cente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FCHPT</w:t>
            </w:r>
          </w:p>
        </w:tc>
        <w:tc>
          <w:tcPr>
            <w:tcW w:w="930" w:type="dxa"/>
            <w:tcBorders>
              <w:top w:val="single" w:sz="4" w:space="0" w:color="auto"/>
              <w:left w:val="nil"/>
              <w:bottom w:val="single" w:sz="4" w:space="0" w:color="auto"/>
              <w:right w:val="single" w:sz="4" w:space="0" w:color="auto"/>
            </w:tcBorders>
            <w:shd w:val="clear" w:color="auto" w:fill="auto"/>
            <w:vAlign w:val="bottom"/>
            <w:hideMark/>
          </w:tcPr>
          <w:p w:rsidR="00FA539F" w:rsidRPr="00870E70" w:rsidRDefault="00FA539F" w:rsidP="00CE307D">
            <w:pPr>
              <w:jc w:val="cente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FA</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FA539F" w:rsidRPr="00870E70" w:rsidRDefault="00FA539F" w:rsidP="00CE307D">
            <w:pPr>
              <w:jc w:val="cente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MTF</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FA539F" w:rsidRPr="00870E70" w:rsidRDefault="00FA539F" w:rsidP="00CE307D">
            <w:pPr>
              <w:jc w:val="cente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FIIT</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FA539F" w:rsidRPr="00870E70" w:rsidRDefault="00FA539F" w:rsidP="00CE307D">
            <w:pPr>
              <w:jc w:val="cente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ÚM</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A539F" w:rsidRPr="00870E70" w:rsidRDefault="00FA539F" w:rsidP="00CE307D">
            <w:pPr>
              <w:jc w:val="cente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STU</w:t>
            </w:r>
          </w:p>
        </w:tc>
      </w:tr>
      <w:tr w:rsidR="00FA539F" w:rsidRPr="00870E70" w:rsidTr="00CE307D">
        <w:trPr>
          <w:trHeight w:val="20"/>
        </w:trPr>
        <w:tc>
          <w:tcPr>
            <w:tcW w:w="747" w:type="dxa"/>
            <w:vMerge w:val="restart"/>
            <w:tcBorders>
              <w:top w:val="nil"/>
              <w:left w:val="single" w:sz="4" w:space="0" w:color="auto"/>
              <w:bottom w:val="single" w:sz="4" w:space="0" w:color="auto"/>
              <w:right w:val="single" w:sz="4" w:space="0" w:color="auto"/>
            </w:tcBorders>
            <w:shd w:val="clear" w:color="auto" w:fill="auto"/>
            <w:vAlign w:val="bottom"/>
            <w:hideMark/>
          </w:tcPr>
          <w:p w:rsidR="00FA539F" w:rsidRPr="00870E70" w:rsidRDefault="00FA539F" w:rsidP="00CE307D">
            <w:pP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Bc.</w:t>
            </w:r>
          </w:p>
        </w:tc>
        <w:tc>
          <w:tcPr>
            <w:tcW w:w="426" w:type="dxa"/>
            <w:tcBorders>
              <w:top w:val="nil"/>
              <w:left w:val="nil"/>
              <w:bottom w:val="single" w:sz="4" w:space="0" w:color="auto"/>
              <w:right w:val="single" w:sz="4" w:space="0" w:color="auto"/>
            </w:tcBorders>
            <w:shd w:val="clear" w:color="auto" w:fill="auto"/>
            <w:vAlign w:val="bottom"/>
            <w:hideMark/>
          </w:tcPr>
          <w:p w:rsidR="00FA539F" w:rsidRPr="00870E70" w:rsidRDefault="00FA539F" w:rsidP="00CE307D">
            <w:pP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DF</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481</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192</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344</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300</w:t>
            </w:r>
          </w:p>
        </w:tc>
        <w:tc>
          <w:tcPr>
            <w:tcW w:w="930"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162</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459</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145</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20</w:t>
            </w:r>
          </w:p>
        </w:tc>
        <w:tc>
          <w:tcPr>
            <w:tcW w:w="930"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2 103</w:t>
            </w:r>
          </w:p>
        </w:tc>
      </w:tr>
      <w:tr w:rsidR="00FA539F" w:rsidRPr="00870E70" w:rsidTr="00CE307D">
        <w:trPr>
          <w:trHeight w:val="20"/>
        </w:trPr>
        <w:tc>
          <w:tcPr>
            <w:tcW w:w="747" w:type="dxa"/>
            <w:vMerge/>
            <w:tcBorders>
              <w:top w:val="nil"/>
              <w:left w:val="single" w:sz="4" w:space="0" w:color="auto"/>
              <w:bottom w:val="single" w:sz="4" w:space="0" w:color="auto"/>
              <w:right w:val="single" w:sz="4" w:space="0" w:color="auto"/>
            </w:tcBorders>
            <w:vAlign w:val="center"/>
            <w:hideMark/>
          </w:tcPr>
          <w:p w:rsidR="00FA539F" w:rsidRPr="00870E70" w:rsidRDefault="00FA539F" w:rsidP="00CE307D">
            <w:pPr>
              <w:rPr>
                <w:rFonts w:asciiTheme="minorHAnsi" w:eastAsia="Times New Roman" w:hAnsiTheme="minorHAnsi" w:cs="Arial"/>
                <w:b/>
                <w:bCs/>
                <w:sz w:val="20"/>
                <w:szCs w:val="20"/>
                <w:lang w:eastAsia="sk-SK"/>
              </w:rPr>
            </w:pPr>
          </w:p>
        </w:tc>
        <w:tc>
          <w:tcPr>
            <w:tcW w:w="426" w:type="dxa"/>
            <w:tcBorders>
              <w:top w:val="nil"/>
              <w:left w:val="nil"/>
              <w:bottom w:val="single" w:sz="4" w:space="0" w:color="auto"/>
              <w:right w:val="single" w:sz="4" w:space="0" w:color="auto"/>
            </w:tcBorders>
            <w:shd w:val="clear" w:color="auto" w:fill="auto"/>
            <w:vAlign w:val="bottom"/>
            <w:hideMark/>
          </w:tcPr>
          <w:p w:rsidR="00FA539F" w:rsidRPr="00870E70" w:rsidRDefault="00FA539F" w:rsidP="00CE307D">
            <w:pP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EF</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6</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30"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30"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6</w:t>
            </w:r>
          </w:p>
        </w:tc>
      </w:tr>
      <w:tr w:rsidR="00FA539F" w:rsidRPr="00870E70" w:rsidTr="00CE307D">
        <w:trPr>
          <w:trHeight w:val="20"/>
        </w:trPr>
        <w:tc>
          <w:tcPr>
            <w:tcW w:w="747" w:type="dxa"/>
            <w:vMerge w:val="restart"/>
            <w:tcBorders>
              <w:top w:val="nil"/>
              <w:left w:val="single" w:sz="4" w:space="0" w:color="auto"/>
              <w:bottom w:val="single" w:sz="4" w:space="0" w:color="auto"/>
              <w:right w:val="single" w:sz="4" w:space="0" w:color="auto"/>
            </w:tcBorders>
            <w:shd w:val="clear" w:color="auto" w:fill="auto"/>
            <w:vAlign w:val="bottom"/>
            <w:hideMark/>
          </w:tcPr>
          <w:p w:rsidR="00FA539F" w:rsidRPr="00870E70" w:rsidRDefault="00FA539F" w:rsidP="00CE307D">
            <w:pP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Ing.</w:t>
            </w:r>
          </w:p>
        </w:tc>
        <w:tc>
          <w:tcPr>
            <w:tcW w:w="426" w:type="dxa"/>
            <w:tcBorders>
              <w:top w:val="nil"/>
              <w:left w:val="nil"/>
              <w:bottom w:val="single" w:sz="4" w:space="0" w:color="auto"/>
              <w:right w:val="single" w:sz="4" w:space="0" w:color="auto"/>
            </w:tcBorders>
            <w:shd w:val="clear" w:color="auto" w:fill="auto"/>
            <w:vAlign w:val="bottom"/>
            <w:hideMark/>
          </w:tcPr>
          <w:p w:rsidR="00FA539F" w:rsidRPr="00870E70" w:rsidRDefault="00FA539F" w:rsidP="00CE307D">
            <w:pP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DF</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515</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185</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256</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187</w:t>
            </w:r>
          </w:p>
        </w:tc>
        <w:tc>
          <w:tcPr>
            <w:tcW w:w="930"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178</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447</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99</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22</w:t>
            </w:r>
          </w:p>
        </w:tc>
        <w:tc>
          <w:tcPr>
            <w:tcW w:w="930"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1 889</w:t>
            </w:r>
          </w:p>
        </w:tc>
      </w:tr>
      <w:tr w:rsidR="00FA539F" w:rsidRPr="00870E70" w:rsidTr="00CE307D">
        <w:trPr>
          <w:trHeight w:val="20"/>
        </w:trPr>
        <w:tc>
          <w:tcPr>
            <w:tcW w:w="747" w:type="dxa"/>
            <w:vMerge/>
            <w:tcBorders>
              <w:top w:val="nil"/>
              <w:left w:val="single" w:sz="4" w:space="0" w:color="auto"/>
              <w:bottom w:val="single" w:sz="4" w:space="0" w:color="auto"/>
              <w:right w:val="single" w:sz="4" w:space="0" w:color="auto"/>
            </w:tcBorders>
            <w:vAlign w:val="center"/>
            <w:hideMark/>
          </w:tcPr>
          <w:p w:rsidR="00FA539F" w:rsidRPr="00870E70" w:rsidRDefault="00FA539F" w:rsidP="00CE307D">
            <w:pPr>
              <w:rPr>
                <w:rFonts w:asciiTheme="minorHAnsi" w:eastAsia="Times New Roman" w:hAnsiTheme="minorHAnsi" w:cs="Arial"/>
                <w:b/>
                <w:bCs/>
                <w:sz w:val="20"/>
                <w:szCs w:val="20"/>
                <w:lang w:eastAsia="sk-SK"/>
              </w:rPr>
            </w:pPr>
          </w:p>
        </w:tc>
        <w:tc>
          <w:tcPr>
            <w:tcW w:w="426" w:type="dxa"/>
            <w:tcBorders>
              <w:top w:val="nil"/>
              <w:left w:val="nil"/>
              <w:bottom w:val="single" w:sz="4" w:space="0" w:color="auto"/>
              <w:right w:val="single" w:sz="4" w:space="0" w:color="auto"/>
            </w:tcBorders>
            <w:shd w:val="clear" w:color="auto" w:fill="auto"/>
            <w:vAlign w:val="bottom"/>
            <w:hideMark/>
          </w:tcPr>
          <w:p w:rsidR="00FA539F" w:rsidRPr="00870E70" w:rsidRDefault="00FA539F" w:rsidP="00CE307D">
            <w:pP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EF</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30"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30"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0</w:t>
            </w:r>
          </w:p>
        </w:tc>
      </w:tr>
      <w:tr w:rsidR="00FA539F" w:rsidRPr="00870E70" w:rsidTr="00CE307D">
        <w:trPr>
          <w:trHeight w:val="20"/>
        </w:trPr>
        <w:tc>
          <w:tcPr>
            <w:tcW w:w="747" w:type="dxa"/>
            <w:vMerge w:val="restart"/>
            <w:tcBorders>
              <w:top w:val="nil"/>
              <w:left w:val="single" w:sz="4" w:space="0" w:color="auto"/>
              <w:bottom w:val="single" w:sz="4" w:space="0" w:color="auto"/>
              <w:right w:val="single" w:sz="4" w:space="0" w:color="auto"/>
            </w:tcBorders>
            <w:shd w:val="clear" w:color="auto" w:fill="auto"/>
            <w:vAlign w:val="bottom"/>
            <w:hideMark/>
          </w:tcPr>
          <w:p w:rsidR="00FA539F" w:rsidRPr="00870E70" w:rsidRDefault="00FA539F" w:rsidP="00CE307D">
            <w:pP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PhD.</w:t>
            </w:r>
          </w:p>
        </w:tc>
        <w:tc>
          <w:tcPr>
            <w:tcW w:w="426" w:type="dxa"/>
            <w:tcBorders>
              <w:top w:val="nil"/>
              <w:left w:val="nil"/>
              <w:bottom w:val="single" w:sz="4" w:space="0" w:color="auto"/>
              <w:right w:val="single" w:sz="4" w:space="0" w:color="auto"/>
            </w:tcBorders>
            <w:shd w:val="clear" w:color="auto" w:fill="auto"/>
            <w:vAlign w:val="bottom"/>
            <w:hideMark/>
          </w:tcPr>
          <w:p w:rsidR="00FA539F" w:rsidRPr="00870E70" w:rsidRDefault="00FA539F" w:rsidP="00CE307D">
            <w:pP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DF</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42</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14</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24</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34</w:t>
            </w:r>
          </w:p>
        </w:tc>
        <w:tc>
          <w:tcPr>
            <w:tcW w:w="930"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13</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21</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6</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w:t>
            </w:r>
          </w:p>
        </w:tc>
        <w:tc>
          <w:tcPr>
            <w:tcW w:w="930"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155</w:t>
            </w:r>
          </w:p>
        </w:tc>
      </w:tr>
      <w:tr w:rsidR="00FA539F" w:rsidRPr="00870E70" w:rsidTr="00CE307D">
        <w:trPr>
          <w:trHeight w:val="20"/>
        </w:trPr>
        <w:tc>
          <w:tcPr>
            <w:tcW w:w="747" w:type="dxa"/>
            <w:vMerge/>
            <w:tcBorders>
              <w:top w:val="nil"/>
              <w:left w:val="single" w:sz="4" w:space="0" w:color="auto"/>
              <w:bottom w:val="single" w:sz="4" w:space="0" w:color="auto"/>
              <w:right w:val="single" w:sz="4" w:space="0" w:color="auto"/>
            </w:tcBorders>
            <w:vAlign w:val="center"/>
            <w:hideMark/>
          </w:tcPr>
          <w:p w:rsidR="00FA539F" w:rsidRPr="00870E70" w:rsidRDefault="00FA539F" w:rsidP="00CE307D">
            <w:pPr>
              <w:rPr>
                <w:rFonts w:asciiTheme="minorHAnsi" w:eastAsia="Times New Roman" w:hAnsiTheme="minorHAnsi" w:cs="Arial"/>
                <w:b/>
                <w:bCs/>
                <w:sz w:val="20"/>
                <w:szCs w:val="20"/>
                <w:lang w:eastAsia="sk-SK"/>
              </w:rPr>
            </w:pPr>
          </w:p>
        </w:tc>
        <w:tc>
          <w:tcPr>
            <w:tcW w:w="426" w:type="dxa"/>
            <w:tcBorders>
              <w:top w:val="nil"/>
              <w:left w:val="nil"/>
              <w:bottom w:val="single" w:sz="4" w:space="0" w:color="auto"/>
              <w:right w:val="single" w:sz="4" w:space="0" w:color="auto"/>
            </w:tcBorders>
            <w:shd w:val="clear" w:color="auto" w:fill="auto"/>
            <w:vAlign w:val="bottom"/>
            <w:hideMark/>
          </w:tcPr>
          <w:p w:rsidR="00FA539F" w:rsidRPr="00870E70" w:rsidRDefault="00FA539F" w:rsidP="00CE307D">
            <w:pP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EF</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12</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9</w:t>
            </w:r>
          </w:p>
        </w:tc>
        <w:tc>
          <w:tcPr>
            <w:tcW w:w="930"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4</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12</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5</w:t>
            </w:r>
          </w:p>
        </w:tc>
        <w:tc>
          <w:tcPr>
            <w:tcW w:w="930"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62</w:t>
            </w:r>
          </w:p>
        </w:tc>
      </w:tr>
      <w:tr w:rsidR="00FA539F" w:rsidRPr="00870E70" w:rsidTr="00CE307D">
        <w:trPr>
          <w:trHeight w:val="20"/>
        </w:trPr>
        <w:tc>
          <w:tcPr>
            <w:tcW w:w="747" w:type="dxa"/>
            <w:vMerge/>
            <w:tcBorders>
              <w:top w:val="nil"/>
              <w:left w:val="single" w:sz="4" w:space="0" w:color="auto"/>
              <w:bottom w:val="single" w:sz="4" w:space="0" w:color="auto"/>
              <w:right w:val="single" w:sz="4" w:space="0" w:color="auto"/>
            </w:tcBorders>
            <w:vAlign w:val="center"/>
            <w:hideMark/>
          </w:tcPr>
          <w:p w:rsidR="00FA539F" w:rsidRPr="00870E70" w:rsidRDefault="00FA539F" w:rsidP="00CE307D">
            <w:pPr>
              <w:rPr>
                <w:rFonts w:asciiTheme="minorHAnsi" w:eastAsia="Times New Roman" w:hAnsiTheme="minorHAnsi" w:cs="Arial"/>
                <w:b/>
                <w:bCs/>
                <w:sz w:val="20"/>
                <w:szCs w:val="20"/>
                <w:lang w:eastAsia="sk-SK"/>
              </w:rPr>
            </w:pPr>
          </w:p>
        </w:tc>
        <w:tc>
          <w:tcPr>
            <w:tcW w:w="426" w:type="dxa"/>
            <w:tcBorders>
              <w:top w:val="nil"/>
              <w:left w:val="nil"/>
              <w:bottom w:val="single" w:sz="4" w:space="0" w:color="auto"/>
              <w:right w:val="single" w:sz="4" w:space="0" w:color="auto"/>
            </w:tcBorders>
            <w:shd w:val="clear" w:color="auto" w:fill="auto"/>
            <w:vAlign w:val="bottom"/>
            <w:hideMark/>
          </w:tcPr>
          <w:p w:rsidR="00FA539F" w:rsidRPr="00870E70" w:rsidRDefault="00FA539F" w:rsidP="00CE307D">
            <w:pP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EVI</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4</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2</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6</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9</w:t>
            </w:r>
          </w:p>
        </w:tc>
        <w:tc>
          <w:tcPr>
            <w:tcW w:w="930"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2</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1</w:t>
            </w:r>
          </w:p>
        </w:tc>
        <w:tc>
          <w:tcPr>
            <w:tcW w:w="929" w:type="dxa"/>
            <w:tcBorders>
              <w:top w:val="nil"/>
              <w:left w:val="nil"/>
              <w:bottom w:val="single" w:sz="4" w:space="0" w:color="auto"/>
              <w:right w:val="single" w:sz="4" w:space="0" w:color="auto"/>
            </w:tcBorders>
            <w:shd w:val="clear" w:color="auto" w:fill="auto"/>
            <w:vAlign w:val="center"/>
            <w:hideMark/>
          </w:tcPr>
          <w:p w:rsidR="00FA539F" w:rsidRPr="00870E70" w:rsidRDefault="00FA539F" w:rsidP="00CE307D">
            <w:pPr>
              <w:jc w:val="cente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0</w:t>
            </w:r>
          </w:p>
        </w:tc>
        <w:tc>
          <w:tcPr>
            <w:tcW w:w="930"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24</w:t>
            </w:r>
          </w:p>
        </w:tc>
      </w:tr>
      <w:tr w:rsidR="00FA539F" w:rsidRPr="00870E70" w:rsidTr="00CE307D">
        <w:trPr>
          <w:trHeight w:val="20"/>
        </w:trPr>
        <w:tc>
          <w:tcPr>
            <w:tcW w:w="1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A539F" w:rsidRPr="00870E70" w:rsidRDefault="00FA539F" w:rsidP="00CE307D">
            <w:pPr>
              <w:rPr>
                <w:rFonts w:asciiTheme="minorHAnsi" w:eastAsia="Times New Roman" w:hAnsiTheme="minorHAnsi" w:cs="Arial"/>
                <w:b/>
                <w:bCs/>
                <w:sz w:val="20"/>
                <w:szCs w:val="20"/>
                <w:lang w:eastAsia="sk-SK"/>
              </w:rPr>
            </w:pPr>
            <w:r w:rsidRPr="00870E70">
              <w:rPr>
                <w:rFonts w:asciiTheme="minorHAnsi" w:eastAsia="Times New Roman" w:hAnsiTheme="minorHAnsi" w:cs="Arial"/>
                <w:b/>
                <w:bCs/>
                <w:sz w:val="20"/>
                <w:szCs w:val="20"/>
                <w:lang w:eastAsia="sk-SK"/>
              </w:rPr>
              <w:t>SPOLU</w:t>
            </w:r>
          </w:p>
        </w:tc>
        <w:tc>
          <w:tcPr>
            <w:tcW w:w="929"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1 052</w:t>
            </w:r>
          </w:p>
        </w:tc>
        <w:tc>
          <w:tcPr>
            <w:tcW w:w="929"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409</w:t>
            </w:r>
          </w:p>
        </w:tc>
        <w:tc>
          <w:tcPr>
            <w:tcW w:w="929"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642</w:t>
            </w:r>
          </w:p>
        </w:tc>
        <w:tc>
          <w:tcPr>
            <w:tcW w:w="929"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539</w:t>
            </w:r>
          </w:p>
        </w:tc>
        <w:tc>
          <w:tcPr>
            <w:tcW w:w="930"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357</w:t>
            </w:r>
          </w:p>
        </w:tc>
        <w:tc>
          <w:tcPr>
            <w:tcW w:w="929"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941</w:t>
            </w:r>
          </w:p>
        </w:tc>
        <w:tc>
          <w:tcPr>
            <w:tcW w:w="929"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251</w:t>
            </w:r>
          </w:p>
        </w:tc>
        <w:tc>
          <w:tcPr>
            <w:tcW w:w="929"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48</w:t>
            </w:r>
          </w:p>
        </w:tc>
        <w:tc>
          <w:tcPr>
            <w:tcW w:w="930" w:type="dxa"/>
            <w:tcBorders>
              <w:top w:val="nil"/>
              <w:left w:val="nil"/>
              <w:bottom w:val="single" w:sz="4" w:space="0" w:color="auto"/>
              <w:right w:val="single" w:sz="4" w:space="0" w:color="auto"/>
            </w:tcBorders>
            <w:shd w:val="clear" w:color="auto" w:fill="D9D9D9" w:themeFill="background1" w:themeFillShade="D9"/>
            <w:vAlign w:val="center"/>
            <w:hideMark/>
          </w:tcPr>
          <w:p w:rsidR="00FA539F" w:rsidRPr="00870E70" w:rsidRDefault="00FA539F" w:rsidP="00CE307D">
            <w:pPr>
              <w:jc w:val="center"/>
              <w:rPr>
                <w:rFonts w:asciiTheme="minorHAnsi" w:eastAsia="Times New Roman" w:hAnsiTheme="minorHAnsi" w:cs="Arial"/>
                <w:b/>
                <w:bCs/>
                <w:color w:val="000000"/>
                <w:sz w:val="20"/>
                <w:szCs w:val="20"/>
                <w:lang w:eastAsia="sk-SK"/>
              </w:rPr>
            </w:pPr>
            <w:r w:rsidRPr="00870E70">
              <w:rPr>
                <w:rFonts w:asciiTheme="minorHAnsi" w:eastAsia="Times New Roman" w:hAnsiTheme="minorHAnsi" w:cs="Arial"/>
                <w:b/>
                <w:bCs/>
                <w:color w:val="000000"/>
                <w:sz w:val="20"/>
                <w:szCs w:val="20"/>
                <w:lang w:eastAsia="sk-SK"/>
              </w:rPr>
              <w:t>4 239</w:t>
            </w:r>
          </w:p>
        </w:tc>
      </w:tr>
    </w:tbl>
    <w:p w:rsidR="00FA539F" w:rsidRPr="00870E70" w:rsidRDefault="00FA539F" w:rsidP="00FA539F">
      <w:pPr>
        <w:rPr>
          <w:rFonts w:asciiTheme="minorHAnsi" w:eastAsia="Times New Roman" w:hAnsiTheme="minorHAnsi" w:cs="Arial"/>
          <w:sz w:val="20"/>
          <w:szCs w:val="20"/>
          <w:lang w:eastAsia="sk-SK"/>
        </w:rPr>
      </w:pPr>
      <w:r w:rsidRPr="00870E70">
        <w:rPr>
          <w:rFonts w:asciiTheme="minorHAnsi" w:eastAsia="Times New Roman" w:hAnsiTheme="minorHAnsi" w:cs="Arial"/>
          <w:sz w:val="20"/>
          <w:szCs w:val="20"/>
          <w:lang w:eastAsia="sk-SK"/>
        </w:rPr>
        <w:t>Vysvetlivky: DF – denná forma, EF - externá forma, EVI - externé vzdelávacie inštitúcie</w:t>
      </w:r>
    </w:p>
    <w:p w:rsidR="00FA539F" w:rsidRDefault="00FA539F" w:rsidP="00FA539F">
      <w:pPr>
        <w:rPr>
          <w:rFonts w:asciiTheme="minorHAnsi" w:hAnsiTheme="minorHAnsi" w:cs="Calibri"/>
          <w:sz w:val="20"/>
          <w:szCs w:val="20"/>
          <w:shd w:val="clear" w:color="auto" w:fill="FFFFFF"/>
        </w:rPr>
      </w:pPr>
    </w:p>
    <w:p w:rsidR="00E62272" w:rsidRPr="00870E70" w:rsidRDefault="00E62272" w:rsidP="00FA539F">
      <w:pPr>
        <w:rPr>
          <w:rFonts w:asciiTheme="minorHAnsi" w:hAnsiTheme="minorHAnsi" w:cs="Calibri"/>
          <w:sz w:val="20"/>
          <w:szCs w:val="20"/>
          <w:shd w:val="clear" w:color="auto" w:fill="FFFFFF"/>
        </w:rPr>
      </w:pPr>
    </w:p>
    <w:p w:rsidR="00FA539F" w:rsidRPr="00870E70" w:rsidRDefault="00FA539F" w:rsidP="00FA539F">
      <w:pPr>
        <w:rPr>
          <w:rFonts w:asciiTheme="minorHAnsi" w:hAnsiTheme="minorHAnsi" w:cs="Arial"/>
          <w:b/>
          <w:bCs/>
          <w:iCs/>
          <w:sz w:val="20"/>
          <w:szCs w:val="20"/>
          <w:lang w:eastAsia="sk-SK"/>
        </w:rPr>
      </w:pPr>
      <w:r w:rsidRPr="00870E70">
        <w:rPr>
          <w:rFonts w:asciiTheme="minorHAnsi" w:hAnsiTheme="minorHAnsi" w:cs="Arial"/>
          <w:b/>
          <w:bCs/>
          <w:iCs/>
          <w:sz w:val="20"/>
          <w:szCs w:val="20"/>
          <w:lang w:eastAsia="sk-SK"/>
        </w:rPr>
        <w:t xml:space="preserve">Graf č. </w:t>
      </w:r>
      <w:r w:rsidR="00CE307D" w:rsidRPr="00870E70">
        <w:rPr>
          <w:rFonts w:asciiTheme="minorHAnsi" w:hAnsiTheme="minorHAnsi" w:cs="Arial"/>
          <w:b/>
          <w:bCs/>
          <w:iCs/>
          <w:sz w:val="20"/>
          <w:szCs w:val="20"/>
          <w:lang w:eastAsia="sk-SK"/>
        </w:rPr>
        <w:t>3.</w:t>
      </w:r>
      <w:r w:rsidRPr="00870E70">
        <w:rPr>
          <w:rFonts w:asciiTheme="minorHAnsi" w:hAnsiTheme="minorHAnsi" w:cs="Arial"/>
          <w:b/>
          <w:bCs/>
          <w:iCs/>
          <w:sz w:val="20"/>
          <w:szCs w:val="20"/>
          <w:lang w:eastAsia="sk-SK"/>
        </w:rPr>
        <w:t>15: Počet absolventov za posledných päť kalendárnych rokov</w:t>
      </w:r>
    </w:p>
    <w:p w:rsidR="00B51749" w:rsidRPr="0023709D" w:rsidRDefault="00FA539F" w:rsidP="00B51749">
      <w:pPr>
        <w:rPr>
          <w:rFonts w:asciiTheme="minorHAnsi" w:hAnsiTheme="minorHAnsi" w:cs="Arial"/>
          <w:bCs/>
          <w:iCs/>
          <w:sz w:val="20"/>
          <w:szCs w:val="20"/>
          <w:lang w:eastAsia="sk-SK"/>
        </w:rPr>
      </w:pPr>
      <w:r w:rsidRPr="00870E70">
        <w:rPr>
          <w:rFonts w:asciiTheme="minorHAnsi" w:hAnsiTheme="minorHAnsi"/>
          <w:noProof/>
          <w:sz w:val="20"/>
          <w:szCs w:val="20"/>
          <w:lang w:eastAsia="sk-SK"/>
        </w:rPr>
        <w:drawing>
          <wp:inline distT="0" distB="0" distL="0" distR="0" wp14:anchorId="65668EC0" wp14:editId="2A7F457A">
            <wp:extent cx="4676775" cy="242887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870E70">
        <w:rPr>
          <w:rFonts w:asciiTheme="minorHAnsi" w:hAnsiTheme="minorHAnsi" w:cs="Arial"/>
          <w:bCs/>
          <w:iCs/>
          <w:sz w:val="20"/>
          <w:szCs w:val="20"/>
          <w:lang w:eastAsia="sk-SK"/>
        </w:rPr>
        <w:br w:type="page"/>
      </w:r>
    </w:p>
    <w:p w:rsidR="00B51749" w:rsidRPr="002D7A10" w:rsidRDefault="00B51749" w:rsidP="00B51749">
      <w:pPr>
        <w:rPr>
          <w:rFonts w:asciiTheme="minorHAnsi" w:hAnsiTheme="minorHAnsi"/>
          <w:iCs/>
          <w:color w:val="FF0000"/>
          <w:lang w:eastAsia="sk-SK"/>
        </w:rPr>
      </w:pPr>
    </w:p>
    <w:p w:rsidR="00B51749" w:rsidRPr="00E62272" w:rsidRDefault="00B51749" w:rsidP="00B51749">
      <w:pPr>
        <w:pStyle w:val="Nadpis2"/>
        <w:rPr>
          <w:rFonts w:asciiTheme="minorHAnsi" w:hAnsiTheme="minorHAnsi"/>
          <w:color w:val="auto"/>
          <w:sz w:val="24"/>
          <w:szCs w:val="24"/>
        </w:rPr>
      </w:pPr>
      <w:bookmarkStart w:id="21" w:name="_Toc448261563"/>
      <w:r w:rsidRPr="002D7A10">
        <w:rPr>
          <w:rFonts w:asciiTheme="minorHAnsi" w:hAnsiTheme="minorHAnsi"/>
          <w:color w:val="auto"/>
          <w:sz w:val="24"/>
          <w:szCs w:val="24"/>
        </w:rPr>
        <w:t>Prehľad úspechov študentov na národnej a medzinárodnej úrovni</w:t>
      </w:r>
      <w:bookmarkEnd w:id="21"/>
    </w:p>
    <w:p w:rsidR="009340E3" w:rsidRPr="002D7A10" w:rsidRDefault="009340E3" w:rsidP="009340E3">
      <w:pPr>
        <w:rPr>
          <w:rFonts w:asciiTheme="minorHAnsi" w:hAnsiTheme="minorHAnsi" w:cs="Calibri"/>
          <w:b/>
        </w:rPr>
      </w:pPr>
      <w:r w:rsidRPr="002D7A10">
        <w:rPr>
          <w:rFonts w:asciiTheme="minorHAnsi" w:hAnsiTheme="minorHAnsi" w:cs="Calibri"/>
        </w:rPr>
        <w:t xml:space="preserve">STU </w:t>
      </w:r>
      <w:r w:rsidR="001A4BFF" w:rsidRPr="002D7A10">
        <w:rPr>
          <w:rFonts w:asciiTheme="minorHAnsi" w:hAnsiTheme="minorHAnsi" w:cs="Calibri"/>
        </w:rPr>
        <w:t xml:space="preserve">podporuje </w:t>
      </w:r>
      <w:r w:rsidRPr="002D7A10">
        <w:rPr>
          <w:rFonts w:asciiTheme="minorHAnsi" w:hAnsiTheme="minorHAnsi" w:cs="Calibri"/>
        </w:rPr>
        <w:t>študento</w:t>
      </w:r>
      <w:r w:rsidR="001A4BFF" w:rsidRPr="002D7A10">
        <w:rPr>
          <w:rFonts w:asciiTheme="minorHAnsi" w:hAnsiTheme="minorHAnsi" w:cs="Calibri"/>
        </w:rPr>
        <w:t>v v zapájaní sa do národných a </w:t>
      </w:r>
      <w:r w:rsidRPr="002D7A10">
        <w:rPr>
          <w:rFonts w:asciiTheme="minorHAnsi" w:hAnsiTheme="minorHAnsi" w:cs="Calibri"/>
        </w:rPr>
        <w:t>medzinárodn</w:t>
      </w:r>
      <w:r w:rsidR="001A4BFF" w:rsidRPr="002D7A10">
        <w:rPr>
          <w:rFonts w:asciiTheme="minorHAnsi" w:hAnsiTheme="minorHAnsi" w:cs="Calibri"/>
        </w:rPr>
        <w:t>ých súťaží</w:t>
      </w:r>
      <w:r w:rsidRPr="002D7A10">
        <w:rPr>
          <w:rFonts w:asciiTheme="minorHAnsi" w:hAnsiTheme="minorHAnsi" w:cs="Calibri"/>
        </w:rPr>
        <w:t>, najmä odborných súťaž</w:t>
      </w:r>
      <w:r w:rsidR="001A4BFF" w:rsidRPr="002D7A10">
        <w:rPr>
          <w:rFonts w:asciiTheme="minorHAnsi" w:hAnsiTheme="minorHAnsi" w:cs="Calibri"/>
        </w:rPr>
        <w:t>í</w:t>
      </w:r>
      <w:r w:rsidRPr="002D7A10">
        <w:rPr>
          <w:rFonts w:asciiTheme="minorHAnsi" w:hAnsiTheme="minorHAnsi" w:cs="Calibri"/>
        </w:rPr>
        <w:t xml:space="preserve"> organizovaných inštitúciami, </w:t>
      </w:r>
      <w:r w:rsidR="001A4BFF" w:rsidRPr="002D7A10">
        <w:rPr>
          <w:rFonts w:asciiTheme="minorHAnsi" w:hAnsiTheme="minorHAnsi" w:cs="Calibri"/>
        </w:rPr>
        <w:t xml:space="preserve">ktoré majú blízko k </w:t>
      </w:r>
      <w:r w:rsidRPr="002D7A10">
        <w:rPr>
          <w:rFonts w:asciiTheme="minorHAnsi" w:hAnsiTheme="minorHAnsi" w:cs="Calibri"/>
        </w:rPr>
        <w:t xml:space="preserve"> profesijným profilom študijných programov univerzity. Účasť a úspešnosť študentov v súťažiach je jednou z najefektívnejších foriem propagácie kvality vzdelávania v odbornej a profesijnej komunite. V </w:t>
      </w:r>
      <w:r w:rsidR="00CE307D" w:rsidRPr="002D7A10">
        <w:rPr>
          <w:rFonts w:asciiTheme="minorHAnsi" w:hAnsiTheme="minorHAnsi" w:cs="Calibri"/>
        </w:rPr>
        <w:t>t</w:t>
      </w:r>
      <w:r w:rsidRPr="002D7A10">
        <w:rPr>
          <w:rFonts w:asciiTheme="minorHAnsi" w:hAnsiTheme="minorHAnsi" w:cs="Calibri"/>
        </w:rPr>
        <w:t xml:space="preserve">abuľkách č. </w:t>
      </w:r>
      <w:r w:rsidR="00CE307D" w:rsidRPr="002D7A10">
        <w:rPr>
          <w:rFonts w:asciiTheme="minorHAnsi" w:hAnsiTheme="minorHAnsi" w:cs="Calibri"/>
        </w:rPr>
        <w:t>3.</w:t>
      </w:r>
      <w:r w:rsidRPr="002D7A10">
        <w:rPr>
          <w:rFonts w:asciiTheme="minorHAnsi" w:hAnsiTheme="minorHAnsi" w:cs="Calibri"/>
        </w:rPr>
        <w:t>27 a</w:t>
      </w:r>
      <w:r w:rsidR="00CE307D" w:rsidRPr="002D7A10">
        <w:rPr>
          <w:rFonts w:asciiTheme="minorHAnsi" w:hAnsiTheme="minorHAnsi" w:cs="Calibri"/>
        </w:rPr>
        <w:t> 3.</w:t>
      </w:r>
      <w:r w:rsidRPr="002D7A10">
        <w:rPr>
          <w:rFonts w:asciiTheme="minorHAnsi" w:hAnsiTheme="minorHAnsi" w:cs="Calibri"/>
        </w:rPr>
        <w:t xml:space="preserve">28 je uvedený kvantitatívny prehľad najvýznamnejších ocenení </w:t>
      </w:r>
      <w:r w:rsidR="00E62272">
        <w:rPr>
          <w:rFonts w:asciiTheme="minorHAnsi" w:hAnsiTheme="minorHAnsi" w:cs="Calibri"/>
        </w:rPr>
        <w:t>študentov v akad. roku</w:t>
      </w:r>
      <w:r w:rsidRPr="002D7A10">
        <w:rPr>
          <w:rFonts w:asciiTheme="minorHAnsi" w:hAnsiTheme="minorHAnsi" w:cs="Calibri"/>
        </w:rPr>
        <w:t xml:space="preserve"> 2014/2015 </w:t>
      </w:r>
      <w:r w:rsidRPr="002D7A10">
        <w:rPr>
          <w:rFonts w:asciiTheme="minorHAnsi" w:hAnsiTheme="minorHAnsi" w:cs="Calibri"/>
          <w:b/>
        </w:rPr>
        <w:t>(spolu 121 na národnej úrovni mimo univerzity a 31 na medzinárodnej úrovni).</w:t>
      </w:r>
    </w:p>
    <w:p w:rsidR="009340E3" w:rsidRPr="002D7A10" w:rsidRDefault="009340E3" w:rsidP="009340E3">
      <w:pPr>
        <w:spacing w:after="120"/>
        <w:rPr>
          <w:rFonts w:asciiTheme="minorHAnsi" w:hAnsiTheme="minorHAnsi" w:cs="Calibri"/>
        </w:rPr>
      </w:pPr>
      <w:r w:rsidRPr="002D7A10">
        <w:rPr>
          <w:rFonts w:asciiTheme="minorHAnsi" w:hAnsiTheme="minorHAnsi" w:cs="Calibri"/>
        </w:rPr>
        <w:t xml:space="preserve">Okrem toho sú v tabuľke uvedené aj úspechy študentov mimo študijných aktivít (šport, kultúra apod.). Tieto ocenenia sú </w:t>
      </w:r>
      <w:r w:rsidR="001A4BFF" w:rsidRPr="002D7A10">
        <w:rPr>
          <w:rFonts w:asciiTheme="minorHAnsi" w:hAnsiTheme="minorHAnsi" w:cs="Calibri"/>
        </w:rPr>
        <w:t>rovnako</w:t>
      </w:r>
      <w:r w:rsidRPr="002D7A10">
        <w:rPr>
          <w:rFonts w:asciiTheme="minorHAnsi" w:hAnsiTheme="minorHAnsi" w:cs="Calibri"/>
        </w:rPr>
        <w:t xml:space="preserve"> dôležité, pretože okrem toho, že študenti reprezentujú univerzitu, mimo študijné aktivity prispievajú k celkovému rozvoju osobnosti mladého človeka.</w:t>
      </w:r>
    </w:p>
    <w:p w:rsidR="009340E3" w:rsidRPr="00894F75" w:rsidRDefault="009340E3" w:rsidP="009340E3">
      <w:pPr>
        <w:rPr>
          <w:rFonts w:asciiTheme="minorHAnsi" w:hAnsiTheme="minorHAnsi" w:cs="Calibri"/>
          <w:b/>
          <w:sz w:val="20"/>
          <w:szCs w:val="20"/>
        </w:rPr>
      </w:pPr>
      <w:r w:rsidRPr="00894F75">
        <w:rPr>
          <w:rFonts w:asciiTheme="minorHAnsi" w:hAnsiTheme="minorHAnsi" w:cs="Calibri"/>
          <w:b/>
          <w:sz w:val="20"/>
          <w:szCs w:val="20"/>
        </w:rPr>
        <w:t xml:space="preserve">Tabuľka č. </w:t>
      </w:r>
      <w:r w:rsidR="00CE307D" w:rsidRPr="00894F75">
        <w:rPr>
          <w:rFonts w:asciiTheme="minorHAnsi" w:hAnsiTheme="minorHAnsi" w:cs="Calibri"/>
          <w:b/>
          <w:sz w:val="20"/>
          <w:szCs w:val="20"/>
        </w:rPr>
        <w:t>3.</w:t>
      </w:r>
      <w:r w:rsidRPr="00894F75">
        <w:rPr>
          <w:rFonts w:asciiTheme="minorHAnsi" w:hAnsiTheme="minorHAnsi" w:cs="Calibri"/>
          <w:b/>
          <w:sz w:val="20"/>
          <w:szCs w:val="20"/>
        </w:rPr>
        <w:t xml:space="preserve">27: </w:t>
      </w:r>
      <w:r w:rsidR="00E62272">
        <w:rPr>
          <w:rFonts w:asciiTheme="minorHAnsi" w:hAnsiTheme="minorHAnsi" w:cs="Calibri"/>
          <w:b/>
          <w:sz w:val="20"/>
          <w:szCs w:val="20"/>
        </w:rPr>
        <w:t>P</w:t>
      </w:r>
      <w:r w:rsidRPr="00894F75">
        <w:rPr>
          <w:rFonts w:asciiTheme="minorHAnsi" w:hAnsiTheme="minorHAnsi" w:cs="Calibri"/>
          <w:b/>
          <w:sz w:val="20"/>
          <w:szCs w:val="20"/>
        </w:rPr>
        <w:t>rehľad ocenení a cien dosiahnutých mimo univerzity na národnej úrovni</w:t>
      </w:r>
    </w:p>
    <w:tbl>
      <w:tblPr>
        <w:tblW w:w="9513" w:type="dxa"/>
        <w:tblInd w:w="55" w:type="dxa"/>
        <w:tblLayout w:type="fixed"/>
        <w:tblCellMar>
          <w:left w:w="70" w:type="dxa"/>
          <w:right w:w="70" w:type="dxa"/>
        </w:tblCellMar>
        <w:tblLook w:val="04A0" w:firstRow="1" w:lastRow="0" w:firstColumn="1" w:lastColumn="0" w:noHBand="0" w:noVBand="1"/>
      </w:tblPr>
      <w:tblGrid>
        <w:gridCol w:w="4551"/>
        <w:gridCol w:w="36"/>
        <w:gridCol w:w="672"/>
        <w:gridCol w:w="22"/>
        <w:gridCol w:w="687"/>
        <w:gridCol w:w="8"/>
        <w:gridCol w:w="694"/>
        <w:gridCol w:w="7"/>
        <w:gridCol w:w="688"/>
        <w:gridCol w:w="21"/>
        <w:gridCol w:w="673"/>
        <w:gridCol w:w="36"/>
        <w:gridCol w:w="659"/>
        <w:gridCol w:w="50"/>
        <w:gridCol w:w="645"/>
        <w:gridCol w:w="64"/>
      </w:tblGrid>
      <w:tr w:rsidR="009340E3" w:rsidRPr="00894F75" w:rsidTr="00755BF6">
        <w:trPr>
          <w:gridAfter w:val="1"/>
          <w:wAfter w:w="64" w:type="dxa"/>
          <w:trHeight w:val="22"/>
        </w:trPr>
        <w:tc>
          <w:tcPr>
            <w:tcW w:w="4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Ocenenia dosiahnuté doma</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SvF</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SjF</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FEI</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FCHPT</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FA</w:t>
            </w:r>
          </w:p>
        </w:tc>
        <w:tc>
          <w:tcPr>
            <w:tcW w:w="6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MTF</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FIIT</w:t>
            </w: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SAV</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r>
      <w:tr w:rsidR="009340E3" w:rsidRPr="00894F75" w:rsidTr="00755BF6">
        <w:trPr>
          <w:gridAfter w:val="1"/>
          <w:wAfter w:w="64" w:type="dxa"/>
          <w:trHeight w:val="22"/>
        </w:trPr>
        <w:tc>
          <w:tcPr>
            <w:tcW w:w="4587" w:type="dxa"/>
            <w:gridSpan w:val="2"/>
            <w:tcBorders>
              <w:top w:val="nil"/>
              <w:left w:val="single" w:sz="4" w:space="0" w:color="auto"/>
              <w:bottom w:val="nil"/>
              <w:right w:val="nil"/>
            </w:tcBorders>
            <w:shd w:val="clear" w:color="auto" w:fill="auto"/>
            <w:noWrap/>
            <w:vAlign w:val="center"/>
            <w:hideMark/>
          </w:tcPr>
          <w:p w:rsidR="009340E3" w:rsidRPr="00894F75" w:rsidRDefault="009340E3" w:rsidP="00CE307D">
            <w:pPr>
              <w:rPr>
                <w:rFonts w:asciiTheme="minorHAnsi" w:eastAsia="Times New Roman" w:hAnsiTheme="minorHAnsi" w:cs="Arial"/>
                <w:sz w:val="20"/>
                <w:szCs w:val="20"/>
                <w:lang w:eastAsia="sk-SK"/>
              </w:rPr>
            </w:pPr>
            <w:proofErr w:type="spellStart"/>
            <w:r w:rsidRPr="00894F75">
              <w:rPr>
                <w:rFonts w:asciiTheme="minorHAnsi" w:eastAsia="Times New Roman" w:hAnsiTheme="minorHAnsi" w:cs="Arial"/>
                <w:sz w:val="20"/>
                <w:szCs w:val="20"/>
                <w:lang w:eastAsia="sk-SK"/>
              </w:rPr>
              <w:t>Isover</w:t>
            </w:r>
            <w:proofErr w:type="spellEnd"/>
            <w:r w:rsidRPr="00894F75">
              <w:rPr>
                <w:rFonts w:asciiTheme="minorHAnsi" w:eastAsia="Times New Roman" w:hAnsiTheme="minorHAnsi" w:cs="Arial"/>
                <w:sz w:val="20"/>
                <w:szCs w:val="20"/>
                <w:lang w:eastAsia="sk-SK"/>
              </w:rPr>
              <w:t xml:space="preserve"> - národné kolo</w:t>
            </w:r>
          </w:p>
        </w:tc>
        <w:tc>
          <w:tcPr>
            <w:tcW w:w="6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ministra dopravy, pôšt a telekomunikácií</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predsedu Úradu kartografie a katastra SR</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xml:space="preserve">Cena Spolku (stavov. </w:t>
            </w:r>
            <w:proofErr w:type="spellStart"/>
            <w:r w:rsidRPr="00894F75">
              <w:rPr>
                <w:rFonts w:asciiTheme="minorHAnsi" w:eastAsia="Times New Roman" w:hAnsiTheme="minorHAnsi" w:cs="Arial"/>
                <w:sz w:val="20"/>
                <w:szCs w:val="20"/>
                <w:lang w:eastAsia="sk-SK"/>
              </w:rPr>
              <w:t>org</w:t>
            </w:r>
            <w:proofErr w:type="spellEnd"/>
            <w:r w:rsidRPr="00894F75">
              <w:rPr>
                <w:rFonts w:asciiTheme="minorHAnsi" w:eastAsia="Times New Roman" w:hAnsiTheme="minorHAnsi" w:cs="Arial"/>
                <w:sz w:val="20"/>
                <w:szCs w:val="20"/>
                <w:lang w:eastAsia="sk-SK"/>
              </w:rPr>
              <w:t>.) – SKSI, SAS, SFVU</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komory geodetov a kartografov</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zamestnávateľov vo vodnom hospodárstve</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Slovenskej cestnej spoločnosti</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prof. Arpáda Tesára</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literárneho fondu</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12</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6</w:t>
            </w: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5</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Medzinárodný strojársky veľtrh Nitra</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5"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ABF Slovakia</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5</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Súťaž Naprojektuj svoj dom</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xml:space="preserve">Súťaž ISOVER 2015 </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Národná cena za dizajn</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Malé Centrum, kníhkupectvo a vydavateľstvo</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Asociácia čistiarenských expertov SR</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Slovenská spoločnosť chemického inžinierstva</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proofErr w:type="spellStart"/>
            <w:r w:rsidRPr="00894F75">
              <w:rPr>
                <w:rFonts w:asciiTheme="minorHAnsi" w:eastAsia="Times New Roman" w:hAnsiTheme="minorHAnsi" w:cs="Arial"/>
                <w:sz w:val="20"/>
                <w:szCs w:val="20"/>
                <w:lang w:eastAsia="sk-SK"/>
              </w:rPr>
              <w:t>Thermosolar</w:t>
            </w:r>
            <w:proofErr w:type="spellEnd"/>
            <w:r w:rsidRPr="00894F75">
              <w:rPr>
                <w:rFonts w:asciiTheme="minorHAnsi" w:eastAsia="Times New Roman" w:hAnsiTheme="minorHAnsi" w:cs="Arial"/>
                <w:sz w:val="20"/>
                <w:szCs w:val="20"/>
                <w:lang w:eastAsia="sk-SK"/>
              </w:rPr>
              <w:t>, s.r.o., Žiar nad Hronom</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Zväz chemického a farmaceutického priemyslu</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color w:val="000000"/>
                <w:sz w:val="20"/>
                <w:szCs w:val="20"/>
                <w:lang w:eastAsia="sk-SK"/>
              </w:rPr>
            </w:pPr>
            <w:proofErr w:type="spellStart"/>
            <w:r w:rsidRPr="00894F75">
              <w:rPr>
                <w:rFonts w:asciiTheme="minorHAnsi" w:eastAsia="Times New Roman" w:hAnsiTheme="minorHAnsi" w:cs="Arial"/>
                <w:color w:val="000000"/>
                <w:sz w:val="20"/>
                <w:szCs w:val="20"/>
                <w:lang w:eastAsia="sk-SK"/>
              </w:rPr>
              <w:t>Rajo</w:t>
            </w:r>
            <w:proofErr w:type="spellEnd"/>
            <w:r w:rsidRPr="00894F75">
              <w:rPr>
                <w:rFonts w:asciiTheme="minorHAnsi" w:eastAsia="Times New Roman" w:hAnsiTheme="minorHAnsi" w:cs="Arial"/>
                <w:color w:val="000000"/>
                <w:sz w:val="20"/>
                <w:szCs w:val="20"/>
                <w:lang w:eastAsia="sk-SK"/>
              </w:rPr>
              <w:t>, a.s., Bratislava</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Nadácia pre rozvoj FCHPT STU v Bratislave</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Slovenská chemická spoločnosť</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Výskumné centrum Žilina - súťaž inovatívnych nápadov</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color w:val="000000"/>
                <w:sz w:val="20"/>
                <w:szCs w:val="20"/>
                <w:lang w:eastAsia="sk-SK"/>
              </w:rPr>
            </w:pP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1</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xml:space="preserve">SOVA </w:t>
            </w:r>
            <w:proofErr w:type="spellStart"/>
            <w:r w:rsidRPr="00894F75">
              <w:rPr>
                <w:rFonts w:asciiTheme="minorHAnsi" w:eastAsia="Times New Roman" w:hAnsiTheme="minorHAnsi" w:cs="Arial"/>
                <w:sz w:val="20"/>
                <w:szCs w:val="20"/>
                <w:lang w:eastAsia="sk-SK"/>
              </w:rPr>
              <w:t>Digital</w:t>
            </w:r>
            <w:proofErr w:type="spellEnd"/>
            <w:r w:rsidRPr="00894F75">
              <w:rPr>
                <w:rFonts w:asciiTheme="minorHAnsi" w:eastAsia="Times New Roman" w:hAnsiTheme="minorHAnsi" w:cs="Arial"/>
                <w:sz w:val="20"/>
                <w:szCs w:val="20"/>
                <w:lang w:eastAsia="sk-SK"/>
              </w:rPr>
              <w:t xml:space="preserve"> a Siemens (</w:t>
            </w:r>
            <w:proofErr w:type="spellStart"/>
            <w:r w:rsidRPr="00894F75">
              <w:rPr>
                <w:rFonts w:asciiTheme="minorHAnsi" w:eastAsia="Times New Roman" w:hAnsiTheme="minorHAnsi" w:cs="Arial"/>
                <w:sz w:val="20"/>
                <w:szCs w:val="20"/>
                <w:lang w:eastAsia="sk-SK"/>
              </w:rPr>
              <w:t>celoslov</w:t>
            </w:r>
            <w:proofErr w:type="spellEnd"/>
            <w:r w:rsidRPr="00894F75">
              <w:rPr>
                <w:rFonts w:asciiTheme="minorHAnsi" w:eastAsia="Times New Roman" w:hAnsiTheme="minorHAnsi" w:cs="Arial"/>
                <w:sz w:val="20"/>
                <w:szCs w:val="20"/>
                <w:lang w:eastAsia="sk-SK"/>
              </w:rPr>
              <w:t>. súťaž o najlepšiu DP)</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nil"/>
              <w:right w:val="nil"/>
            </w:tcBorders>
            <w:shd w:val="clear" w:color="auto" w:fill="auto"/>
            <w:vAlign w:val="center"/>
            <w:hideMark/>
          </w:tcPr>
          <w:p w:rsidR="009340E3" w:rsidRPr="00894F75" w:rsidRDefault="009340E3" w:rsidP="00E62272">
            <w:pP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 xml:space="preserve">Zväz slovenských </w:t>
            </w:r>
            <w:proofErr w:type="spellStart"/>
            <w:r w:rsidRPr="00894F75">
              <w:rPr>
                <w:rFonts w:asciiTheme="minorHAnsi" w:eastAsia="Times New Roman" w:hAnsiTheme="minorHAnsi" w:cs="Arial"/>
                <w:color w:val="000000"/>
                <w:sz w:val="20"/>
                <w:szCs w:val="20"/>
                <w:lang w:eastAsia="sk-SK"/>
              </w:rPr>
              <w:t>vedeckotechnických</w:t>
            </w:r>
            <w:proofErr w:type="spellEnd"/>
            <w:r w:rsidRPr="00894F75">
              <w:rPr>
                <w:rFonts w:asciiTheme="minorHAnsi" w:eastAsia="Times New Roman" w:hAnsiTheme="minorHAnsi" w:cs="Arial"/>
                <w:color w:val="000000"/>
                <w:sz w:val="20"/>
                <w:szCs w:val="20"/>
                <w:lang w:eastAsia="sk-SK"/>
              </w:rPr>
              <w:t xml:space="preserve"> spoločností </w:t>
            </w:r>
          </w:p>
        </w:tc>
        <w:tc>
          <w:tcPr>
            <w:tcW w:w="6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color w:val="000000"/>
                <w:sz w:val="20"/>
                <w:szCs w:val="20"/>
                <w:lang w:eastAsia="sk-SK"/>
              </w:rPr>
            </w:pP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1</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r>
      <w:tr w:rsidR="009340E3" w:rsidRPr="00894F75" w:rsidTr="00755BF6">
        <w:trPr>
          <w:gridAfter w:val="1"/>
          <w:wAfter w:w="64" w:type="dxa"/>
          <w:trHeight w:val="22"/>
        </w:trPr>
        <w:tc>
          <w:tcPr>
            <w:tcW w:w="4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Slovnaft, a.s.</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Národné centrum pre výskum a aplikácie obnoviteľných zdrojov energií</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proofErr w:type="spellStart"/>
            <w:r w:rsidRPr="00894F75">
              <w:rPr>
                <w:rFonts w:asciiTheme="minorHAnsi" w:eastAsia="Times New Roman" w:hAnsiTheme="minorHAnsi" w:cs="Arial"/>
                <w:sz w:val="20"/>
                <w:szCs w:val="20"/>
                <w:lang w:eastAsia="sk-SK"/>
              </w:rPr>
              <w:t>Schneider</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Electric</w:t>
            </w:r>
            <w:proofErr w:type="spellEnd"/>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proofErr w:type="spellStart"/>
            <w:r w:rsidRPr="00894F75">
              <w:rPr>
                <w:rFonts w:asciiTheme="minorHAnsi" w:eastAsia="Times New Roman" w:hAnsiTheme="minorHAnsi" w:cs="Arial"/>
                <w:sz w:val="20"/>
                <w:szCs w:val="20"/>
                <w:lang w:eastAsia="sk-SK"/>
              </w:rPr>
              <w:t>Evonik</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Fermas</w:t>
            </w:r>
            <w:proofErr w:type="spellEnd"/>
            <w:r w:rsidRPr="00894F75">
              <w:rPr>
                <w:rFonts w:asciiTheme="minorHAnsi" w:eastAsia="Times New Roman" w:hAnsiTheme="minorHAnsi" w:cs="Arial"/>
                <w:sz w:val="20"/>
                <w:szCs w:val="20"/>
                <w:lang w:eastAsia="sk-SK"/>
              </w:rPr>
              <w:t>, s.r.o.</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proofErr w:type="spellStart"/>
            <w:r w:rsidRPr="00894F75">
              <w:rPr>
                <w:rFonts w:asciiTheme="minorHAnsi" w:eastAsia="Times New Roman" w:hAnsiTheme="minorHAnsi" w:cs="Arial"/>
                <w:sz w:val="20"/>
                <w:szCs w:val="20"/>
                <w:lang w:eastAsia="sk-SK"/>
              </w:rPr>
              <w:t>Bukóza</w:t>
            </w:r>
            <w:proofErr w:type="spellEnd"/>
            <w:r w:rsidRPr="00894F75">
              <w:rPr>
                <w:rFonts w:asciiTheme="minorHAnsi" w:eastAsia="Times New Roman" w:hAnsiTheme="minorHAnsi" w:cs="Arial"/>
                <w:sz w:val="20"/>
                <w:szCs w:val="20"/>
                <w:lang w:eastAsia="sk-SK"/>
              </w:rPr>
              <w:t xml:space="preserve"> Holding, a.s.</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lastRenderedPageBreak/>
              <w:t xml:space="preserve">Slovenská spoločnosť pre povrchové úpravy </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ZSVTS</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455462" w:rsidP="00CE307D">
            <w:pPr>
              <w:rPr>
                <w:rFonts w:asciiTheme="minorHAnsi" w:eastAsia="Times New Roman" w:hAnsiTheme="minorHAnsi" w:cs="Arial"/>
                <w:sz w:val="20"/>
                <w:szCs w:val="20"/>
                <w:lang w:eastAsia="sk-SK"/>
              </w:rPr>
            </w:pPr>
            <w:r>
              <w:rPr>
                <w:rFonts w:asciiTheme="minorHAnsi" w:eastAsia="Times New Roman" w:hAnsiTheme="minorHAnsi" w:cs="Arial"/>
                <w:sz w:val="20"/>
                <w:szCs w:val="20"/>
                <w:lang w:eastAsia="sk-SK"/>
              </w:rPr>
              <w:t>MŽP SR</w:t>
            </w:r>
            <w:r w:rsidR="009340E3" w:rsidRPr="00894F75">
              <w:rPr>
                <w:rFonts w:asciiTheme="minorHAnsi" w:eastAsia="Times New Roman" w:hAnsiTheme="minorHAnsi" w:cs="Arial"/>
                <w:sz w:val="20"/>
                <w:szCs w:val="20"/>
                <w:lang w:eastAsia="sk-SK"/>
              </w:rPr>
              <w:t xml:space="preserve">  - sekcia geológie a prírodných zdrojov</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1</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color w:val="000000"/>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československej sekcie IEEE</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7</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gridAfter w:val="1"/>
          <w:wAfter w:w="64" w:type="dxa"/>
          <w:trHeight w:val="22"/>
        </w:trPr>
        <w:tc>
          <w:tcPr>
            <w:tcW w:w="4587"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NAG 2015</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4"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695"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r>
      <w:tr w:rsidR="009340E3" w:rsidRPr="00894F75" w:rsidTr="00755BF6">
        <w:trPr>
          <w:trHeight w:val="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ACM ICPC 2015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3</w:t>
            </w:r>
          </w:p>
        </w:tc>
      </w:tr>
      <w:tr w:rsidR="009340E3" w:rsidRPr="00894F75" w:rsidTr="00755BF6">
        <w:trPr>
          <w:trHeight w:val="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Slovenská spol. pre kybernetiku a informatiku (SSKI)</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trHeight w:val="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xml:space="preserve">Cena spoločnosti </w:t>
            </w:r>
            <w:proofErr w:type="spellStart"/>
            <w:r w:rsidRPr="00894F75">
              <w:rPr>
                <w:rFonts w:asciiTheme="minorHAnsi" w:eastAsia="Times New Roman" w:hAnsiTheme="minorHAnsi" w:cs="Arial"/>
                <w:sz w:val="20"/>
                <w:szCs w:val="20"/>
                <w:lang w:eastAsia="sk-SK"/>
              </w:rPr>
              <w:t>Softec</w:t>
            </w:r>
            <w:proofErr w:type="spellEnd"/>
          </w:p>
        </w:tc>
        <w:tc>
          <w:tcPr>
            <w:tcW w:w="708"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trHeight w:val="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Aurela Stodolu</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Pamätný list sv. Gorazda</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xml:space="preserve">Ocenenie </w:t>
            </w:r>
            <w:proofErr w:type="spellStart"/>
            <w:r w:rsidRPr="00894F75">
              <w:rPr>
                <w:rFonts w:asciiTheme="minorHAnsi" w:eastAsia="Times New Roman" w:hAnsiTheme="minorHAnsi" w:cs="Arial"/>
                <w:sz w:val="20"/>
                <w:szCs w:val="20"/>
                <w:lang w:eastAsia="sk-SK"/>
              </w:rPr>
              <w:t>Bet</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Paper</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Award</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Certificate</w:t>
            </w:r>
            <w:proofErr w:type="spellEnd"/>
          </w:p>
        </w:tc>
        <w:tc>
          <w:tcPr>
            <w:tcW w:w="708"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ISTROBOT 2.miesto Stopár</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ISTROBOT 2.miesto Voľná jazda</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ISTROBOT 3.miesto Myš v bludisku</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xml:space="preserve">Cena primátora mesta </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Cena primátora mesta Zvolen - Štúrovo pero</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ŠVK Zvolen - 3.miesto</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ŠVK Metalurgia v Košiciach - najlepšia práca študenta 3. ročníka Bc. štúdia</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 miesto Slovenského pohára mužov 2015</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 miesto  vo VŠ lige volejbal muži  región Bratislava</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 miesto Majstrovstvá SR v silovom trojboji</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 miesto v hokejovom turnaji univerzít SR</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23709D">
            <w:pPr>
              <w:ind w:firstLineChars="100" w:firstLine="200"/>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 miesto Národné majstrovstvá SR 2015 v streľbe</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xml:space="preserve">1. miesto Slovenský pohár </w:t>
            </w:r>
            <w:proofErr w:type="spellStart"/>
            <w:r w:rsidRPr="00894F75">
              <w:rPr>
                <w:rFonts w:asciiTheme="minorHAnsi" w:eastAsia="Times New Roman" w:hAnsiTheme="minorHAnsi" w:cs="Arial"/>
                <w:sz w:val="20"/>
                <w:szCs w:val="20"/>
                <w:lang w:eastAsia="sk-SK"/>
              </w:rPr>
              <w:t>cross</w:t>
            </w:r>
            <w:proofErr w:type="spellEnd"/>
            <w:r w:rsidRPr="00894F75">
              <w:rPr>
                <w:rFonts w:asciiTheme="minorHAnsi" w:eastAsia="Times New Roman" w:hAnsiTheme="minorHAnsi" w:cs="Arial"/>
                <w:sz w:val="20"/>
                <w:szCs w:val="20"/>
                <w:lang w:eastAsia="sk-SK"/>
              </w:rPr>
              <w:t xml:space="preserve"> country U23</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 miesto Majstrovstvá SR volejbal mužov 2015</w:t>
            </w:r>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xml:space="preserve">3. miesto Majstrovstvá sveta v </w:t>
            </w:r>
            <w:proofErr w:type="spellStart"/>
            <w:r w:rsidRPr="00894F75">
              <w:rPr>
                <w:rFonts w:asciiTheme="minorHAnsi" w:eastAsia="Times New Roman" w:hAnsiTheme="minorHAnsi" w:cs="Arial"/>
                <w:sz w:val="20"/>
                <w:szCs w:val="20"/>
                <w:lang w:eastAsia="sk-SK"/>
              </w:rPr>
              <w:t>raftingu</w:t>
            </w:r>
            <w:proofErr w:type="spellEnd"/>
          </w:p>
        </w:tc>
        <w:tc>
          <w:tcPr>
            <w:tcW w:w="708"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r>
      <w:tr w:rsidR="009340E3" w:rsidRPr="00894F75" w:rsidTr="00755BF6">
        <w:trPr>
          <w:trHeight w:val="20"/>
        </w:trPr>
        <w:tc>
          <w:tcPr>
            <w:tcW w:w="4551" w:type="dxa"/>
            <w:tcBorders>
              <w:top w:val="nil"/>
              <w:left w:val="single" w:sz="4" w:space="0" w:color="auto"/>
              <w:bottom w:val="single" w:sz="4" w:space="0" w:color="auto"/>
              <w:right w:val="nil"/>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3.miesto vo VŠ liga basketbal muži</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6</w:t>
            </w:r>
          </w:p>
        </w:tc>
      </w:tr>
      <w:tr w:rsidR="009340E3" w:rsidRPr="00894F75" w:rsidTr="00755BF6">
        <w:trPr>
          <w:trHeight w:val="20"/>
        </w:trPr>
        <w:tc>
          <w:tcPr>
            <w:tcW w:w="455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340E3" w:rsidRPr="00894F75" w:rsidRDefault="009340E3" w:rsidP="00CE307D">
            <w:pP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Spolu</w:t>
            </w:r>
          </w:p>
        </w:tc>
        <w:tc>
          <w:tcPr>
            <w:tcW w:w="708"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29</w:t>
            </w:r>
          </w:p>
        </w:tc>
        <w:tc>
          <w:tcPr>
            <w:tcW w:w="70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8</w:t>
            </w:r>
          </w:p>
        </w:tc>
        <w:tc>
          <w:tcPr>
            <w:tcW w:w="709"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29</w:t>
            </w:r>
          </w:p>
        </w:tc>
        <w:tc>
          <w:tcPr>
            <w:tcW w:w="70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20</w:t>
            </w:r>
          </w:p>
        </w:tc>
        <w:tc>
          <w:tcPr>
            <w:tcW w:w="70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8</w:t>
            </w:r>
          </w:p>
        </w:tc>
        <w:tc>
          <w:tcPr>
            <w:tcW w:w="70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11</w:t>
            </w:r>
          </w:p>
        </w:tc>
        <w:tc>
          <w:tcPr>
            <w:tcW w:w="70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16</w:t>
            </w:r>
          </w:p>
        </w:tc>
      </w:tr>
    </w:tbl>
    <w:p w:rsidR="00D947F5" w:rsidRPr="00894F75" w:rsidRDefault="00D947F5" w:rsidP="009340E3">
      <w:pPr>
        <w:rPr>
          <w:rFonts w:asciiTheme="minorHAnsi" w:hAnsiTheme="minorHAnsi" w:cs="Calibri"/>
          <w:sz w:val="20"/>
          <w:szCs w:val="20"/>
        </w:rPr>
      </w:pPr>
    </w:p>
    <w:p w:rsidR="009340E3" w:rsidRPr="00894F75" w:rsidRDefault="009340E3" w:rsidP="009340E3">
      <w:pPr>
        <w:rPr>
          <w:rFonts w:asciiTheme="minorHAnsi" w:hAnsiTheme="minorHAnsi" w:cs="Calibri"/>
          <w:b/>
          <w:sz w:val="20"/>
          <w:szCs w:val="20"/>
        </w:rPr>
      </w:pPr>
      <w:r w:rsidRPr="00894F75">
        <w:rPr>
          <w:rFonts w:asciiTheme="minorHAnsi" w:hAnsiTheme="minorHAnsi" w:cs="Calibri"/>
          <w:b/>
          <w:sz w:val="20"/>
          <w:szCs w:val="20"/>
        </w:rPr>
        <w:t xml:space="preserve">Tabuľka č. </w:t>
      </w:r>
      <w:r w:rsidR="00CE307D" w:rsidRPr="00894F75">
        <w:rPr>
          <w:rFonts w:asciiTheme="minorHAnsi" w:hAnsiTheme="minorHAnsi" w:cs="Calibri"/>
          <w:b/>
          <w:sz w:val="20"/>
          <w:szCs w:val="20"/>
        </w:rPr>
        <w:t>3.</w:t>
      </w:r>
      <w:r w:rsidRPr="00894F75">
        <w:rPr>
          <w:rFonts w:asciiTheme="minorHAnsi" w:hAnsiTheme="minorHAnsi" w:cs="Calibri"/>
          <w:b/>
          <w:sz w:val="20"/>
          <w:szCs w:val="20"/>
        </w:rPr>
        <w:t xml:space="preserve">28: </w:t>
      </w:r>
      <w:r w:rsidR="00E62272">
        <w:rPr>
          <w:rFonts w:asciiTheme="minorHAnsi" w:hAnsiTheme="minorHAnsi" w:cs="Calibri"/>
          <w:b/>
          <w:sz w:val="20"/>
          <w:szCs w:val="20"/>
        </w:rPr>
        <w:t>P</w:t>
      </w:r>
      <w:r w:rsidRPr="00894F75">
        <w:rPr>
          <w:rFonts w:asciiTheme="minorHAnsi" w:hAnsiTheme="minorHAnsi" w:cs="Calibri"/>
          <w:b/>
          <w:sz w:val="20"/>
          <w:szCs w:val="20"/>
        </w:rPr>
        <w:t>rehľad ocenení a cien dosiahnutých mimo univerzity na medzinárodnej úrovni</w:t>
      </w:r>
    </w:p>
    <w:tbl>
      <w:tblPr>
        <w:tblW w:w="8251" w:type="dxa"/>
        <w:tblInd w:w="55" w:type="dxa"/>
        <w:tblLayout w:type="fixed"/>
        <w:tblCellMar>
          <w:left w:w="70" w:type="dxa"/>
          <w:right w:w="70" w:type="dxa"/>
        </w:tblCellMar>
        <w:tblLook w:val="04A0" w:firstRow="1" w:lastRow="0" w:firstColumn="1" w:lastColumn="0" w:noHBand="0" w:noVBand="1"/>
      </w:tblPr>
      <w:tblGrid>
        <w:gridCol w:w="4527"/>
        <w:gridCol w:w="605"/>
        <w:gridCol w:w="697"/>
        <w:gridCol w:w="605"/>
        <w:gridCol w:w="606"/>
        <w:gridCol w:w="605"/>
        <w:gridCol w:w="606"/>
      </w:tblGrid>
      <w:tr w:rsidR="009340E3" w:rsidRPr="00894F75" w:rsidTr="00CE307D">
        <w:trPr>
          <w:trHeight w:val="255"/>
        </w:trPr>
        <w:tc>
          <w:tcPr>
            <w:tcW w:w="4527" w:type="dxa"/>
            <w:tcBorders>
              <w:top w:val="single" w:sz="4" w:space="0" w:color="auto"/>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Ocenenia dosiahnuté v zahraničí</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SvF</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FCHPT</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FA</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MTF</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FIIT</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ÚM</w:t>
            </w:r>
          </w:p>
        </w:tc>
      </w:tr>
      <w:tr w:rsidR="009340E3" w:rsidRPr="00894F75" w:rsidTr="00CE307D">
        <w:trPr>
          <w:trHeight w:val="340"/>
        </w:trPr>
        <w:tc>
          <w:tcPr>
            <w:tcW w:w="4527"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xml:space="preserve">Strechy 2014 - Memoriál Antonína </w:t>
            </w:r>
            <w:proofErr w:type="spellStart"/>
            <w:r w:rsidRPr="00894F75">
              <w:rPr>
                <w:rFonts w:asciiTheme="minorHAnsi" w:eastAsia="Times New Roman" w:hAnsiTheme="minorHAnsi" w:cs="Arial"/>
                <w:sz w:val="20"/>
                <w:szCs w:val="20"/>
                <w:lang w:eastAsia="sk-SK"/>
              </w:rPr>
              <w:t>Fajkoša</w:t>
            </w:r>
            <w:proofErr w:type="spellEnd"/>
            <w:r w:rsidRPr="00894F75">
              <w:rPr>
                <w:rFonts w:asciiTheme="minorHAnsi" w:eastAsia="Times New Roman" w:hAnsiTheme="minorHAnsi" w:cs="Arial"/>
                <w:sz w:val="20"/>
                <w:szCs w:val="20"/>
                <w:lang w:eastAsia="sk-SK"/>
              </w:rPr>
              <w:t xml:space="preserve"> v Ostrave (2 Bc. a 1 Ing.)</w:t>
            </w:r>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3</w:t>
            </w:r>
          </w:p>
        </w:tc>
        <w:tc>
          <w:tcPr>
            <w:tcW w:w="697"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c>
          <w:tcPr>
            <w:tcW w:w="606"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r>
      <w:tr w:rsidR="009340E3" w:rsidRPr="00894F75" w:rsidTr="00CE307D">
        <w:trPr>
          <w:trHeight w:val="255"/>
        </w:trPr>
        <w:tc>
          <w:tcPr>
            <w:tcW w:w="4527" w:type="dxa"/>
            <w:tcBorders>
              <w:top w:val="single" w:sz="4" w:space="0" w:color="auto"/>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proofErr w:type="spellStart"/>
            <w:r w:rsidRPr="00894F75">
              <w:rPr>
                <w:rFonts w:asciiTheme="minorHAnsi" w:eastAsia="Times New Roman" w:hAnsiTheme="minorHAnsi" w:cs="Arial"/>
                <w:sz w:val="20"/>
                <w:szCs w:val="20"/>
                <w:lang w:eastAsia="sk-SK"/>
              </w:rPr>
              <w:t>The</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best</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student's</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project</w:t>
            </w:r>
            <w:proofErr w:type="spellEnd"/>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97"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c>
          <w:tcPr>
            <w:tcW w:w="606"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r>
      <w:tr w:rsidR="009340E3" w:rsidRPr="00894F75" w:rsidTr="00CE307D">
        <w:trPr>
          <w:trHeight w:val="255"/>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0E3" w:rsidRPr="00894F75" w:rsidRDefault="009340E3" w:rsidP="00CE307D">
            <w:pPr>
              <w:rPr>
                <w:rFonts w:asciiTheme="minorHAnsi" w:eastAsia="Times New Roman" w:hAnsiTheme="minorHAnsi" w:cs="Arial"/>
                <w:sz w:val="20"/>
                <w:szCs w:val="20"/>
                <w:lang w:eastAsia="sk-SK"/>
              </w:rPr>
            </w:pPr>
            <w:proofErr w:type="spellStart"/>
            <w:r w:rsidRPr="00894F75">
              <w:rPr>
                <w:rFonts w:asciiTheme="minorHAnsi" w:eastAsia="Times New Roman" w:hAnsiTheme="minorHAnsi" w:cs="Arial"/>
                <w:sz w:val="20"/>
                <w:szCs w:val="20"/>
                <w:lang w:eastAsia="sk-SK"/>
              </w:rPr>
              <w:t>Xella</w:t>
            </w:r>
            <w:proofErr w:type="spellEnd"/>
            <w:r w:rsidRPr="00894F75">
              <w:rPr>
                <w:rFonts w:asciiTheme="minorHAnsi" w:eastAsia="Times New Roman" w:hAnsiTheme="minorHAnsi" w:cs="Arial"/>
                <w:sz w:val="20"/>
                <w:szCs w:val="20"/>
                <w:lang w:eastAsia="sk-SK"/>
              </w:rPr>
              <w:t xml:space="preserve"> 2014/2015</w:t>
            </w:r>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97"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r>
      <w:tr w:rsidR="009340E3" w:rsidRPr="00894F75" w:rsidTr="00CE307D">
        <w:trPr>
          <w:trHeight w:val="25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proofErr w:type="spellStart"/>
            <w:r w:rsidRPr="00894F75">
              <w:rPr>
                <w:rFonts w:asciiTheme="minorHAnsi" w:eastAsia="Times New Roman" w:hAnsiTheme="minorHAnsi" w:cs="Arial"/>
                <w:sz w:val="20"/>
                <w:szCs w:val="20"/>
                <w:lang w:eastAsia="sk-SK"/>
              </w:rPr>
              <w:t>Imagine</w:t>
            </w:r>
            <w:proofErr w:type="spellEnd"/>
            <w:r w:rsidRPr="00894F75">
              <w:rPr>
                <w:rFonts w:asciiTheme="minorHAnsi" w:eastAsia="Times New Roman" w:hAnsiTheme="minorHAnsi" w:cs="Arial"/>
                <w:sz w:val="20"/>
                <w:szCs w:val="20"/>
                <w:lang w:eastAsia="sk-SK"/>
              </w:rPr>
              <w:t xml:space="preserve"> Cup 2015</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97"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4</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r>
      <w:tr w:rsidR="009340E3" w:rsidRPr="00894F75" w:rsidTr="00CE307D">
        <w:trPr>
          <w:trHeight w:val="255"/>
        </w:trPr>
        <w:tc>
          <w:tcPr>
            <w:tcW w:w="4527"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1.miesto Medzinárodná SVOČ</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97"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r>
      <w:tr w:rsidR="009340E3" w:rsidRPr="00894F75" w:rsidTr="00CE307D">
        <w:trPr>
          <w:trHeight w:val="255"/>
        </w:trPr>
        <w:tc>
          <w:tcPr>
            <w:tcW w:w="4527"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2.miesto Medzinárodná SVOČ</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97"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r>
      <w:tr w:rsidR="009340E3" w:rsidRPr="00894F75" w:rsidTr="00CE307D">
        <w:trPr>
          <w:trHeight w:val="255"/>
        </w:trPr>
        <w:tc>
          <w:tcPr>
            <w:tcW w:w="4527"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čestné uznanie  Medzinárodná SVOČ</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97"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r>
      <w:tr w:rsidR="009340E3" w:rsidRPr="00894F75" w:rsidTr="00CE307D">
        <w:trPr>
          <w:trHeight w:val="255"/>
        </w:trPr>
        <w:tc>
          <w:tcPr>
            <w:tcW w:w="4527"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proofErr w:type="spellStart"/>
            <w:r w:rsidRPr="00894F75">
              <w:rPr>
                <w:rFonts w:asciiTheme="minorHAnsi" w:eastAsia="Times New Roman" w:hAnsiTheme="minorHAnsi" w:cs="Arial"/>
                <w:sz w:val="20"/>
                <w:szCs w:val="20"/>
                <w:lang w:eastAsia="sk-SK"/>
              </w:rPr>
              <w:t>Surprise</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me</w:t>
            </w:r>
            <w:proofErr w:type="spellEnd"/>
            <w:r w:rsidRPr="00894F75">
              <w:rPr>
                <w:rFonts w:asciiTheme="minorHAnsi" w:eastAsia="Times New Roman" w:hAnsiTheme="minorHAnsi" w:cs="Arial"/>
                <w:sz w:val="20"/>
                <w:szCs w:val="20"/>
                <w:lang w:eastAsia="sk-SK"/>
              </w:rPr>
              <w:t>!</w:t>
            </w:r>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97"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r>
      <w:tr w:rsidR="009340E3" w:rsidRPr="00894F75" w:rsidTr="00CE307D">
        <w:trPr>
          <w:trHeight w:val="255"/>
        </w:trPr>
        <w:tc>
          <w:tcPr>
            <w:tcW w:w="4527"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proofErr w:type="spellStart"/>
            <w:r w:rsidRPr="00894F75">
              <w:rPr>
                <w:rFonts w:asciiTheme="minorHAnsi" w:eastAsia="Times New Roman" w:hAnsiTheme="minorHAnsi" w:cs="Arial"/>
                <w:sz w:val="20"/>
                <w:szCs w:val="20"/>
                <w:lang w:eastAsia="sk-SK"/>
              </w:rPr>
              <w:t>International</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Eyewear</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Design</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Contest</w:t>
            </w:r>
            <w:proofErr w:type="spellEnd"/>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97"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r>
      <w:tr w:rsidR="009340E3" w:rsidRPr="00894F75" w:rsidTr="00CE307D">
        <w:trPr>
          <w:trHeight w:val="255"/>
        </w:trPr>
        <w:tc>
          <w:tcPr>
            <w:tcW w:w="4527"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proofErr w:type="spellStart"/>
            <w:r w:rsidRPr="00894F75">
              <w:rPr>
                <w:rFonts w:asciiTheme="minorHAnsi" w:eastAsia="Times New Roman" w:hAnsiTheme="minorHAnsi" w:cs="Arial"/>
                <w:sz w:val="20"/>
                <w:szCs w:val="20"/>
                <w:lang w:eastAsia="sk-SK"/>
              </w:rPr>
              <w:t>iF</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Student</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Design</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Award</w:t>
            </w:r>
            <w:proofErr w:type="spellEnd"/>
            <w:r w:rsidRPr="00894F75">
              <w:rPr>
                <w:rFonts w:asciiTheme="minorHAnsi" w:eastAsia="Times New Roman" w:hAnsiTheme="minorHAnsi" w:cs="Arial"/>
                <w:sz w:val="20"/>
                <w:szCs w:val="20"/>
                <w:lang w:eastAsia="sk-SK"/>
              </w:rPr>
              <w:t xml:space="preserve"> 2015</w:t>
            </w:r>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97"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r>
      <w:tr w:rsidR="009340E3" w:rsidRPr="00894F75" w:rsidTr="00CE307D">
        <w:trPr>
          <w:trHeight w:val="255"/>
        </w:trPr>
        <w:tc>
          <w:tcPr>
            <w:tcW w:w="4527"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REA 19  (</w:t>
            </w:r>
            <w:proofErr w:type="spellStart"/>
            <w:r w:rsidRPr="00894F75">
              <w:rPr>
                <w:rFonts w:asciiTheme="minorHAnsi" w:eastAsia="Times New Roman" w:hAnsiTheme="minorHAnsi" w:cs="Arial"/>
                <w:color w:val="000000"/>
                <w:sz w:val="20"/>
                <w:szCs w:val="20"/>
                <w:lang w:eastAsia="sk-SK"/>
              </w:rPr>
              <w:t>Réseau</w:t>
            </w:r>
            <w:proofErr w:type="spellEnd"/>
            <w:r w:rsidRPr="00894F75">
              <w:rPr>
                <w:rFonts w:asciiTheme="minorHAnsi" w:eastAsia="Times New Roman" w:hAnsiTheme="minorHAnsi" w:cs="Arial"/>
                <w:color w:val="000000"/>
                <w:sz w:val="20"/>
                <w:szCs w:val="20"/>
                <w:lang w:eastAsia="sk-SK"/>
              </w:rPr>
              <w:t xml:space="preserve"> des </w:t>
            </w:r>
            <w:proofErr w:type="spellStart"/>
            <w:r w:rsidRPr="00894F75">
              <w:rPr>
                <w:rFonts w:asciiTheme="minorHAnsi" w:eastAsia="Times New Roman" w:hAnsiTheme="minorHAnsi" w:cs="Arial"/>
                <w:color w:val="000000"/>
                <w:sz w:val="20"/>
                <w:szCs w:val="20"/>
                <w:lang w:eastAsia="sk-SK"/>
              </w:rPr>
              <w:t>écoles</w:t>
            </w:r>
            <w:proofErr w:type="spellEnd"/>
            <w:r w:rsidRPr="00894F75">
              <w:rPr>
                <w:rFonts w:asciiTheme="minorHAnsi" w:eastAsia="Times New Roman" w:hAnsiTheme="minorHAnsi" w:cs="Arial"/>
                <w:color w:val="000000"/>
                <w:sz w:val="20"/>
                <w:szCs w:val="20"/>
                <w:lang w:eastAsia="sk-SK"/>
              </w:rPr>
              <w:t xml:space="preserve"> </w:t>
            </w:r>
            <w:proofErr w:type="spellStart"/>
            <w:r w:rsidRPr="00894F75">
              <w:rPr>
                <w:rFonts w:asciiTheme="minorHAnsi" w:eastAsia="Times New Roman" w:hAnsiTheme="minorHAnsi" w:cs="Arial"/>
                <w:color w:val="000000"/>
                <w:sz w:val="20"/>
                <w:szCs w:val="20"/>
                <w:lang w:eastAsia="sk-SK"/>
              </w:rPr>
              <w:t>d'architecture</w:t>
            </w:r>
            <w:proofErr w:type="spellEnd"/>
            <w:r w:rsidRPr="00894F75">
              <w:rPr>
                <w:rFonts w:asciiTheme="minorHAnsi" w:eastAsia="Times New Roman" w:hAnsiTheme="minorHAnsi" w:cs="Arial"/>
                <w:color w:val="000000"/>
                <w:sz w:val="20"/>
                <w:szCs w:val="20"/>
                <w:lang w:eastAsia="sk-SK"/>
              </w:rPr>
              <w:t>)</w:t>
            </w:r>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97"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r>
      <w:tr w:rsidR="009340E3" w:rsidRPr="00894F75" w:rsidTr="00CE307D">
        <w:trPr>
          <w:trHeight w:val="255"/>
        </w:trPr>
        <w:tc>
          <w:tcPr>
            <w:tcW w:w="4527"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xml:space="preserve">Cena prof. </w:t>
            </w:r>
            <w:proofErr w:type="spellStart"/>
            <w:r w:rsidRPr="00894F75">
              <w:rPr>
                <w:rFonts w:asciiTheme="minorHAnsi" w:eastAsia="Times New Roman" w:hAnsiTheme="minorHAnsi" w:cs="Arial"/>
                <w:sz w:val="20"/>
                <w:szCs w:val="20"/>
                <w:lang w:eastAsia="sk-SK"/>
              </w:rPr>
              <w:t>Halabalu</w:t>
            </w:r>
            <w:proofErr w:type="spellEnd"/>
            <w:r w:rsidRPr="00894F75">
              <w:rPr>
                <w:rFonts w:asciiTheme="minorHAnsi" w:eastAsia="Times New Roman" w:hAnsiTheme="minorHAnsi" w:cs="Arial"/>
                <w:sz w:val="20"/>
                <w:szCs w:val="20"/>
                <w:lang w:eastAsia="sk-SK"/>
              </w:rPr>
              <w:t xml:space="preserve"> 2015</w:t>
            </w:r>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97"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r>
      <w:tr w:rsidR="009340E3" w:rsidRPr="00894F75" w:rsidTr="00E62272">
        <w:trPr>
          <w:trHeight w:val="507"/>
        </w:trPr>
        <w:tc>
          <w:tcPr>
            <w:tcW w:w="4527"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E62272">
            <w:pPr>
              <w:rPr>
                <w:rFonts w:asciiTheme="minorHAnsi" w:eastAsia="Times New Roman" w:hAnsiTheme="minorHAnsi" w:cs="Arial"/>
                <w:color w:val="000000"/>
                <w:sz w:val="20"/>
                <w:szCs w:val="20"/>
                <w:lang w:eastAsia="sk-SK"/>
              </w:rPr>
            </w:pPr>
            <w:r w:rsidRPr="00894F75">
              <w:rPr>
                <w:rFonts w:asciiTheme="minorHAnsi" w:eastAsia="Times New Roman" w:hAnsiTheme="minorHAnsi" w:cs="Arial"/>
                <w:color w:val="000000"/>
                <w:sz w:val="20"/>
                <w:szCs w:val="20"/>
                <w:lang w:eastAsia="sk-SK"/>
              </w:rPr>
              <w:t>Certifikát za 1. - 3. miesto na študentskom projekte "</w:t>
            </w:r>
            <w:proofErr w:type="spellStart"/>
            <w:r w:rsidRPr="00894F75">
              <w:rPr>
                <w:rFonts w:asciiTheme="minorHAnsi" w:eastAsia="Times New Roman" w:hAnsiTheme="minorHAnsi" w:cs="Arial"/>
                <w:color w:val="000000"/>
                <w:sz w:val="20"/>
                <w:szCs w:val="20"/>
                <w:lang w:eastAsia="sk-SK"/>
              </w:rPr>
              <w:t>International</w:t>
            </w:r>
            <w:proofErr w:type="spellEnd"/>
            <w:r w:rsidRPr="00894F75">
              <w:rPr>
                <w:rFonts w:asciiTheme="minorHAnsi" w:eastAsia="Times New Roman" w:hAnsiTheme="minorHAnsi" w:cs="Arial"/>
                <w:color w:val="000000"/>
                <w:sz w:val="20"/>
                <w:szCs w:val="20"/>
                <w:lang w:eastAsia="sk-SK"/>
              </w:rPr>
              <w:t xml:space="preserve"> </w:t>
            </w:r>
            <w:proofErr w:type="spellStart"/>
            <w:r w:rsidRPr="00894F75">
              <w:rPr>
                <w:rFonts w:asciiTheme="minorHAnsi" w:eastAsia="Times New Roman" w:hAnsiTheme="minorHAnsi" w:cs="Arial"/>
                <w:color w:val="000000"/>
                <w:sz w:val="20"/>
                <w:szCs w:val="20"/>
                <w:lang w:eastAsia="sk-SK"/>
              </w:rPr>
              <w:t>Real</w:t>
            </w:r>
            <w:proofErr w:type="spellEnd"/>
            <w:r w:rsidRPr="00894F75">
              <w:rPr>
                <w:rFonts w:asciiTheme="minorHAnsi" w:eastAsia="Times New Roman" w:hAnsiTheme="minorHAnsi" w:cs="Arial"/>
                <w:color w:val="000000"/>
                <w:sz w:val="20"/>
                <w:szCs w:val="20"/>
                <w:lang w:eastAsia="sk-SK"/>
              </w:rPr>
              <w:t xml:space="preserve"> </w:t>
            </w:r>
            <w:proofErr w:type="spellStart"/>
            <w:r w:rsidRPr="00894F75">
              <w:rPr>
                <w:rFonts w:asciiTheme="minorHAnsi" w:eastAsia="Times New Roman" w:hAnsiTheme="minorHAnsi" w:cs="Arial"/>
                <w:color w:val="000000"/>
                <w:sz w:val="20"/>
                <w:szCs w:val="20"/>
                <w:lang w:eastAsia="sk-SK"/>
              </w:rPr>
              <w:t>Estate</w:t>
            </w:r>
            <w:proofErr w:type="spellEnd"/>
            <w:r w:rsidRPr="00894F75">
              <w:rPr>
                <w:rFonts w:asciiTheme="minorHAnsi" w:eastAsia="Times New Roman" w:hAnsiTheme="minorHAnsi" w:cs="Arial"/>
                <w:color w:val="000000"/>
                <w:sz w:val="20"/>
                <w:szCs w:val="20"/>
                <w:lang w:eastAsia="sk-SK"/>
              </w:rPr>
              <w:t xml:space="preserve"> </w:t>
            </w:r>
            <w:proofErr w:type="spellStart"/>
            <w:r w:rsidRPr="00894F75">
              <w:rPr>
                <w:rFonts w:asciiTheme="minorHAnsi" w:eastAsia="Times New Roman" w:hAnsiTheme="minorHAnsi" w:cs="Arial"/>
                <w:color w:val="000000"/>
                <w:sz w:val="20"/>
                <w:szCs w:val="20"/>
                <w:lang w:eastAsia="sk-SK"/>
              </w:rPr>
              <w:t>Challenge</w:t>
            </w:r>
            <w:proofErr w:type="spellEnd"/>
            <w:r w:rsidRPr="00894F75">
              <w:rPr>
                <w:rFonts w:asciiTheme="minorHAnsi" w:eastAsia="Times New Roman" w:hAnsiTheme="minorHAnsi" w:cs="Arial"/>
                <w:color w:val="000000"/>
                <w:sz w:val="20"/>
                <w:szCs w:val="20"/>
                <w:lang w:eastAsia="sk-SK"/>
              </w:rPr>
              <w:t>" v Berlíne</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c>
          <w:tcPr>
            <w:tcW w:w="697"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3</w:t>
            </w:r>
          </w:p>
        </w:tc>
      </w:tr>
      <w:tr w:rsidR="009340E3" w:rsidRPr="00894F75" w:rsidTr="00CE307D">
        <w:trPr>
          <w:trHeight w:val="255"/>
        </w:trPr>
        <w:tc>
          <w:tcPr>
            <w:tcW w:w="4527"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xml:space="preserve">1. miesto finále </w:t>
            </w:r>
            <w:proofErr w:type="spellStart"/>
            <w:r w:rsidRPr="00894F75">
              <w:rPr>
                <w:rFonts w:asciiTheme="minorHAnsi" w:eastAsia="Times New Roman" w:hAnsiTheme="minorHAnsi" w:cs="Arial"/>
                <w:sz w:val="20"/>
                <w:szCs w:val="20"/>
                <w:lang w:eastAsia="sk-SK"/>
              </w:rPr>
              <w:t>medz</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suťaže</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Tech</w:t>
            </w:r>
            <w:proofErr w:type="spellEnd"/>
            <w:r w:rsidRPr="00894F75">
              <w:rPr>
                <w:rFonts w:asciiTheme="minorHAnsi" w:eastAsia="Times New Roman" w:hAnsiTheme="minorHAnsi" w:cs="Arial"/>
                <w:sz w:val="20"/>
                <w:szCs w:val="20"/>
                <w:lang w:eastAsia="sk-SK"/>
              </w:rPr>
              <w:t xml:space="preserve"> </w:t>
            </w:r>
            <w:proofErr w:type="spellStart"/>
            <w:r w:rsidRPr="00894F75">
              <w:rPr>
                <w:rFonts w:asciiTheme="minorHAnsi" w:eastAsia="Times New Roman" w:hAnsiTheme="minorHAnsi" w:cs="Arial"/>
                <w:sz w:val="20"/>
                <w:szCs w:val="20"/>
                <w:lang w:eastAsia="sk-SK"/>
              </w:rPr>
              <w:t>Award</w:t>
            </w:r>
            <w:proofErr w:type="spellEnd"/>
            <w:r w:rsidRPr="00894F75">
              <w:rPr>
                <w:rFonts w:asciiTheme="minorHAnsi" w:eastAsia="Times New Roman" w:hAnsiTheme="minorHAnsi" w:cs="Arial"/>
                <w:sz w:val="20"/>
                <w:szCs w:val="20"/>
                <w:lang w:eastAsia="sk-SK"/>
              </w:rPr>
              <w:t xml:space="preserve"> 2015</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97"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r>
      <w:tr w:rsidR="009340E3" w:rsidRPr="00894F75" w:rsidTr="00CE307D">
        <w:trPr>
          <w:trHeight w:val="480"/>
        </w:trPr>
        <w:tc>
          <w:tcPr>
            <w:tcW w:w="4527"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xml:space="preserve">3. miesto Majstrovstvá Európy v silovom trojboji v </w:t>
            </w:r>
            <w:proofErr w:type="spellStart"/>
            <w:r w:rsidRPr="00894F75">
              <w:rPr>
                <w:rFonts w:asciiTheme="minorHAnsi" w:eastAsia="Times New Roman" w:hAnsiTheme="minorHAnsi" w:cs="Arial"/>
                <w:sz w:val="20"/>
                <w:szCs w:val="20"/>
                <w:lang w:eastAsia="sk-SK"/>
              </w:rPr>
              <w:t>Orozhaze</w:t>
            </w:r>
            <w:proofErr w:type="spellEnd"/>
            <w:r w:rsidRPr="00894F75">
              <w:rPr>
                <w:rFonts w:asciiTheme="minorHAnsi" w:eastAsia="Times New Roman" w:hAnsiTheme="minorHAnsi" w:cs="Arial"/>
                <w:sz w:val="20"/>
                <w:szCs w:val="20"/>
                <w:lang w:eastAsia="sk-SK"/>
              </w:rPr>
              <w:t xml:space="preserve"> (Maďarsko)</w:t>
            </w:r>
          </w:p>
        </w:tc>
        <w:tc>
          <w:tcPr>
            <w:tcW w:w="605"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97"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5"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c>
          <w:tcPr>
            <w:tcW w:w="606" w:type="dxa"/>
            <w:tcBorders>
              <w:top w:val="nil"/>
              <w:left w:val="nil"/>
              <w:bottom w:val="single" w:sz="4" w:space="0" w:color="auto"/>
              <w:right w:val="single" w:sz="4" w:space="0" w:color="auto"/>
            </w:tcBorders>
            <w:shd w:val="clear" w:color="auto" w:fill="auto"/>
            <w:noWrap/>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 </w:t>
            </w:r>
          </w:p>
        </w:tc>
      </w:tr>
      <w:tr w:rsidR="009340E3" w:rsidRPr="00894F75" w:rsidTr="00CE307D">
        <w:trPr>
          <w:trHeight w:val="255"/>
        </w:trPr>
        <w:tc>
          <w:tcPr>
            <w:tcW w:w="4527" w:type="dxa"/>
            <w:tcBorders>
              <w:top w:val="nil"/>
              <w:left w:val="single" w:sz="4" w:space="0" w:color="auto"/>
              <w:bottom w:val="single" w:sz="4" w:space="0" w:color="auto"/>
              <w:right w:val="single" w:sz="4" w:space="0" w:color="auto"/>
            </w:tcBorders>
            <w:shd w:val="clear" w:color="auto" w:fill="D9D9D9" w:themeFill="background1" w:themeFillShade="D9"/>
            <w:hideMark/>
          </w:tcPr>
          <w:p w:rsidR="009340E3" w:rsidRPr="00894F75" w:rsidRDefault="009340E3" w:rsidP="00CE307D">
            <w:pPr>
              <w:jc w:val="right"/>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Spolu</w:t>
            </w:r>
          </w:p>
        </w:tc>
        <w:tc>
          <w:tcPr>
            <w:tcW w:w="605" w:type="dxa"/>
            <w:tcBorders>
              <w:top w:val="nil"/>
              <w:left w:val="nil"/>
              <w:bottom w:val="single" w:sz="4" w:space="0" w:color="auto"/>
              <w:right w:val="single" w:sz="4" w:space="0" w:color="auto"/>
            </w:tcBorders>
            <w:shd w:val="clear" w:color="auto" w:fill="D9D9D9" w:themeFill="background1" w:themeFillShade="D9"/>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5</w:t>
            </w:r>
          </w:p>
        </w:tc>
        <w:tc>
          <w:tcPr>
            <w:tcW w:w="697" w:type="dxa"/>
            <w:tcBorders>
              <w:top w:val="nil"/>
              <w:left w:val="nil"/>
              <w:bottom w:val="single" w:sz="4" w:space="0" w:color="auto"/>
              <w:right w:val="single" w:sz="4" w:space="0" w:color="auto"/>
            </w:tcBorders>
            <w:shd w:val="clear" w:color="auto" w:fill="D9D9D9" w:themeFill="background1" w:themeFillShade="D9"/>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1</w:t>
            </w:r>
          </w:p>
        </w:tc>
        <w:tc>
          <w:tcPr>
            <w:tcW w:w="605" w:type="dxa"/>
            <w:tcBorders>
              <w:top w:val="nil"/>
              <w:left w:val="nil"/>
              <w:bottom w:val="single" w:sz="4" w:space="0" w:color="auto"/>
              <w:right w:val="single" w:sz="4" w:space="0" w:color="auto"/>
            </w:tcBorders>
            <w:shd w:val="clear" w:color="auto" w:fill="D9D9D9" w:themeFill="background1" w:themeFillShade="D9"/>
            <w:noWrap/>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7</w:t>
            </w:r>
          </w:p>
        </w:tc>
        <w:tc>
          <w:tcPr>
            <w:tcW w:w="606" w:type="dxa"/>
            <w:tcBorders>
              <w:top w:val="nil"/>
              <w:left w:val="nil"/>
              <w:bottom w:val="single" w:sz="4" w:space="0" w:color="auto"/>
              <w:right w:val="single" w:sz="4" w:space="0" w:color="auto"/>
            </w:tcBorders>
            <w:shd w:val="clear" w:color="auto" w:fill="D9D9D9" w:themeFill="background1" w:themeFillShade="D9"/>
            <w:noWrap/>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2</w:t>
            </w:r>
          </w:p>
        </w:tc>
        <w:tc>
          <w:tcPr>
            <w:tcW w:w="605" w:type="dxa"/>
            <w:tcBorders>
              <w:top w:val="nil"/>
              <w:left w:val="nil"/>
              <w:bottom w:val="single" w:sz="4" w:space="0" w:color="auto"/>
              <w:right w:val="single" w:sz="4" w:space="0" w:color="auto"/>
            </w:tcBorders>
            <w:shd w:val="clear" w:color="auto" w:fill="D9D9D9" w:themeFill="background1" w:themeFillShade="D9"/>
            <w:noWrap/>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9</w:t>
            </w:r>
          </w:p>
        </w:tc>
        <w:tc>
          <w:tcPr>
            <w:tcW w:w="606" w:type="dxa"/>
            <w:tcBorders>
              <w:top w:val="nil"/>
              <w:left w:val="nil"/>
              <w:bottom w:val="single" w:sz="4" w:space="0" w:color="auto"/>
              <w:right w:val="single" w:sz="4" w:space="0" w:color="auto"/>
            </w:tcBorders>
            <w:shd w:val="clear" w:color="auto" w:fill="D9D9D9" w:themeFill="background1" w:themeFillShade="D9"/>
            <w:noWrap/>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3</w:t>
            </w:r>
          </w:p>
        </w:tc>
      </w:tr>
    </w:tbl>
    <w:p w:rsidR="001A4BFF" w:rsidRPr="009978E3" w:rsidRDefault="009340E3" w:rsidP="001A4BFF">
      <w:pPr>
        <w:rPr>
          <w:rFonts w:asciiTheme="minorHAnsi" w:hAnsiTheme="minorHAnsi"/>
        </w:rPr>
      </w:pPr>
      <w:r w:rsidRPr="002D7A10">
        <w:rPr>
          <w:rFonts w:asciiTheme="minorHAnsi" w:hAnsiTheme="minorHAnsi"/>
        </w:rPr>
        <w:lastRenderedPageBreak/>
        <w:t>Špecifickou možnosťou reprezentácie univerzity sú národné, alebo medzinárodné študentské konf</w:t>
      </w:r>
      <w:r w:rsidR="009978E3">
        <w:rPr>
          <w:rFonts w:asciiTheme="minorHAnsi" w:hAnsiTheme="minorHAnsi"/>
        </w:rPr>
        <w:t>erencie, ktoré sú zamerané</w:t>
      </w:r>
      <w:r w:rsidRPr="002D7A10">
        <w:rPr>
          <w:rFonts w:asciiTheme="minorHAnsi" w:hAnsiTheme="minorHAnsi"/>
        </w:rPr>
        <w:t xml:space="preserve"> na prezentáciu študentskej vedeckej, odbornej a umeleckej činnosti. Úspechy študentov STU v tejto oblasti sú u</w:t>
      </w:r>
      <w:r w:rsidR="009978E3">
        <w:rPr>
          <w:rFonts w:asciiTheme="minorHAnsi" w:hAnsiTheme="minorHAnsi"/>
        </w:rPr>
        <w:t>vedené v nasledujúcom prehľade.</w:t>
      </w:r>
    </w:p>
    <w:p w:rsidR="009340E3" w:rsidRPr="002D7A10" w:rsidRDefault="009340E3" w:rsidP="001A4BFF">
      <w:pPr>
        <w:rPr>
          <w:rFonts w:asciiTheme="minorHAnsi" w:hAnsiTheme="minorHAnsi" w:cs="Calibri"/>
        </w:rPr>
      </w:pPr>
      <w:r w:rsidRPr="002D7A10">
        <w:rPr>
          <w:rFonts w:asciiTheme="minorHAnsi" w:hAnsiTheme="minorHAnsi" w:cs="Calibri"/>
          <w:b/>
        </w:rPr>
        <w:t>XVI. ročník súťaže SVOČ stavebných fakúlt Českej republiky a Slovenskej republiky</w:t>
      </w:r>
      <w:r w:rsidRPr="002D7A10">
        <w:rPr>
          <w:rFonts w:asciiTheme="minorHAnsi" w:hAnsiTheme="minorHAnsi" w:cs="Calibri"/>
        </w:rPr>
        <w:t>,</w:t>
      </w:r>
      <w:r w:rsidRPr="002D7A10">
        <w:rPr>
          <w:rFonts w:asciiTheme="minorHAnsi" w:hAnsiTheme="minorHAnsi" w:cs="Calibri"/>
          <w:bCs/>
        </w:rPr>
        <w:t xml:space="preserve"> ktorá sa uskutočnila 14. mája 2015 na SvF STU za účasti 101 </w:t>
      </w:r>
      <w:r w:rsidRPr="002D7A10">
        <w:rPr>
          <w:rFonts w:asciiTheme="minorHAnsi" w:hAnsiTheme="minorHAnsi" w:cs="Calibri"/>
        </w:rPr>
        <w:t>študentov stavebných fakúlt ČVUT Praha, VUT Brno, VŠB TU Ostrava, ŽU Žilina, TU Košice a STU Bratislava.</w:t>
      </w:r>
    </w:p>
    <w:p w:rsidR="001A4BFF" w:rsidRPr="002D7A10" w:rsidRDefault="001A4BFF" w:rsidP="001A4BFF">
      <w:pPr>
        <w:rPr>
          <w:rFonts w:asciiTheme="minorHAnsi" w:hAnsiTheme="minorHAnsi" w:cs="Calibri"/>
        </w:rPr>
      </w:pPr>
    </w:p>
    <w:p w:rsidR="009340E3" w:rsidRPr="00894F75" w:rsidRDefault="009340E3" w:rsidP="009340E3">
      <w:pPr>
        <w:tabs>
          <w:tab w:val="right" w:pos="-284"/>
        </w:tabs>
        <w:rPr>
          <w:rFonts w:asciiTheme="minorHAnsi" w:hAnsiTheme="minorHAnsi" w:cs="Calibri"/>
          <w:b/>
          <w:sz w:val="20"/>
          <w:szCs w:val="20"/>
        </w:rPr>
      </w:pPr>
      <w:r w:rsidRPr="00894F75">
        <w:rPr>
          <w:rFonts w:asciiTheme="minorHAnsi" w:hAnsiTheme="minorHAnsi" w:cs="Calibri"/>
          <w:b/>
          <w:sz w:val="20"/>
          <w:szCs w:val="20"/>
        </w:rPr>
        <w:t xml:space="preserve">Tabuľka č. </w:t>
      </w:r>
      <w:r w:rsidR="00CE307D" w:rsidRPr="00894F75">
        <w:rPr>
          <w:rFonts w:asciiTheme="minorHAnsi" w:hAnsiTheme="minorHAnsi" w:cs="Calibri"/>
          <w:b/>
          <w:sz w:val="20"/>
          <w:szCs w:val="20"/>
        </w:rPr>
        <w:t>3.</w:t>
      </w:r>
      <w:r w:rsidRPr="00894F75">
        <w:rPr>
          <w:rFonts w:asciiTheme="minorHAnsi" w:hAnsiTheme="minorHAnsi" w:cs="Calibri"/>
          <w:b/>
          <w:sz w:val="20"/>
          <w:szCs w:val="20"/>
        </w:rPr>
        <w:t>29: Výsledky XVI. ročníka súťaže ŠVOČ stavebných fakúlt Českej a Slovenskej republiky</w:t>
      </w:r>
    </w:p>
    <w:tbl>
      <w:tblPr>
        <w:tblW w:w="7155" w:type="dxa"/>
        <w:tblInd w:w="55" w:type="dxa"/>
        <w:tblCellMar>
          <w:left w:w="70" w:type="dxa"/>
          <w:right w:w="70" w:type="dxa"/>
        </w:tblCellMar>
        <w:tblLook w:val="04A0" w:firstRow="1" w:lastRow="0" w:firstColumn="1" w:lastColumn="0" w:noHBand="0" w:noVBand="1"/>
      </w:tblPr>
      <w:tblGrid>
        <w:gridCol w:w="1568"/>
        <w:gridCol w:w="925"/>
        <w:gridCol w:w="923"/>
        <w:gridCol w:w="928"/>
        <w:gridCol w:w="924"/>
        <w:gridCol w:w="925"/>
        <w:gridCol w:w="962"/>
      </w:tblGrid>
      <w:tr w:rsidR="009340E3" w:rsidRPr="00894F75" w:rsidTr="00CE307D">
        <w:trPr>
          <w:trHeight w:val="45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Umiestnenie</w:t>
            </w:r>
          </w:p>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(počet prác)</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ČVUT Praha</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VUT Brno</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VŠB TU Ostrava</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ŽU Žilina</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TU Košice</w:t>
            </w:r>
          </w:p>
        </w:tc>
        <w:tc>
          <w:tcPr>
            <w:tcW w:w="930" w:type="dxa"/>
            <w:tcBorders>
              <w:top w:val="single" w:sz="4" w:space="0" w:color="auto"/>
              <w:left w:val="nil"/>
              <w:bottom w:val="single" w:sz="4" w:space="0" w:color="auto"/>
              <w:right w:val="single" w:sz="4" w:space="0" w:color="auto"/>
            </w:tcBorders>
            <w:shd w:val="clear" w:color="000000" w:fill="D9D9D9"/>
            <w:vAlign w:val="center"/>
            <w:hideMark/>
          </w:tcPr>
          <w:p w:rsidR="009340E3" w:rsidRPr="00894F75" w:rsidRDefault="009340E3" w:rsidP="00CE307D">
            <w:pPr>
              <w:jc w:val="center"/>
              <w:rPr>
                <w:rFonts w:asciiTheme="minorHAnsi" w:eastAsia="Times New Roman" w:hAnsiTheme="minorHAnsi" w:cs="Arial"/>
                <w:b/>
                <w:bCs/>
                <w:sz w:val="20"/>
                <w:szCs w:val="20"/>
                <w:lang w:eastAsia="sk-SK"/>
              </w:rPr>
            </w:pPr>
            <w:r w:rsidRPr="00894F75">
              <w:rPr>
                <w:rFonts w:asciiTheme="minorHAnsi" w:eastAsia="Times New Roman" w:hAnsiTheme="minorHAnsi" w:cs="Arial"/>
                <w:b/>
                <w:bCs/>
                <w:sz w:val="20"/>
                <w:szCs w:val="20"/>
                <w:lang w:eastAsia="sk-SK"/>
              </w:rPr>
              <w:t>STU Bratislava</w:t>
            </w:r>
          </w:p>
        </w:tc>
      </w:tr>
      <w:tr w:rsidR="009340E3" w:rsidRPr="00894F75" w:rsidTr="00CE307D">
        <w:trPr>
          <w:trHeight w:val="255"/>
        </w:trPr>
        <w:tc>
          <w:tcPr>
            <w:tcW w:w="1575"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 miesto</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3</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0</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4</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0</w:t>
            </w:r>
          </w:p>
        </w:tc>
        <w:tc>
          <w:tcPr>
            <w:tcW w:w="930" w:type="dxa"/>
            <w:tcBorders>
              <w:top w:val="nil"/>
              <w:left w:val="nil"/>
              <w:bottom w:val="single" w:sz="4" w:space="0" w:color="auto"/>
              <w:right w:val="single" w:sz="4" w:space="0" w:color="auto"/>
            </w:tcBorders>
            <w:shd w:val="clear" w:color="000000" w:fill="D9D9D9"/>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r>
      <w:tr w:rsidR="009340E3" w:rsidRPr="00894F75" w:rsidTr="00CE307D">
        <w:trPr>
          <w:trHeight w:val="255"/>
        </w:trPr>
        <w:tc>
          <w:tcPr>
            <w:tcW w:w="1575"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 miesto</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4</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c>
          <w:tcPr>
            <w:tcW w:w="930" w:type="dxa"/>
            <w:tcBorders>
              <w:top w:val="nil"/>
              <w:left w:val="nil"/>
              <w:bottom w:val="single" w:sz="4" w:space="0" w:color="auto"/>
              <w:right w:val="single" w:sz="4" w:space="0" w:color="auto"/>
            </w:tcBorders>
            <w:shd w:val="clear" w:color="000000" w:fill="D9D9D9"/>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2</w:t>
            </w:r>
          </w:p>
        </w:tc>
      </w:tr>
      <w:tr w:rsidR="009340E3" w:rsidRPr="00894F75" w:rsidTr="00CE307D">
        <w:trPr>
          <w:trHeight w:val="255"/>
        </w:trPr>
        <w:tc>
          <w:tcPr>
            <w:tcW w:w="1575" w:type="dxa"/>
            <w:tcBorders>
              <w:top w:val="nil"/>
              <w:left w:val="single" w:sz="4" w:space="0" w:color="auto"/>
              <w:bottom w:val="single" w:sz="4" w:space="0" w:color="auto"/>
              <w:right w:val="single" w:sz="4" w:space="0" w:color="auto"/>
            </w:tcBorders>
            <w:shd w:val="clear" w:color="auto" w:fill="auto"/>
            <w:hideMark/>
          </w:tcPr>
          <w:p w:rsidR="009340E3" w:rsidRPr="00894F75" w:rsidRDefault="009340E3" w:rsidP="00CE307D">
            <w:pP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3. miesto</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3</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3</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0</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3</w:t>
            </w:r>
          </w:p>
        </w:tc>
        <w:tc>
          <w:tcPr>
            <w:tcW w:w="930" w:type="dxa"/>
            <w:tcBorders>
              <w:top w:val="nil"/>
              <w:left w:val="nil"/>
              <w:bottom w:val="single" w:sz="4" w:space="0" w:color="auto"/>
              <w:right w:val="single" w:sz="4" w:space="0" w:color="auto"/>
            </w:tcBorders>
            <w:shd w:val="clear" w:color="auto" w:fill="auto"/>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0</w:t>
            </w:r>
          </w:p>
        </w:tc>
        <w:tc>
          <w:tcPr>
            <w:tcW w:w="930" w:type="dxa"/>
            <w:tcBorders>
              <w:top w:val="nil"/>
              <w:left w:val="nil"/>
              <w:bottom w:val="single" w:sz="4" w:space="0" w:color="auto"/>
              <w:right w:val="single" w:sz="4" w:space="0" w:color="auto"/>
            </w:tcBorders>
            <w:shd w:val="clear" w:color="000000" w:fill="D9D9D9"/>
            <w:vAlign w:val="center"/>
            <w:hideMark/>
          </w:tcPr>
          <w:p w:rsidR="009340E3" w:rsidRPr="00894F75" w:rsidRDefault="009340E3" w:rsidP="00CE307D">
            <w:pPr>
              <w:jc w:val="center"/>
              <w:rPr>
                <w:rFonts w:asciiTheme="minorHAnsi" w:eastAsia="Times New Roman" w:hAnsiTheme="minorHAnsi" w:cs="Arial"/>
                <w:sz w:val="20"/>
                <w:szCs w:val="20"/>
                <w:lang w:eastAsia="sk-SK"/>
              </w:rPr>
            </w:pPr>
            <w:r w:rsidRPr="00894F75">
              <w:rPr>
                <w:rFonts w:asciiTheme="minorHAnsi" w:eastAsia="Times New Roman" w:hAnsiTheme="minorHAnsi" w:cs="Arial"/>
                <w:sz w:val="20"/>
                <w:szCs w:val="20"/>
                <w:lang w:eastAsia="sk-SK"/>
              </w:rPr>
              <w:t>1</w:t>
            </w:r>
          </w:p>
        </w:tc>
      </w:tr>
    </w:tbl>
    <w:p w:rsidR="009340E3" w:rsidRPr="00894F75" w:rsidRDefault="009340E3" w:rsidP="009340E3">
      <w:pPr>
        <w:rPr>
          <w:rFonts w:asciiTheme="minorHAnsi" w:hAnsiTheme="minorHAnsi" w:cs="Calibri"/>
          <w:sz w:val="20"/>
          <w:szCs w:val="20"/>
          <w:shd w:val="clear" w:color="auto" w:fill="FFFFFF"/>
        </w:rPr>
      </w:pPr>
    </w:p>
    <w:p w:rsidR="00B51749" w:rsidRPr="002D7A10" w:rsidRDefault="00B51749" w:rsidP="00B51749">
      <w:pPr>
        <w:pStyle w:val="Odsekzoznamu"/>
        <w:spacing w:line="240" w:lineRule="auto"/>
        <w:ind w:left="0"/>
        <w:rPr>
          <w:rFonts w:asciiTheme="minorHAnsi" w:hAnsiTheme="minorHAnsi"/>
          <w:color w:val="FF0000"/>
          <w:sz w:val="24"/>
          <w:szCs w:val="24"/>
        </w:rPr>
      </w:pPr>
    </w:p>
    <w:p w:rsidR="00B51749" w:rsidRPr="002D7A10" w:rsidRDefault="00B51749" w:rsidP="00B51749">
      <w:pPr>
        <w:pStyle w:val="Nadpis2"/>
        <w:rPr>
          <w:rFonts w:asciiTheme="minorHAnsi" w:hAnsiTheme="minorHAnsi"/>
          <w:color w:val="auto"/>
          <w:sz w:val="24"/>
          <w:szCs w:val="24"/>
        </w:rPr>
      </w:pPr>
      <w:bookmarkStart w:id="22" w:name="_Toc448261564"/>
      <w:r w:rsidRPr="002D7A10">
        <w:rPr>
          <w:rFonts w:asciiTheme="minorHAnsi" w:hAnsiTheme="minorHAnsi"/>
          <w:color w:val="auto"/>
          <w:sz w:val="24"/>
          <w:szCs w:val="24"/>
        </w:rPr>
        <w:t>Prehľad ocenení študentov v rámci STU</w:t>
      </w:r>
      <w:bookmarkEnd w:id="22"/>
    </w:p>
    <w:p w:rsidR="0007663F" w:rsidRPr="002D7A10" w:rsidRDefault="0007663F" w:rsidP="0007663F">
      <w:pPr>
        <w:rPr>
          <w:rFonts w:asciiTheme="minorHAnsi" w:hAnsiTheme="minorHAnsi" w:cs="Calibri"/>
          <w:shd w:val="clear" w:color="auto" w:fill="FFFFFF"/>
        </w:rPr>
      </w:pPr>
      <w:r w:rsidRPr="002D7A10">
        <w:rPr>
          <w:rFonts w:asciiTheme="minorHAnsi" w:hAnsiTheme="minorHAnsi" w:cs="Calibri"/>
          <w:shd w:val="clear" w:color="auto" w:fill="FFFFFF"/>
        </w:rPr>
        <w:t xml:space="preserve">Ocenenia študentov v rámci univerzity sú spravidla spojené s priznaním štipendia v súlade so Štipendijným poriadkom STU. </w:t>
      </w:r>
      <w:r w:rsidRPr="002D7A10">
        <w:rPr>
          <w:rFonts w:asciiTheme="minorHAnsi" w:hAnsiTheme="minorHAnsi" w:cs="Calibri"/>
          <w:b/>
          <w:shd w:val="clear" w:color="auto" w:fill="FFFFFF"/>
        </w:rPr>
        <w:t xml:space="preserve">Počet študentov, ktorí získali niektoré z ocenení rektora, resp. dekana v akad. roku 2014/2015 predstavoval 432. </w:t>
      </w:r>
      <w:r w:rsidRPr="002D7A10">
        <w:rPr>
          <w:rFonts w:asciiTheme="minorHAnsi" w:hAnsiTheme="minorHAnsi" w:cs="Calibri"/>
          <w:shd w:val="clear" w:color="auto" w:fill="FFFFFF"/>
        </w:rPr>
        <w:t>Prehľad udelených ocenení je uvedený v </w:t>
      </w:r>
      <w:r w:rsidR="00CE307D" w:rsidRPr="002D7A10">
        <w:rPr>
          <w:rFonts w:asciiTheme="minorHAnsi" w:hAnsiTheme="minorHAnsi" w:cs="Calibri"/>
          <w:shd w:val="clear" w:color="auto" w:fill="FFFFFF"/>
        </w:rPr>
        <w:t>t</w:t>
      </w:r>
      <w:r w:rsidRPr="002D7A10">
        <w:rPr>
          <w:rFonts w:asciiTheme="minorHAnsi" w:hAnsiTheme="minorHAnsi" w:cs="Calibri"/>
          <w:shd w:val="clear" w:color="auto" w:fill="FFFFFF"/>
        </w:rPr>
        <w:t xml:space="preserve">abuľke č. </w:t>
      </w:r>
      <w:r w:rsidR="00CE307D" w:rsidRPr="002D7A10">
        <w:rPr>
          <w:rFonts w:asciiTheme="minorHAnsi" w:hAnsiTheme="minorHAnsi" w:cs="Calibri"/>
          <w:shd w:val="clear" w:color="auto" w:fill="FFFFFF"/>
        </w:rPr>
        <w:t>3.</w:t>
      </w:r>
      <w:r w:rsidRPr="002D7A10">
        <w:rPr>
          <w:rFonts w:asciiTheme="minorHAnsi" w:hAnsiTheme="minorHAnsi" w:cs="Calibri"/>
          <w:shd w:val="clear" w:color="auto" w:fill="FFFFFF"/>
        </w:rPr>
        <w:t>30.</w:t>
      </w:r>
    </w:p>
    <w:p w:rsidR="0007663F" w:rsidRPr="002D7A10" w:rsidRDefault="0007663F" w:rsidP="0007663F">
      <w:pPr>
        <w:tabs>
          <w:tab w:val="left" w:pos="1712"/>
        </w:tabs>
        <w:rPr>
          <w:rFonts w:asciiTheme="minorHAnsi" w:hAnsiTheme="minorHAnsi" w:cs="Calibri"/>
          <w:b/>
          <w:shd w:val="clear" w:color="auto" w:fill="FFFFFF"/>
        </w:rPr>
      </w:pPr>
      <w:r w:rsidRPr="002D7A10">
        <w:rPr>
          <w:rFonts w:asciiTheme="minorHAnsi" w:hAnsiTheme="minorHAnsi" w:cs="Calibri"/>
          <w:shd w:val="clear" w:color="auto" w:fill="FFFFFF"/>
        </w:rPr>
        <w:tab/>
      </w:r>
    </w:p>
    <w:p w:rsidR="0007663F" w:rsidRPr="000C640D" w:rsidRDefault="0007663F" w:rsidP="0007663F">
      <w:pPr>
        <w:rPr>
          <w:rFonts w:asciiTheme="minorHAnsi" w:hAnsiTheme="minorHAnsi" w:cs="Calibri"/>
          <w:b/>
          <w:sz w:val="20"/>
          <w:szCs w:val="20"/>
          <w:shd w:val="clear" w:color="auto" w:fill="FFFFFF"/>
        </w:rPr>
      </w:pPr>
      <w:r w:rsidRPr="000C640D">
        <w:rPr>
          <w:rFonts w:asciiTheme="minorHAnsi" w:hAnsiTheme="minorHAnsi" w:cs="Calibri"/>
          <w:b/>
          <w:sz w:val="20"/>
          <w:szCs w:val="20"/>
          <w:shd w:val="clear" w:color="auto" w:fill="FFFFFF"/>
        </w:rPr>
        <w:t xml:space="preserve">Tabuľka č. </w:t>
      </w:r>
      <w:r w:rsidR="00CE307D" w:rsidRPr="000C640D">
        <w:rPr>
          <w:rFonts w:asciiTheme="minorHAnsi" w:hAnsiTheme="minorHAnsi" w:cs="Calibri"/>
          <w:b/>
          <w:sz w:val="20"/>
          <w:szCs w:val="20"/>
          <w:shd w:val="clear" w:color="auto" w:fill="FFFFFF"/>
        </w:rPr>
        <w:t>3.</w:t>
      </w:r>
      <w:r w:rsidRPr="000C640D">
        <w:rPr>
          <w:rFonts w:asciiTheme="minorHAnsi" w:hAnsiTheme="minorHAnsi" w:cs="Calibri"/>
          <w:b/>
          <w:sz w:val="20"/>
          <w:szCs w:val="20"/>
          <w:shd w:val="clear" w:color="auto" w:fill="FFFFFF"/>
        </w:rPr>
        <w:t xml:space="preserve">30: Ocenenia študentov v rámci vysokej školy    </w:t>
      </w:r>
    </w:p>
    <w:tbl>
      <w:tblPr>
        <w:tblW w:w="9513" w:type="dxa"/>
        <w:tblInd w:w="55" w:type="dxa"/>
        <w:tblLayout w:type="fixed"/>
        <w:tblCellMar>
          <w:left w:w="70" w:type="dxa"/>
          <w:right w:w="70" w:type="dxa"/>
        </w:tblCellMar>
        <w:tblLook w:val="04A0" w:firstRow="1" w:lastRow="0" w:firstColumn="1" w:lastColumn="0" w:noHBand="0" w:noVBand="1"/>
      </w:tblPr>
      <w:tblGrid>
        <w:gridCol w:w="1575"/>
        <w:gridCol w:w="3118"/>
        <w:gridCol w:w="602"/>
        <w:gridCol w:w="603"/>
        <w:gridCol w:w="602"/>
        <w:gridCol w:w="745"/>
        <w:gridCol w:w="460"/>
        <w:gridCol w:w="603"/>
        <w:gridCol w:w="602"/>
        <w:gridCol w:w="603"/>
      </w:tblGrid>
      <w:tr w:rsidR="0007663F" w:rsidRPr="000C640D" w:rsidTr="00CE307D">
        <w:trPr>
          <w:trHeight w:val="20"/>
        </w:trPr>
        <w:tc>
          <w:tcPr>
            <w:tcW w:w="1575" w:type="dxa"/>
            <w:tcBorders>
              <w:top w:val="single" w:sz="4" w:space="0" w:color="auto"/>
              <w:left w:val="single" w:sz="4" w:space="0" w:color="auto"/>
              <w:bottom w:val="single" w:sz="4" w:space="0" w:color="auto"/>
              <w:right w:val="nil"/>
            </w:tcBorders>
            <w:shd w:val="clear" w:color="auto" w:fill="auto"/>
            <w:noWrap/>
            <w:vAlign w:val="center"/>
            <w:hideMark/>
          </w:tcPr>
          <w:p w:rsidR="0007663F" w:rsidRPr="000C640D" w:rsidRDefault="0007663F" w:rsidP="00CE307D">
            <w:pP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Ocenenia</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07663F" w:rsidRPr="000C640D" w:rsidRDefault="0007663F" w:rsidP="00CE307D">
            <w:pP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 </w:t>
            </w:r>
          </w:p>
        </w:tc>
        <w:tc>
          <w:tcPr>
            <w:tcW w:w="602" w:type="dxa"/>
            <w:tcBorders>
              <w:top w:val="single" w:sz="4" w:space="0" w:color="auto"/>
              <w:left w:val="nil"/>
              <w:bottom w:val="nil"/>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SvF</w:t>
            </w:r>
          </w:p>
        </w:tc>
        <w:tc>
          <w:tcPr>
            <w:tcW w:w="603" w:type="dxa"/>
            <w:tcBorders>
              <w:top w:val="single" w:sz="4" w:space="0" w:color="auto"/>
              <w:left w:val="nil"/>
              <w:bottom w:val="nil"/>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SjF</w:t>
            </w:r>
          </w:p>
        </w:tc>
        <w:tc>
          <w:tcPr>
            <w:tcW w:w="602" w:type="dxa"/>
            <w:tcBorders>
              <w:top w:val="single" w:sz="4" w:space="0" w:color="auto"/>
              <w:left w:val="nil"/>
              <w:bottom w:val="nil"/>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FEI</w:t>
            </w:r>
          </w:p>
        </w:tc>
        <w:tc>
          <w:tcPr>
            <w:tcW w:w="745" w:type="dxa"/>
            <w:tcBorders>
              <w:top w:val="single" w:sz="4" w:space="0" w:color="auto"/>
              <w:left w:val="nil"/>
              <w:bottom w:val="nil"/>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FCHPT</w:t>
            </w:r>
          </w:p>
        </w:tc>
        <w:tc>
          <w:tcPr>
            <w:tcW w:w="460" w:type="dxa"/>
            <w:tcBorders>
              <w:top w:val="single" w:sz="4" w:space="0" w:color="auto"/>
              <w:left w:val="nil"/>
              <w:bottom w:val="nil"/>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FA</w:t>
            </w:r>
          </w:p>
        </w:tc>
        <w:tc>
          <w:tcPr>
            <w:tcW w:w="603" w:type="dxa"/>
            <w:tcBorders>
              <w:top w:val="single" w:sz="4" w:space="0" w:color="auto"/>
              <w:left w:val="nil"/>
              <w:bottom w:val="nil"/>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MTF</w:t>
            </w:r>
          </w:p>
        </w:tc>
        <w:tc>
          <w:tcPr>
            <w:tcW w:w="602" w:type="dxa"/>
            <w:tcBorders>
              <w:top w:val="single" w:sz="4" w:space="0" w:color="auto"/>
              <w:left w:val="nil"/>
              <w:bottom w:val="nil"/>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FIIT</w:t>
            </w:r>
          </w:p>
        </w:tc>
        <w:tc>
          <w:tcPr>
            <w:tcW w:w="603" w:type="dxa"/>
            <w:tcBorders>
              <w:top w:val="single" w:sz="4" w:space="0" w:color="auto"/>
              <w:left w:val="nil"/>
              <w:bottom w:val="nil"/>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ÚM</w:t>
            </w:r>
          </w:p>
        </w:tc>
      </w:tr>
      <w:tr w:rsidR="0007663F" w:rsidRPr="000C640D" w:rsidTr="00CE307D">
        <w:trPr>
          <w:trHeight w:val="20"/>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Ocenenie rektora „Cena rektora STU“</w:t>
            </w:r>
          </w:p>
        </w:tc>
        <w:tc>
          <w:tcPr>
            <w:tcW w:w="3118"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rPr>
                <w:rFonts w:asciiTheme="minorHAnsi" w:hAnsiTheme="minorHAnsi" w:cs="Arial"/>
                <w:sz w:val="20"/>
                <w:szCs w:val="20"/>
              </w:rPr>
            </w:pPr>
            <w:r w:rsidRPr="000C640D">
              <w:rPr>
                <w:rFonts w:asciiTheme="minorHAnsi" w:eastAsia="Times New Roman" w:hAnsiTheme="minorHAnsi" w:cs="Arial"/>
                <w:sz w:val="20"/>
                <w:szCs w:val="20"/>
                <w:lang w:eastAsia="sk-SK"/>
              </w:rPr>
              <w:t>I.</w:t>
            </w:r>
            <w:r w:rsidRPr="000C640D">
              <w:rPr>
                <w:rFonts w:asciiTheme="minorHAnsi" w:hAnsiTheme="minorHAnsi" w:cs="Arial"/>
                <w:sz w:val="20"/>
                <w:szCs w:val="20"/>
              </w:rPr>
              <w:t xml:space="preserve"> stupeň</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6</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3</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3</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1575" w:type="dxa"/>
            <w:vMerge/>
            <w:tcBorders>
              <w:top w:val="nil"/>
              <w:left w:val="single" w:sz="4" w:space="0" w:color="auto"/>
              <w:bottom w:val="single" w:sz="4" w:space="0" w:color="000000"/>
              <w:right w:val="single" w:sz="4" w:space="0" w:color="auto"/>
            </w:tcBorders>
            <w:vAlign w:val="center"/>
            <w:hideMark/>
          </w:tcPr>
          <w:p w:rsidR="0007663F" w:rsidRPr="000C640D" w:rsidRDefault="0007663F" w:rsidP="00CE307D">
            <w:pPr>
              <w:rPr>
                <w:rFonts w:asciiTheme="minorHAnsi" w:eastAsia="Times New Roman" w:hAnsiTheme="minorHAnsi" w:cs="Arial"/>
                <w:sz w:val="20"/>
                <w:szCs w:val="20"/>
                <w:lang w:eastAsia="sk-SK"/>
              </w:rPr>
            </w:pPr>
          </w:p>
        </w:tc>
        <w:tc>
          <w:tcPr>
            <w:tcW w:w="3118"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II. stupeň</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8</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5</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8</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3</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3</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1575" w:type="dxa"/>
            <w:vMerge/>
            <w:tcBorders>
              <w:top w:val="nil"/>
              <w:left w:val="single" w:sz="4" w:space="0" w:color="auto"/>
              <w:bottom w:val="single" w:sz="4" w:space="0" w:color="000000"/>
              <w:right w:val="single" w:sz="4" w:space="0" w:color="auto"/>
            </w:tcBorders>
            <w:vAlign w:val="center"/>
            <w:hideMark/>
          </w:tcPr>
          <w:p w:rsidR="0007663F" w:rsidRPr="000C640D" w:rsidRDefault="0007663F" w:rsidP="00CE307D">
            <w:pPr>
              <w:rPr>
                <w:rFonts w:asciiTheme="minorHAnsi" w:eastAsia="Times New Roman" w:hAnsiTheme="minorHAnsi" w:cs="Arial"/>
                <w:sz w:val="20"/>
                <w:szCs w:val="20"/>
                <w:lang w:eastAsia="sk-SK"/>
              </w:rPr>
            </w:pPr>
          </w:p>
        </w:tc>
        <w:tc>
          <w:tcPr>
            <w:tcW w:w="3118"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III.  stupeň</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6</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2</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Ocenenie rektora "Študent roka"</w:t>
            </w:r>
          </w:p>
        </w:tc>
        <w:tc>
          <w:tcPr>
            <w:tcW w:w="3118" w:type="dxa"/>
            <w:tcBorders>
              <w:top w:val="nil"/>
              <w:left w:val="nil"/>
              <w:bottom w:val="single" w:sz="4" w:space="0" w:color="auto"/>
              <w:right w:val="single" w:sz="4" w:space="0" w:color="auto"/>
            </w:tcBorders>
            <w:shd w:val="clear" w:color="auto" w:fill="auto"/>
            <w:vAlign w:val="bottom"/>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najlepší študent I. stupňa štúdia</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r>
      <w:tr w:rsidR="0007663F" w:rsidRPr="000C640D" w:rsidTr="00CE307D">
        <w:trPr>
          <w:trHeight w:val="20"/>
        </w:trPr>
        <w:tc>
          <w:tcPr>
            <w:tcW w:w="1575" w:type="dxa"/>
            <w:vMerge/>
            <w:tcBorders>
              <w:top w:val="nil"/>
              <w:left w:val="single" w:sz="4" w:space="0" w:color="auto"/>
              <w:bottom w:val="single" w:sz="4" w:space="0" w:color="000000"/>
              <w:right w:val="single" w:sz="4" w:space="0" w:color="auto"/>
            </w:tcBorders>
            <w:vAlign w:val="center"/>
            <w:hideMark/>
          </w:tcPr>
          <w:p w:rsidR="0007663F" w:rsidRPr="000C640D" w:rsidRDefault="0007663F" w:rsidP="00CE307D">
            <w:pPr>
              <w:rPr>
                <w:rFonts w:asciiTheme="minorHAnsi" w:eastAsia="Times New Roman" w:hAnsiTheme="minorHAnsi" w:cs="Arial"/>
                <w:sz w:val="20"/>
                <w:szCs w:val="20"/>
                <w:lang w:eastAsia="sk-SK"/>
              </w:rPr>
            </w:pPr>
          </w:p>
        </w:tc>
        <w:tc>
          <w:tcPr>
            <w:tcW w:w="3118" w:type="dxa"/>
            <w:tcBorders>
              <w:top w:val="nil"/>
              <w:left w:val="nil"/>
              <w:bottom w:val="single" w:sz="4" w:space="0" w:color="auto"/>
              <w:right w:val="single" w:sz="4" w:space="0" w:color="auto"/>
            </w:tcBorders>
            <w:shd w:val="clear" w:color="auto" w:fill="auto"/>
            <w:vAlign w:val="bottom"/>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najlepší študent II. stupňa štúdia</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r>
      <w:tr w:rsidR="0007663F" w:rsidRPr="000C640D" w:rsidTr="00CE307D">
        <w:trPr>
          <w:trHeight w:val="20"/>
        </w:trPr>
        <w:tc>
          <w:tcPr>
            <w:tcW w:w="1575" w:type="dxa"/>
            <w:vMerge/>
            <w:tcBorders>
              <w:top w:val="nil"/>
              <w:left w:val="single" w:sz="4" w:space="0" w:color="auto"/>
              <w:bottom w:val="single" w:sz="4" w:space="0" w:color="000000"/>
              <w:right w:val="single" w:sz="4" w:space="0" w:color="auto"/>
            </w:tcBorders>
            <w:vAlign w:val="center"/>
            <w:hideMark/>
          </w:tcPr>
          <w:p w:rsidR="0007663F" w:rsidRPr="000C640D" w:rsidRDefault="0007663F" w:rsidP="00CE307D">
            <w:pPr>
              <w:rPr>
                <w:rFonts w:asciiTheme="minorHAnsi" w:eastAsia="Times New Roman" w:hAnsiTheme="minorHAnsi" w:cs="Arial"/>
                <w:sz w:val="20"/>
                <w:szCs w:val="20"/>
                <w:lang w:eastAsia="sk-SK"/>
              </w:rPr>
            </w:pPr>
          </w:p>
        </w:tc>
        <w:tc>
          <w:tcPr>
            <w:tcW w:w="3118" w:type="dxa"/>
            <w:tcBorders>
              <w:top w:val="nil"/>
              <w:left w:val="nil"/>
              <w:bottom w:val="single" w:sz="4" w:space="0" w:color="auto"/>
              <w:right w:val="single" w:sz="4" w:space="0" w:color="auto"/>
            </w:tcBorders>
            <w:shd w:val="clear" w:color="auto" w:fill="auto"/>
            <w:vAlign w:val="bottom"/>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najlepší študent III. stupňa štúdia</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r>
      <w:tr w:rsidR="0007663F" w:rsidRPr="000C640D" w:rsidTr="00CE307D">
        <w:trPr>
          <w:trHeight w:val="20"/>
        </w:trPr>
        <w:tc>
          <w:tcPr>
            <w:tcW w:w="1575" w:type="dxa"/>
            <w:vMerge/>
            <w:tcBorders>
              <w:top w:val="nil"/>
              <w:left w:val="single" w:sz="4" w:space="0" w:color="auto"/>
              <w:bottom w:val="single" w:sz="4" w:space="0" w:color="000000"/>
              <w:right w:val="single" w:sz="4" w:space="0" w:color="auto"/>
            </w:tcBorders>
            <w:vAlign w:val="center"/>
            <w:hideMark/>
          </w:tcPr>
          <w:p w:rsidR="0007663F" w:rsidRPr="000C640D" w:rsidRDefault="0007663F" w:rsidP="00CE307D">
            <w:pPr>
              <w:rPr>
                <w:rFonts w:asciiTheme="minorHAnsi" w:eastAsia="Times New Roman" w:hAnsiTheme="minorHAnsi" w:cs="Arial"/>
                <w:sz w:val="20"/>
                <w:szCs w:val="20"/>
                <w:lang w:eastAsia="sk-SK"/>
              </w:rPr>
            </w:pPr>
          </w:p>
        </w:tc>
        <w:tc>
          <w:tcPr>
            <w:tcW w:w="3118" w:type="dxa"/>
            <w:tcBorders>
              <w:top w:val="nil"/>
              <w:left w:val="nil"/>
              <w:bottom w:val="single" w:sz="4" w:space="0" w:color="auto"/>
              <w:right w:val="single" w:sz="4" w:space="0" w:color="auto"/>
            </w:tcBorders>
            <w:shd w:val="clear" w:color="auto" w:fill="auto"/>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najlepšie absolvovaná akademická mobilita na STU</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745"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460"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1575" w:type="dxa"/>
            <w:vMerge/>
            <w:tcBorders>
              <w:top w:val="nil"/>
              <w:left w:val="single" w:sz="4" w:space="0" w:color="auto"/>
              <w:bottom w:val="single" w:sz="4" w:space="0" w:color="000000"/>
              <w:right w:val="single" w:sz="4" w:space="0" w:color="auto"/>
            </w:tcBorders>
            <w:vAlign w:val="center"/>
            <w:hideMark/>
          </w:tcPr>
          <w:p w:rsidR="0007663F" w:rsidRPr="000C640D" w:rsidRDefault="0007663F" w:rsidP="00CE307D">
            <w:pPr>
              <w:rPr>
                <w:rFonts w:asciiTheme="minorHAnsi" w:eastAsia="Times New Roman" w:hAnsiTheme="minorHAnsi" w:cs="Arial"/>
                <w:sz w:val="20"/>
                <w:szCs w:val="20"/>
                <w:lang w:eastAsia="sk-SK"/>
              </w:rPr>
            </w:pPr>
          </w:p>
        </w:tc>
        <w:tc>
          <w:tcPr>
            <w:tcW w:w="3118" w:type="dxa"/>
            <w:tcBorders>
              <w:top w:val="nil"/>
              <w:left w:val="nil"/>
              <w:bottom w:val="single" w:sz="4" w:space="0" w:color="auto"/>
              <w:right w:val="single" w:sz="4" w:space="0" w:color="auto"/>
            </w:tcBorders>
            <w:shd w:val="clear" w:color="auto" w:fill="auto"/>
            <w:vAlign w:val="bottom"/>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mimoriadny výsledok v oblasti výskumu alebo vývoja</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745"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460"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1575" w:type="dxa"/>
            <w:vMerge/>
            <w:tcBorders>
              <w:top w:val="nil"/>
              <w:left w:val="single" w:sz="4" w:space="0" w:color="auto"/>
              <w:bottom w:val="single" w:sz="4" w:space="0" w:color="000000"/>
              <w:right w:val="single" w:sz="4" w:space="0" w:color="auto"/>
            </w:tcBorders>
            <w:vAlign w:val="center"/>
            <w:hideMark/>
          </w:tcPr>
          <w:p w:rsidR="0007663F" w:rsidRPr="000C640D" w:rsidRDefault="0007663F" w:rsidP="00CE307D">
            <w:pPr>
              <w:rPr>
                <w:rFonts w:asciiTheme="minorHAnsi" w:eastAsia="Times New Roman" w:hAnsiTheme="minorHAnsi" w:cs="Arial"/>
                <w:sz w:val="20"/>
                <w:szCs w:val="20"/>
                <w:lang w:eastAsia="sk-SK"/>
              </w:rPr>
            </w:pPr>
          </w:p>
        </w:tc>
        <w:tc>
          <w:tcPr>
            <w:tcW w:w="3118" w:type="dxa"/>
            <w:tcBorders>
              <w:top w:val="nil"/>
              <w:left w:val="nil"/>
              <w:bottom w:val="single" w:sz="4" w:space="0" w:color="auto"/>
              <w:right w:val="single" w:sz="4" w:space="0" w:color="auto"/>
            </w:tcBorders>
            <w:shd w:val="clear" w:color="auto" w:fill="auto"/>
            <w:vAlign w:val="bottom"/>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významný reprezentant STU v športe</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745"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460"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1575" w:type="dxa"/>
            <w:vMerge/>
            <w:tcBorders>
              <w:top w:val="nil"/>
              <w:left w:val="single" w:sz="4" w:space="0" w:color="auto"/>
              <w:bottom w:val="single" w:sz="4" w:space="0" w:color="000000"/>
              <w:right w:val="single" w:sz="4" w:space="0" w:color="auto"/>
            </w:tcBorders>
            <w:vAlign w:val="center"/>
            <w:hideMark/>
          </w:tcPr>
          <w:p w:rsidR="0007663F" w:rsidRPr="000C640D" w:rsidRDefault="0007663F" w:rsidP="00CE307D">
            <w:pPr>
              <w:rPr>
                <w:rFonts w:asciiTheme="minorHAnsi" w:eastAsia="Times New Roman" w:hAnsiTheme="minorHAnsi" w:cs="Arial"/>
                <w:sz w:val="20"/>
                <w:szCs w:val="20"/>
                <w:lang w:eastAsia="sk-SK"/>
              </w:rPr>
            </w:pPr>
          </w:p>
        </w:tc>
        <w:tc>
          <w:tcPr>
            <w:tcW w:w="3118" w:type="dxa"/>
            <w:tcBorders>
              <w:top w:val="nil"/>
              <w:left w:val="nil"/>
              <w:bottom w:val="single" w:sz="4" w:space="0" w:color="auto"/>
              <w:right w:val="single" w:sz="4" w:space="0" w:color="auto"/>
            </w:tcBorders>
            <w:shd w:val="clear" w:color="auto" w:fill="auto"/>
            <w:vAlign w:val="bottom"/>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významný reprezentant STU v umení</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745"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460"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1575" w:type="dxa"/>
            <w:vMerge/>
            <w:tcBorders>
              <w:top w:val="nil"/>
              <w:left w:val="single" w:sz="4" w:space="0" w:color="auto"/>
              <w:bottom w:val="single" w:sz="4" w:space="0" w:color="000000"/>
              <w:right w:val="single" w:sz="4" w:space="0" w:color="auto"/>
            </w:tcBorders>
            <w:vAlign w:val="center"/>
            <w:hideMark/>
          </w:tcPr>
          <w:p w:rsidR="0007663F" w:rsidRPr="000C640D" w:rsidRDefault="0007663F" w:rsidP="00CE307D">
            <w:pPr>
              <w:rPr>
                <w:rFonts w:asciiTheme="minorHAnsi" w:eastAsia="Times New Roman" w:hAnsiTheme="minorHAnsi" w:cs="Arial"/>
                <w:sz w:val="20"/>
                <w:szCs w:val="20"/>
                <w:lang w:eastAsia="sk-SK"/>
              </w:rPr>
            </w:pPr>
          </w:p>
        </w:tc>
        <w:tc>
          <w:tcPr>
            <w:tcW w:w="3118" w:type="dxa"/>
            <w:tcBorders>
              <w:top w:val="nil"/>
              <w:left w:val="nil"/>
              <w:bottom w:val="single" w:sz="4" w:space="0" w:color="auto"/>
              <w:right w:val="single" w:sz="4" w:space="0" w:color="auto"/>
            </w:tcBorders>
            <w:shd w:val="clear" w:color="auto" w:fill="auto"/>
            <w:vAlign w:val="bottom"/>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mimoriadna činnosť konaná v prospech STU</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745"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460"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1575" w:type="dxa"/>
            <w:vMerge/>
            <w:tcBorders>
              <w:top w:val="nil"/>
              <w:left w:val="single" w:sz="4" w:space="0" w:color="auto"/>
              <w:bottom w:val="single" w:sz="4" w:space="0" w:color="000000"/>
              <w:right w:val="single" w:sz="4" w:space="0" w:color="auto"/>
            </w:tcBorders>
            <w:vAlign w:val="center"/>
            <w:hideMark/>
          </w:tcPr>
          <w:p w:rsidR="0007663F" w:rsidRPr="000C640D" w:rsidRDefault="0007663F" w:rsidP="00CE307D">
            <w:pPr>
              <w:rPr>
                <w:rFonts w:asciiTheme="minorHAnsi" w:eastAsia="Times New Roman" w:hAnsiTheme="minorHAnsi" w:cs="Arial"/>
                <w:sz w:val="20"/>
                <w:szCs w:val="20"/>
                <w:lang w:eastAsia="sk-SK"/>
              </w:rPr>
            </w:pPr>
          </w:p>
        </w:tc>
        <w:tc>
          <w:tcPr>
            <w:tcW w:w="3118" w:type="dxa"/>
            <w:tcBorders>
              <w:top w:val="nil"/>
              <w:left w:val="nil"/>
              <w:bottom w:val="single" w:sz="4" w:space="0" w:color="auto"/>
              <w:right w:val="single" w:sz="4" w:space="0" w:color="auto"/>
            </w:tcBorders>
            <w:shd w:val="clear" w:color="auto" w:fill="auto"/>
            <w:vAlign w:val="bottom"/>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xml:space="preserve">humánny čin roka </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745"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460"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Cena dekana za I. stupeň štúdia</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21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3</w:t>
            </w:r>
          </w:p>
        </w:tc>
        <w:tc>
          <w:tcPr>
            <w:tcW w:w="602" w:type="dxa"/>
            <w:tcBorders>
              <w:top w:val="nil"/>
              <w:left w:val="nil"/>
              <w:bottom w:val="single" w:sz="4" w:space="0" w:color="auto"/>
              <w:right w:val="single" w:sz="4" w:space="0" w:color="auto"/>
            </w:tcBorders>
            <w:shd w:val="clear" w:color="auto" w:fill="auto"/>
            <w:noWrap/>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11</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29</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6</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3</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Cena dekana za II. stupeň štúdia</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37</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9</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20</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44</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3</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Cena dekana za III. stupeň štúdia</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3</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Ďalšie ocenenia dekanov fakúlt za štúdium, záverečné práce (pochvalné listy, pochvalné uznania a diplomy dekana a pod.)</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20</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12</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51</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2</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42</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19</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xml:space="preserve">1. miesto vo </w:t>
            </w:r>
            <w:proofErr w:type="spellStart"/>
            <w:r w:rsidRPr="000C640D">
              <w:rPr>
                <w:rFonts w:asciiTheme="minorHAnsi" w:eastAsia="Times New Roman" w:hAnsiTheme="minorHAnsi" w:cs="Arial"/>
                <w:sz w:val="20"/>
                <w:szCs w:val="20"/>
                <w:lang w:eastAsia="sk-SK"/>
              </w:rPr>
              <w:t>floorbale</w:t>
            </w:r>
            <w:proofErr w:type="spellEnd"/>
            <w:r w:rsidRPr="000C640D">
              <w:rPr>
                <w:rFonts w:asciiTheme="minorHAnsi" w:eastAsia="Times New Roman" w:hAnsiTheme="minorHAnsi" w:cs="Arial"/>
                <w:sz w:val="20"/>
                <w:szCs w:val="20"/>
                <w:lang w:eastAsia="sk-SK"/>
              </w:rPr>
              <w:t xml:space="preserve"> - Turnaj o pohára rektora STU</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lastRenderedPageBreak/>
              <w:t>1. miesto na turnaji o pohár rektora STU v tenise - dvojhry študentov - ženy</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3. miesto na turnaji o pohár rektora STU v tenise - dvojhry študentov - muži</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 miesto na volejbalovom turnaji O pohár rektora STU - muži</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2. miesto na volejbalovom turnaji O pohár rektora STU - ženy</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63F" w:rsidRPr="000C640D" w:rsidRDefault="0007663F" w:rsidP="00CE307D">
            <w:pP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2. miesto na volejbalovom turnaji O pohár rektora STU – pedagógovia + doktorandi</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1</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745"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460"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2"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c>
          <w:tcPr>
            <w:tcW w:w="603" w:type="dxa"/>
            <w:tcBorders>
              <w:top w:val="nil"/>
              <w:left w:val="nil"/>
              <w:bottom w:val="single" w:sz="4" w:space="0" w:color="auto"/>
              <w:right w:val="single" w:sz="4" w:space="0" w:color="auto"/>
            </w:tcBorders>
            <w:shd w:val="clear" w:color="auto" w:fill="auto"/>
            <w:vAlign w:val="center"/>
            <w:hideMark/>
          </w:tcPr>
          <w:p w:rsidR="0007663F" w:rsidRPr="000C640D" w:rsidRDefault="0007663F" w:rsidP="00CE307D">
            <w:pPr>
              <w:jc w:val="center"/>
              <w:rPr>
                <w:rFonts w:asciiTheme="minorHAnsi" w:eastAsia="Times New Roman" w:hAnsiTheme="minorHAnsi" w:cs="Arial"/>
                <w:sz w:val="20"/>
                <w:szCs w:val="20"/>
                <w:lang w:eastAsia="sk-SK"/>
              </w:rPr>
            </w:pPr>
            <w:r w:rsidRPr="000C640D">
              <w:rPr>
                <w:rFonts w:asciiTheme="minorHAnsi" w:eastAsia="Times New Roman" w:hAnsiTheme="minorHAnsi" w:cs="Arial"/>
                <w:sz w:val="20"/>
                <w:szCs w:val="20"/>
                <w:lang w:eastAsia="sk-SK"/>
              </w:rPr>
              <w:t> </w:t>
            </w:r>
          </w:p>
        </w:tc>
      </w:tr>
      <w:tr w:rsidR="0007663F" w:rsidRPr="000C640D" w:rsidTr="00CE307D">
        <w:trPr>
          <w:trHeight w:val="20"/>
        </w:trPr>
        <w:tc>
          <w:tcPr>
            <w:tcW w:w="4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663F" w:rsidRPr="000C640D" w:rsidRDefault="0007663F" w:rsidP="00CE307D">
            <w:pPr>
              <w:jc w:val="right"/>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Spolu</w:t>
            </w:r>
          </w:p>
        </w:tc>
        <w:tc>
          <w:tcPr>
            <w:tcW w:w="602" w:type="dxa"/>
            <w:tcBorders>
              <w:top w:val="nil"/>
              <w:left w:val="nil"/>
              <w:bottom w:val="single" w:sz="4" w:space="0" w:color="auto"/>
              <w:right w:val="single" w:sz="4" w:space="0" w:color="auto"/>
            </w:tcBorders>
            <w:shd w:val="clear" w:color="auto" w:fill="D9D9D9" w:themeFill="background1" w:themeFillShade="D9"/>
            <w:noWrap/>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108</w:t>
            </w:r>
          </w:p>
        </w:tc>
        <w:tc>
          <w:tcPr>
            <w:tcW w:w="603" w:type="dxa"/>
            <w:tcBorders>
              <w:top w:val="nil"/>
              <w:left w:val="nil"/>
              <w:bottom w:val="single" w:sz="4" w:space="0" w:color="auto"/>
              <w:right w:val="single" w:sz="4" w:space="0" w:color="auto"/>
            </w:tcBorders>
            <w:shd w:val="clear" w:color="auto" w:fill="D9D9D9" w:themeFill="background1" w:themeFillShade="D9"/>
            <w:noWrap/>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33</w:t>
            </w:r>
          </w:p>
        </w:tc>
        <w:tc>
          <w:tcPr>
            <w:tcW w:w="602" w:type="dxa"/>
            <w:tcBorders>
              <w:top w:val="nil"/>
              <w:left w:val="nil"/>
              <w:bottom w:val="single" w:sz="4" w:space="0" w:color="auto"/>
              <w:right w:val="single" w:sz="4" w:space="0" w:color="auto"/>
            </w:tcBorders>
            <w:shd w:val="clear" w:color="auto" w:fill="D9D9D9" w:themeFill="background1" w:themeFillShade="D9"/>
            <w:noWrap/>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97</w:t>
            </w:r>
          </w:p>
        </w:tc>
        <w:tc>
          <w:tcPr>
            <w:tcW w:w="745" w:type="dxa"/>
            <w:tcBorders>
              <w:top w:val="nil"/>
              <w:left w:val="nil"/>
              <w:bottom w:val="single" w:sz="4" w:space="0" w:color="auto"/>
              <w:right w:val="single" w:sz="4" w:space="0" w:color="auto"/>
            </w:tcBorders>
            <w:shd w:val="clear" w:color="auto" w:fill="D9D9D9" w:themeFill="background1" w:themeFillShade="D9"/>
            <w:noWrap/>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94</w:t>
            </w:r>
          </w:p>
        </w:tc>
        <w:tc>
          <w:tcPr>
            <w:tcW w:w="460" w:type="dxa"/>
            <w:tcBorders>
              <w:top w:val="nil"/>
              <w:left w:val="nil"/>
              <w:bottom w:val="single" w:sz="4" w:space="0" w:color="auto"/>
              <w:right w:val="single" w:sz="4" w:space="0" w:color="auto"/>
            </w:tcBorders>
            <w:shd w:val="clear" w:color="auto" w:fill="D9D9D9" w:themeFill="background1" w:themeFillShade="D9"/>
            <w:noWrap/>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15</w:t>
            </w:r>
          </w:p>
        </w:tc>
        <w:tc>
          <w:tcPr>
            <w:tcW w:w="603" w:type="dxa"/>
            <w:tcBorders>
              <w:top w:val="nil"/>
              <w:left w:val="nil"/>
              <w:bottom w:val="single" w:sz="4" w:space="0" w:color="auto"/>
              <w:right w:val="single" w:sz="4" w:space="0" w:color="auto"/>
            </w:tcBorders>
            <w:shd w:val="clear" w:color="auto" w:fill="D9D9D9" w:themeFill="background1" w:themeFillShade="D9"/>
            <w:noWrap/>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49</w:t>
            </w:r>
          </w:p>
        </w:tc>
        <w:tc>
          <w:tcPr>
            <w:tcW w:w="602" w:type="dxa"/>
            <w:tcBorders>
              <w:top w:val="nil"/>
              <w:left w:val="nil"/>
              <w:bottom w:val="single" w:sz="4" w:space="0" w:color="auto"/>
              <w:right w:val="single" w:sz="4" w:space="0" w:color="auto"/>
            </w:tcBorders>
            <w:shd w:val="clear" w:color="auto" w:fill="D9D9D9" w:themeFill="background1" w:themeFillShade="D9"/>
            <w:noWrap/>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33</w:t>
            </w:r>
          </w:p>
        </w:tc>
        <w:tc>
          <w:tcPr>
            <w:tcW w:w="603" w:type="dxa"/>
            <w:tcBorders>
              <w:top w:val="nil"/>
              <w:left w:val="nil"/>
              <w:bottom w:val="single" w:sz="4" w:space="0" w:color="auto"/>
              <w:right w:val="single" w:sz="4" w:space="0" w:color="auto"/>
            </w:tcBorders>
            <w:shd w:val="clear" w:color="auto" w:fill="D9D9D9" w:themeFill="background1" w:themeFillShade="D9"/>
            <w:noWrap/>
            <w:vAlign w:val="center"/>
            <w:hideMark/>
          </w:tcPr>
          <w:p w:rsidR="0007663F" w:rsidRPr="000C640D" w:rsidRDefault="0007663F" w:rsidP="00CE307D">
            <w:pPr>
              <w:jc w:val="center"/>
              <w:rPr>
                <w:rFonts w:asciiTheme="minorHAnsi" w:eastAsia="Times New Roman" w:hAnsiTheme="minorHAnsi" w:cs="Arial"/>
                <w:b/>
                <w:bCs/>
                <w:sz w:val="20"/>
                <w:szCs w:val="20"/>
                <w:lang w:eastAsia="sk-SK"/>
              </w:rPr>
            </w:pPr>
            <w:r w:rsidRPr="000C640D">
              <w:rPr>
                <w:rFonts w:asciiTheme="minorHAnsi" w:eastAsia="Times New Roman" w:hAnsiTheme="minorHAnsi" w:cs="Arial"/>
                <w:b/>
                <w:bCs/>
                <w:sz w:val="20"/>
                <w:szCs w:val="20"/>
                <w:lang w:eastAsia="sk-SK"/>
              </w:rPr>
              <w:t>3</w:t>
            </w:r>
          </w:p>
        </w:tc>
      </w:tr>
    </w:tbl>
    <w:p w:rsidR="0007663F" w:rsidRPr="000C640D" w:rsidRDefault="0007663F" w:rsidP="0007663F">
      <w:pPr>
        <w:rPr>
          <w:rFonts w:asciiTheme="minorHAnsi" w:hAnsiTheme="minorHAnsi" w:cs="Calibri"/>
          <w:b/>
          <w:sz w:val="20"/>
          <w:szCs w:val="20"/>
          <w:shd w:val="clear" w:color="auto" w:fill="FFFFFF"/>
        </w:rPr>
      </w:pPr>
    </w:p>
    <w:p w:rsidR="00B51749" w:rsidRPr="002D7A10" w:rsidRDefault="00B51749" w:rsidP="00B51749">
      <w:pPr>
        <w:rPr>
          <w:rFonts w:asciiTheme="minorHAnsi" w:hAnsiTheme="minorHAnsi"/>
          <w:b/>
          <w:color w:val="FF0000"/>
          <w:shd w:val="clear" w:color="auto" w:fill="FFFFFF"/>
        </w:rPr>
      </w:pPr>
    </w:p>
    <w:p w:rsidR="00B51749" w:rsidRPr="002D7A10" w:rsidRDefault="00B51749" w:rsidP="00B51749">
      <w:pPr>
        <w:pStyle w:val="Nadpis2"/>
        <w:rPr>
          <w:rFonts w:asciiTheme="minorHAnsi" w:hAnsiTheme="minorHAnsi"/>
          <w:color w:val="auto"/>
          <w:sz w:val="24"/>
          <w:szCs w:val="24"/>
          <w:shd w:val="clear" w:color="auto" w:fill="FFFFFF"/>
        </w:rPr>
      </w:pPr>
      <w:bookmarkStart w:id="23" w:name="_Toc448261565"/>
      <w:r w:rsidRPr="002D7A10">
        <w:rPr>
          <w:rFonts w:asciiTheme="minorHAnsi" w:hAnsiTheme="minorHAnsi"/>
          <w:color w:val="auto"/>
          <w:sz w:val="24"/>
          <w:szCs w:val="24"/>
          <w:shd w:val="clear" w:color="auto" w:fill="FFFFFF"/>
        </w:rPr>
        <w:t>Študentská vedecká odborná činnosť na STU</w:t>
      </w:r>
      <w:bookmarkEnd w:id="23"/>
    </w:p>
    <w:p w:rsidR="00197200" w:rsidRPr="00197200" w:rsidRDefault="00197200" w:rsidP="0019126B">
      <w:pPr>
        <w:spacing w:after="120"/>
        <w:rPr>
          <w:rFonts w:asciiTheme="minorHAnsi" w:hAnsiTheme="minorHAnsi" w:cs="Calibri"/>
        </w:rPr>
      </w:pPr>
      <w:r w:rsidRPr="00197200">
        <w:rPr>
          <w:rFonts w:asciiTheme="minorHAnsi" w:hAnsiTheme="minorHAnsi" w:cs="Calibri"/>
          <w:shd w:val="clear" w:color="auto" w:fill="FFFFFF"/>
        </w:rPr>
        <w:t xml:space="preserve">Dôležitou oblasťou komplexného vysokoškolského vzdelávania je rozvoj vedeckej a umeleckej činnosti študentov. Na túto oblasť je zameraná </w:t>
      </w:r>
      <w:r w:rsidRPr="00197200">
        <w:rPr>
          <w:rFonts w:asciiTheme="minorHAnsi" w:hAnsiTheme="minorHAnsi" w:cs="Calibri"/>
        </w:rPr>
        <w:t xml:space="preserve">Študentská vedecká a odborná činnosť (ŠVOČ), ktorá má na STU dlhoročnú tradíciu. Zúčastňujú sa jej hlavne študenti v 2. a 3. roku štúdia na prvom stupni a v 1. a 2. roku štúdia na druhom stupni. ŠVOČ sa každý rok </w:t>
      </w:r>
      <w:r w:rsidR="009978E3">
        <w:rPr>
          <w:rFonts w:asciiTheme="minorHAnsi" w:hAnsiTheme="minorHAnsi" w:cs="Calibri"/>
        </w:rPr>
        <w:t>končí</w:t>
      </w:r>
      <w:r w:rsidRPr="00197200">
        <w:rPr>
          <w:rFonts w:asciiTheme="minorHAnsi" w:hAnsiTheme="minorHAnsi" w:cs="Calibri"/>
        </w:rPr>
        <w:t xml:space="preserve"> konferenciou (Študentská vedecká konferencia – ŠVK), na ktorej</w:t>
      </w:r>
      <w:r>
        <w:rPr>
          <w:rFonts w:asciiTheme="minorHAnsi" w:hAnsiTheme="minorHAnsi" w:cs="Calibri"/>
        </w:rPr>
        <w:t xml:space="preserve"> študenti prezentujú výsledky</w:t>
      </w:r>
      <w:r w:rsidRPr="00197200">
        <w:rPr>
          <w:rFonts w:asciiTheme="minorHAnsi" w:hAnsiTheme="minorHAnsi" w:cs="Calibri"/>
        </w:rPr>
        <w:t xml:space="preserve"> vedeckej</w:t>
      </w:r>
      <w:r>
        <w:rPr>
          <w:rFonts w:asciiTheme="minorHAnsi" w:hAnsiTheme="minorHAnsi" w:cs="Calibri"/>
        </w:rPr>
        <w:t xml:space="preserve"> a</w:t>
      </w:r>
      <w:r w:rsidRPr="00197200">
        <w:rPr>
          <w:rFonts w:asciiTheme="minorHAnsi" w:hAnsiTheme="minorHAnsi" w:cs="Calibri"/>
        </w:rPr>
        <w:t xml:space="preserve"> odbornej činnosti v odborných sekciách</w:t>
      </w:r>
      <w:r w:rsidR="009978E3">
        <w:rPr>
          <w:rFonts w:asciiTheme="minorHAnsi" w:hAnsiTheme="minorHAnsi" w:cs="Calibri"/>
        </w:rPr>
        <w:t xml:space="preserve"> </w:t>
      </w:r>
      <w:r w:rsidRPr="00197200">
        <w:rPr>
          <w:rFonts w:asciiTheme="minorHAnsi" w:hAnsiTheme="minorHAnsi" w:cs="Calibri"/>
        </w:rPr>
        <w:t>p</w:t>
      </w:r>
      <w:r w:rsidR="009978E3">
        <w:rPr>
          <w:rFonts w:asciiTheme="minorHAnsi" w:hAnsiTheme="minorHAnsi" w:cs="Calibri"/>
        </w:rPr>
        <w:t xml:space="preserve">rostredníctvom </w:t>
      </w:r>
      <w:proofErr w:type="spellStart"/>
      <w:r w:rsidR="009978E3">
        <w:rPr>
          <w:rFonts w:asciiTheme="minorHAnsi" w:hAnsiTheme="minorHAnsi" w:cs="Calibri"/>
        </w:rPr>
        <w:t>posterov</w:t>
      </w:r>
      <w:proofErr w:type="spellEnd"/>
      <w:r w:rsidR="009978E3">
        <w:rPr>
          <w:rFonts w:asciiTheme="minorHAnsi" w:hAnsiTheme="minorHAnsi" w:cs="Calibri"/>
        </w:rPr>
        <w:t>,</w:t>
      </w:r>
      <w:r>
        <w:rPr>
          <w:rFonts w:asciiTheme="minorHAnsi" w:hAnsiTheme="minorHAnsi" w:cs="Calibri"/>
        </w:rPr>
        <w:t xml:space="preserve"> alebo </w:t>
      </w:r>
      <w:proofErr w:type="spellStart"/>
      <w:r w:rsidRPr="00197200">
        <w:rPr>
          <w:rFonts w:asciiTheme="minorHAnsi" w:hAnsiTheme="minorHAnsi" w:cs="Calibri"/>
        </w:rPr>
        <w:t>power-pointovej</w:t>
      </w:r>
      <w:proofErr w:type="spellEnd"/>
      <w:r w:rsidRPr="00197200">
        <w:rPr>
          <w:rFonts w:asciiTheme="minorHAnsi" w:hAnsiTheme="minorHAnsi" w:cs="Calibri"/>
        </w:rPr>
        <w:t xml:space="preserve"> prezentácie. Niektoré fakulty vydávajú zborník prác študentov.</w:t>
      </w:r>
      <w:r w:rsidR="0019126B">
        <w:rPr>
          <w:rFonts w:asciiTheme="minorHAnsi" w:hAnsiTheme="minorHAnsi" w:cs="Calibri"/>
        </w:rPr>
        <w:t xml:space="preserve"> </w:t>
      </w:r>
      <w:r w:rsidRPr="00197200">
        <w:rPr>
          <w:rFonts w:asciiTheme="minorHAnsi" w:hAnsiTheme="minorHAnsi" w:cs="Calibri"/>
        </w:rPr>
        <w:t xml:space="preserve">Študenti víťazných prác sú okrem diplomov </w:t>
      </w:r>
      <w:r w:rsidR="009978E3">
        <w:rPr>
          <w:rFonts w:asciiTheme="minorHAnsi" w:hAnsiTheme="minorHAnsi" w:cs="Calibri"/>
        </w:rPr>
        <w:t xml:space="preserve">ocenení mimoriadnym štipendiom. </w:t>
      </w:r>
      <w:r w:rsidRPr="00197200">
        <w:rPr>
          <w:rFonts w:asciiTheme="minorHAnsi" w:hAnsiTheme="minorHAnsi" w:cs="Calibri"/>
        </w:rPr>
        <w:t>Niektoré fakulty využívajú pri organizovaní ŠVK a oceňovaní najlepších prác podporu sponzorov –významných firiem z danej odbornej oblasti (Slovenská spoločnosť pre kybernetiku a informatiku, Oracle, Slovenská elektrizačná prenosová, Slovnaft, Slovenský plynárenský priemysel a ďalšie). Najlepšie práce sú nominované na Cenu literárneho fondu, celkovo bolo ocenených 24 prác (SvF –12, SjF – 6, MTF – 5, FIIT – 1).</w:t>
      </w:r>
    </w:p>
    <w:p w:rsidR="00D947F5" w:rsidRPr="004B2FB5" w:rsidRDefault="00197200" w:rsidP="004B2FB5">
      <w:pPr>
        <w:rPr>
          <w:rFonts w:asciiTheme="minorHAnsi" w:hAnsiTheme="minorHAnsi" w:cs="Calibri"/>
        </w:rPr>
      </w:pPr>
      <w:r w:rsidRPr="00197200">
        <w:rPr>
          <w:rFonts w:asciiTheme="minorHAnsi" w:hAnsiTheme="minorHAnsi" w:cs="Calibri"/>
        </w:rPr>
        <w:t xml:space="preserve">Okrem ŠVK organizujú fakulty ako podporu vedeckej práce študentov tretieho stupňa štúdia </w:t>
      </w:r>
      <w:r w:rsidRPr="00197200">
        <w:rPr>
          <w:rFonts w:asciiTheme="minorHAnsi" w:hAnsiTheme="minorHAnsi" w:cs="Calibri"/>
          <w:b/>
        </w:rPr>
        <w:t>medzinárodné doktorandské semináre</w:t>
      </w:r>
      <w:r w:rsidRPr="00197200">
        <w:rPr>
          <w:rFonts w:asciiTheme="minorHAnsi" w:hAnsiTheme="minorHAnsi" w:cs="Calibri"/>
        </w:rPr>
        <w:t xml:space="preserve"> (MTF, FA, FEI, FIIT v rámci fakultnej ŠVK). </w:t>
      </w:r>
    </w:p>
    <w:p w:rsidR="004B2FB5" w:rsidRPr="004B2FB5" w:rsidRDefault="004B2FB5" w:rsidP="004B2FB5">
      <w:pPr>
        <w:rPr>
          <w:rFonts w:asciiTheme="minorHAnsi" w:hAnsiTheme="minorHAnsi" w:cs="Calibri"/>
          <w:sz w:val="20"/>
          <w:szCs w:val="20"/>
        </w:rPr>
      </w:pPr>
    </w:p>
    <w:p w:rsidR="004B2FB5" w:rsidRPr="00B133ED" w:rsidRDefault="004B2FB5" w:rsidP="004B2FB5">
      <w:pPr>
        <w:rPr>
          <w:rFonts w:asciiTheme="minorHAnsi" w:hAnsiTheme="minorHAnsi" w:cs="Calibri"/>
          <w:b/>
          <w:sz w:val="20"/>
          <w:szCs w:val="20"/>
        </w:rPr>
      </w:pPr>
      <w:r w:rsidRPr="00B133ED">
        <w:rPr>
          <w:rFonts w:asciiTheme="minorHAnsi" w:hAnsiTheme="minorHAnsi" w:cs="Calibri"/>
          <w:b/>
          <w:sz w:val="20"/>
          <w:szCs w:val="20"/>
        </w:rPr>
        <w:t>Tabuľka č.</w:t>
      </w:r>
      <w:r w:rsidR="00B133ED" w:rsidRPr="00B133ED">
        <w:rPr>
          <w:rFonts w:asciiTheme="minorHAnsi" w:hAnsiTheme="minorHAnsi" w:cs="Calibri"/>
          <w:b/>
          <w:sz w:val="20"/>
          <w:szCs w:val="20"/>
        </w:rPr>
        <w:t>3.</w:t>
      </w:r>
      <w:r w:rsidRPr="00B133ED">
        <w:rPr>
          <w:rFonts w:asciiTheme="minorHAnsi" w:hAnsiTheme="minorHAnsi" w:cs="Calibri"/>
          <w:b/>
          <w:sz w:val="20"/>
          <w:szCs w:val="20"/>
        </w:rPr>
        <w:t>31:  Kvantitatívny prehľad ŠVOČ na STU v rokoch 2012/2013 až 2014/2015</w:t>
      </w:r>
    </w:p>
    <w:tbl>
      <w:tblPr>
        <w:tblW w:w="9654" w:type="dxa"/>
        <w:tblInd w:w="55" w:type="dxa"/>
        <w:tblLayout w:type="fixed"/>
        <w:tblCellMar>
          <w:left w:w="70" w:type="dxa"/>
          <w:right w:w="70" w:type="dxa"/>
        </w:tblCellMar>
        <w:tblLook w:val="04A0" w:firstRow="1" w:lastRow="0" w:firstColumn="1" w:lastColumn="0" w:noHBand="0" w:noVBand="1"/>
      </w:tblPr>
      <w:tblGrid>
        <w:gridCol w:w="866"/>
        <w:gridCol w:w="976"/>
        <w:gridCol w:w="976"/>
        <w:gridCol w:w="977"/>
        <w:gridCol w:w="976"/>
        <w:gridCol w:w="977"/>
        <w:gridCol w:w="976"/>
        <w:gridCol w:w="977"/>
        <w:gridCol w:w="976"/>
        <w:gridCol w:w="977"/>
      </w:tblGrid>
      <w:tr w:rsidR="004B2FB5" w:rsidRPr="004B2FB5" w:rsidTr="00375F6E">
        <w:trPr>
          <w:trHeight w:val="2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FB5" w:rsidRPr="004B2FB5" w:rsidRDefault="004B2FB5" w:rsidP="00375F6E">
            <w:pP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 </w:t>
            </w:r>
          </w:p>
        </w:tc>
        <w:tc>
          <w:tcPr>
            <w:tcW w:w="29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2FB5" w:rsidRPr="004B2FB5" w:rsidRDefault="004B2FB5" w:rsidP="00375F6E">
            <w:pPr>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2012/2013</w:t>
            </w:r>
          </w:p>
        </w:tc>
        <w:tc>
          <w:tcPr>
            <w:tcW w:w="29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2FB5" w:rsidRPr="004B2FB5" w:rsidRDefault="004B2FB5" w:rsidP="00375F6E">
            <w:pPr>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2013/2014</w:t>
            </w:r>
          </w:p>
        </w:tc>
        <w:tc>
          <w:tcPr>
            <w:tcW w:w="29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2FB5" w:rsidRPr="004B2FB5" w:rsidRDefault="004B2FB5" w:rsidP="00375F6E">
            <w:pPr>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2014/2015</w:t>
            </w:r>
          </w:p>
        </w:tc>
      </w:tr>
      <w:tr w:rsidR="004B2FB5" w:rsidRPr="004B2FB5" w:rsidTr="00375F6E">
        <w:trPr>
          <w:trHeight w:val="2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4B2FB5" w:rsidRPr="004B2FB5" w:rsidRDefault="004B2FB5" w:rsidP="00375F6E">
            <w:pPr>
              <w:rPr>
                <w:rFonts w:asciiTheme="minorHAnsi" w:eastAsia="Times New Roman" w:hAnsiTheme="minorHAnsi" w:cs="Arial"/>
                <w:sz w:val="20"/>
                <w:szCs w:val="20"/>
                <w:lang w:eastAsia="sk-SK"/>
              </w:rPr>
            </w:pP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375F6E">
            <w:pPr>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sekcie</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375F6E">
            <w:pPr>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práce</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375F6E">
            <w:pPr>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študenti</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375F6E">
            <w:pPr>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sekcie</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375F6E">
            <w:pPr>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práce</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375F6E">
            <w:pPr>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študenti</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375F6E">
            <w:pPr>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sekcie</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375F6E">
            <w:pPr>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práce</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375F6E">
            <w:pPr>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študenti</w:t>
            </w:r>
          </w:p>
        </w:tc>
      </w:tr>
      <w:tr w:rsidR="004B2FB5" w:rsidRPr="004B2FB5" w:rsidTr="00375F6E">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2FB5" w:rsidRPr="004B2FB5" w:rsidRDefault="004B2FB5" w:rsidP="00375F6E">
            <w:pP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SvF</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20</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235</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299</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20</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249</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323</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17</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176</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211</w:t>
            </w:r>
          </w:p>
        </w:tc>
      </w:tr>
      <w:tr w:rsidR="004B2FB5" w:rsidRPr="004B2FB5" w:rsidTr="00375F6E">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2FB5" w:rsidRPr="004B2FB5" w:rsidRDefault="004B2FB5" w:rsidP="00375F6E">
            <w:pP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SjF</w:t>
            </w:r>
          </w:p>
        </w:tc>
        <w:tc>
          <w:tcPr>
            <w:tcW w:w="976"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12</w:t>
            </w:r>
          </w:p>
        </w:tc>
        <w:tc>
          <w:tcPr>
            <w:tcW w:w="976"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109</w:t>
            </w:r>
          </w:p>
        </w:tc>
        <w:tc>
          <w:tcPr>
            <w:tcW w:w="977"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115</w:t>
            </w:r>
          </w:p>
        </w:tc>
        <w:tc>
          <w:tcPr>
            <w:tcW w:w="976"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11</w:t>
            </w:r>
          </w:p>
        </w:tc>
        <w:tc>
          <w:tcPr>
            <w:tcW w:w="977"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103</w:t>
            </w:r>
          </w:p>
        </w:tc>
        <w:tc>
          <w:tcPr>
            <w:tcW w:w="976"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107</w:t>
            </w:r>
          </w:p>
        </w:tc>
        <w:tc>
          <w:tcPr>
            <w:tcW w:w="977"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10</w:t>
            </w:r>
          </w:p>
        </w:tc>
        <w:tc>
          <w:tcPr>
            <w:tcW w:w="976"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85</w:t>
            </w:r>
          </w:p>
        </w:tc>
        <w:tc>
          <w:tcPr>
            <w:tcW w:w="977"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88</w:t>
            </w:r>
          </w:p>
        </w:tc>
      </w:tr>
      <w:tr w:rsidR="004B2FB5" w:rsidRPr="004B2FB5" w:rsidTr="00375F6E">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2FB5" w:rsidRPr="004B2FB5" w:rsidRDefault="004B2FB5" w:rsidP="00375F6E">
            <w:pP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FEI</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17</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109</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124</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13</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80</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90</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9</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49</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57</w:t>
            </w:r>
          </w:p>
        </w:tc>
      </w:tr>
      <w:tr w:rsidR="004B2FB5" w:rsidRPr="004B2FB5" w:rsidTr="00375F6E">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2FB5" w:rsidRPr="004B2FB5" w:rsidRDefault="004B2FB5" w:rsidP="00375F6E">
            <w:pP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FCHPT</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21</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166</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169</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19</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179</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186</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19</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188</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196</w:t>
            </w:r>
          </w:p>
        </w:tc>
      </w:tr>
      <w:tr w:rsidR="004B2FB5" w:rsidRPr="004B2FB5" w:rsidTr="00375F6E">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2FB5" w:rsidRPr="004B2FB5" w:rsidRDefault="004B2FB5" w:rsidP="00375F6E">
            <w:pP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FA</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6</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98</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155</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8</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89</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142</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8</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71</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106</w:t>
            </w:r>
          </w:p>
        </w:tc>
      </w:tr>
      <w:tr w:rsidR="004B2FB5" w:rsidRPr="004B2FB5" w:rsidTr="00375F6E">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2FB5" w:rsidRPr="004B2FB5" w:rsidRDefault="004B2FB5" w:rsidP="00375F6E">
            <w:pP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MTF</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13</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102</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111</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15</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119</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129</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12</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89</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98</w:t>
            </w:r>
          </w:p>
        </w:tc>
      </w:tr>
      <w:tr w:rsidR="004B2FB5" w:rsidRPr="004B2FB5" w:rsidTr="00375F6E">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2FB5" w:rsidRPr="004B2FB5" w:rsidRDefault="004B2FB5" w:rsidP="00375F6E">
            <w:pP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FIIT</w:t>
            </w:r>
          </w:p>
        </w:tc>
        <w:tc>
          <w:tcPr>
            <w:tcW w:w="976"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5</w:t>
            </w:r>
          </w:p>
        </w:tc>
        <w:tc>
          <w:tcPr>
            <w:tcW w:w="976"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76</w:t>
            </w:r>
          </w:p>
        </w:tc>
        <w:tc>
          <w:tcPr>
            <w:tcW w:w="977"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88</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6</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104</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120</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7</w:t>
            </w:r>
          </w:p>
        </w:tc>
        <w:tc>
          <w:tcPr>
            <w:tcW w:w="976"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76</w:t>
            </w:r>
          </w:p>
        </w:tc>
        <w:tc>
          <w:tcPr>
            <w:tcW w:w="977" w:type="dxa"/>
            <w:tcBorders>
              <w:top w:val="nil"/>
              <w:left w:val="nil"/>
              <w:bottom w:val="single" w:sz="4" w:space="0" w:color="auto"/>
              <w:right w:val="single" w:sz="4" w:space="0" w:color="auto"/>
            </w:tcBorders>
            <w:shd w:val="clear" w:color="auto" w:fill="auto"/>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81</w:t>
            </w:r>
          </w:p>
        </w:tc>
      </w:tr>
      <w:tr w:rsidR="004B2FB5" w:rsidRPr="004B2FB5" w:rsidTr="00375F6E">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B2FB5" w:rsidRPr="004B2FB5" w:rsidRDefault="004B2FB5" w:rsidP="00375F6E">
            <w:pP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UM</w:t>
            </w:r>
          </w:p>
        </w:tc>
        <w:tc>
          <w:tcPr>
            <w:tcW w:w="976"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4</w:t>
            </w:r>
          </w:p>
        </w:tc>
        <w:tc>
          <w:tcPr>
            <w:tcW w:w="976"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23</w:t>
            </w:r>
          </w:p>
        </w:tc>
        <w:tc>
          <w:tcPr>
            <w:tcW w:w="977"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30</w:t>
            </w:r>
          </w:p>
        </w:tc>
        <w:tc>
          <w:tcPr>
            <w:tcW w:w="976"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4</w:t>
            </w:r>
          </w:p>
        </w:tc>
        <w:tc>
          <w:tcPr>
            <w:tcW w:w="977"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7</w:t>
            </w:r>
          </w:p>
        </w:tc>
        <w:tc>
          <w:tcPr>
            <w:tcW w:w="976"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9</w:t>
            </w:r>
          </w:p>
        </w:tc>
        <w:tc>
          <w:tcPr>
            <w:tcW w:w="977"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1</w:t>
            </w:r>
          </w:p>
        </w:tc>
        <w:tc>
          <w:tcPr>
            <w:tcW w:w="976"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3</w:t>
            </w:r>
          </w:p>
        </w:tc>
        <w:tc>
          <w:tcPr>
            <w:tcW w:w="977" w:type="dxa"/>
            <w:tcBorders>
              <w:top w:val="nil"/>
              <w:left w:val="nil"/>
              <w:bottom w:val="single" w:sz="4" w:space="0" w:color="auto"/>
              <w:right w:val="single" w:sz="4" w:space="0" w:color="auto"/>
            </w:tcBorders>
            <w:shd w:val="clear" w:color="000000" w:fill="FFFFFF"/>
            <w:noWrap/>
            <w:vAlign w:val="bottom"/>
            <w:hideMark/>
          </w:tcPr>
          <w:p w:rsidR="004B2FB5" w:rsidRPr="004B2FB5" w:rsidRDefault="004B2FB5" w:rsidP="004B2FB5">
            <w:pPr>
              <w:ind w:firstLineChars="100" w:firstLine="200"/>
              <w:jc w:val="center"/>
              <w:rPr>
                <w:rFonts w:asciiTheme="minorHAnsi" w:eastAsia="Times New Roman" w:hAnsiTheme="minorHAnsi" w:cs="Arial"/>
                <w:sz w:val="20"/>
                <w:szCs w:val="20"/>
                <w:lang w:eastAsia="sk-SK"/>
              </w:rPr>
            </w:pPr>
            <w:r w:rsidRPr="004B2FB5">
              <w:rPr>
                <w:rFonts w:asciiTheme="minorHAnsi" w:eastAsia="Times New Roman" w:hAnsiTheme="minorHAnsi" w:cs="Arial"/>
                <w:sz w:val="20"/>
                <w:szCs w:val="20"/>
                <w:lang w:eastAsia="sk-SK"/>
              </w:rPr>
              <w:t>9</w:t>
            </w:r>
          </w:p>
        </w:tc>
      </w:tr>
      <w:tr w:rsidR="004B2FB5" w:rsidRPr="004B2FB5" w:rsidTr="00375F6E">
        <w:trPr>
          <w:trHeight w:val="2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B2FB5" w:rsidRPr="004B2FB5" w:rsidRDefault="004B2FB5" w:rsidP="00375F6E">
            <w:pP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STU</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4B2FB5" w:rsidRPr="004B2FB5" w:rsidRDefault="004B2FB5" w:rsidP="004B2FB5">
            <w:pPr>
              <w:ind w:firstLineChars="100" w:firstLine="201"/>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98</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4B2FB5" w:rsidRPr="004B2FB5" w:rsidRDefault="004B2FB5" w:rsidP="004B2FB5">
            <w:pPr>
              <w:ind w:firstLineChars="100" w:firstLine="201"/>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918</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4B2FB5" w:rsidRPr="004B2FB5" w:rsidRDefault="004B2FB5" w:rsidP="004B2FB5">
            <w:pPr>
              <w:ind w:firstLineChars="100" w:firstLine="201"/>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1 091</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4B2FB5" w:rsidRPr="004B2FB5" w:rsidRDefault="004B2FB5" w:rsidP="004B2FB5">
            <w:pPr>
              <w:ind w:firstLineChars="100" w:firstLine="201"/>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96</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4B2FB5" w:rsidRPr="004B2FB5" w:rsidRDefault="004B2FB5" w:rsidP="004B2FB5">
            <w:pPr>
              <w:ind w:firstLineChars="100" w:firstLine="201"/>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930</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4B2FB5" w:rsidRPr="004B2FB5" w:rsidRDefault="004B2FB5" w:rsidP="004B2FB5">
            <w:pPr>
              <w:ind w:firstLineChars="100" w:firstLine="201"/>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1 106</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4B2FB5" w:rsidRPr="004B2FB5" w:rsidRDefault="004B2FB5" w:rsidP="004B2FB5">
            <w:pPr>
              <w:ind w:firstLineChars="100" w:firstLine="201"/>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83</w:t>
            </w:r>
          </w:p>
        </w:tc>
        <w:tc>
          <w:tcPr>
            <w:tcW w:w="976" w:type="dxa"/>
            <w:tcBorders>
              <w:top w:val="nil"/>
              <w:left w:val="nil"/>
              <w:bottom w:val="single" w:sz="4" w:space="0" w:color="auto"/>
              <w:right w:val="single" w:sz="4" w:space="0" w:color="auto"/>
            </w:tcBorders>
            <w:shd w:val="clear" w:color="auto" w:fill="D9D9D9" w:themeFill="background1" w:themeFillShade="D9"/>
            <w:noWrap/>
            <w:vAlign w:val="bottom"/>
            <w:hideMark/>
          </w:tcPr>
          <w:p w:rsidR="004B2FB5" w:rsidRPr="004B2FB5" w:rsidRDefault="004B2FB5" w:rsidP="004B2FB5">
            <w:pPr>
              <w:ind w:firstLineChars="100" w:firstLine="201"/>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737</w:t>
            </w:r>
          </w:p>
        </w:tc>
        <w:tc>
          <w:tcPr>
            <w:tcW w:w="977" w:type="dxa"/>
            <w:tcBorders>
              <w:top w:val="nil"/>
              <w:left w:val="nil"/>
              <w:bottom w:val="single" w:sz="4" w:space="0" w:color="auto"/>
              <w:right w:val="single" w:sz="4" w:space="0" w:color="auto"/>
            </w:tcBorders>
            <w:shd w:val="clear" w:color="auto" w:fill="D9D9D9" w:themeFill="background1" w:themeFillShade="D9"/>
            <w:noWrap/>
            <w:vAlign w:val="bottom"/>
            <w:hideMark/>
          </w:tcPr>
          <w:p w:rsidR="004B2FB5" w:rsidRPr="004B2FB5" w:rsidRDefault="004B2FB5" w:rsidP="004B2FB5">
            <w:pPr>
              <w:ind w:firstLineChars="100" w:firstLine="201"/>
              <w:jc w:val="center"/>
              <w:rPr>
                <w:rFonts w:asciiTheme="minorHAnsi" w:eastAsia="Times New Roman" w:hAnsiTheme="minorHAnsi" w:cs="Arial"/>
                <w:b/>
                <w:bCs/>
                <w:sz w:val="20"/>
                <w:szCs w:val="20"/>
                <w:lang w:eastAsia="sk-SK"/>
              </w:rPr>
            </w:pPr>
            <w:r w:rsidRPr="004B2FB5">
              <w:rPr>
                <w:rFonts w:asciiTheme="minorHAnsi" w:eastAsia="Times New Roman" w:hAnsiTheme="minorHAnsi" w:cs="Arial"/>
                <w:b/>
                <w:bCs/>
                <w:sz w:val="20"/>
                <w:szCs w:val="20"/>
                <w:lang w:eastAsia="sk-SK"/>
              </w:rPr>
              <w:t>846</w:t>
            </w:r>
          </w:p>
        </w:tc>
      </w:tr>
    </w:tbl>
    <w:p w:rsidR="004B2FB5" w:rsidRPr="004B2FB5" w:rsidRDefault="004B2FB5" w:rsidP="004B2FB5">
      <w:pPr>
        <w:rPr>
          <w:rFonts w:asciiTheme="minorHAnsi" w:hAnsiTheme="minorHAnsi" w:cs="Calibri"/>
          <w:sz w:val="20"/>
          <w:szCs w:val="20"/>
        </w:rPr>
      </w:pPr>
    </w:p>
    <w:p w:rsidR="00755BF6" w:rsidRDefault="00755BF6" w:rsidP="004B2FB5">
      <w:pPr>
        <w:tabs>
          <w:tab w:val="left" w:pos="8080"/>
        </w:tabs>
        <w:ind w:right="-284"/>
        <w:rPr>
          <w:rFonts w:asciiTheme="minorHAnsi" w:hAnsiTheme="minorHAnsi" w:cs="Calibri"/>
          <w:b/>
          <w:sz w:val="20"/>
          <w:szCs w:val="20"/>
          <w:shd w:val="clear" w:color="auto" w:fill="FFFFFF"/>
        </w:rPr>
      </w:pPr>
    </w:p>
    <w:p w:rsidR="00C76F56" w:rsidRDefault="004B2FB5" w:rsidP="009978E3">
      <w:pPr>
        <w:tabs>
          <w:tab w:val="left" w:pos="8080"/>
        </w:tabs>
        <w:ind w:right="-284"/>
        <w:jc w:val="left"/>
        <w:rPr>
          <w:rFonts w:asciiTheme="minorHAnsi" w:hAnsiTheme="minorHAnsi"/>
          <w:color w:val="FF0000"/>
          <w:sz w:val="20"/>
          <w:szCs w:val="20"/>
        </w:rPr>
      </w:pPr>
      <w:r w:rsidRPr="00B133ED">
        <w:rPr>
          <w:rFonts w:asciiTheme="minorHAnsi" w:hAnsiTheme="minorHAnsi" w:cs="Calibri"/>
          <w:b/>
          <w:sz w:val="20"/>
          <w:szCs w:val="20"/>
          <w:shd w:val="clear" w:color="auto" w:fill="FFFFFF"/>
        </w:rPr>
        <w:lastRenderedPageBreak/>
        <w:t>Graf č.</w:t>
      </w:r>
      <w:r w:rsidR="00B133ED" w:rsidRPr="00B133ED">
        <w:rPr>
          <w:rFonts w:asciiTheme="minorHAnsi" w:hAnsiTheme="minorHAnsi" w:cs="Calibri"/>
          <w:b/>
          <w:sz w:val="20"/>
          <w:szCs w:val="20"/>
          <w:shd w:val="clear" w:color="auto" w:fill="FFFFFF"/>
        </w:rPr>
        <w:t>3.</w:t>
      </w:r>
      <w:r w:rsidRPr="00B133ED">
        <w:rPr>
          <w:rFonts w:asciiTheme="minorHAnsi" w:hAnsiTheme="minorHAnsi" w:cs="Calibri"/>
          <w:b/>
          <w:sz w:val="20"/>
          <w:szCs w:val="20"/>
          <w:shd w:val="clear" w:color="auto" w:fill="FFFFFF"/>
        </w:rPr>
        <w:t xml:space="preserve">16:  Kvantitatívny prehľad ŠVOČ na STU </w:t>
      </w:r>
      <w:r w:rsidRPr="00B133ED">
        <w:rPr>
          <w:rFonts w:asciiTheme="minorHAnsi" w:hAnsiTheme="minorHAnsi" w:cs="Calibri"/>
          <w:b/>
          <w:sz w:val="20"/>
          <w:szCs w:val="20"/>
        </w:rPr>
        <w:t>v rokoch 2010/2011 až 2012/2013</w:t>
      </w:r>
      <w:r w:rsidRPr="004B2FB5">
        <w:rPr>
          <w:rFonts w:asciiTheme="minorHAnsi" w:hAnsiTheme="minorHAnsi"/>
          <w:noProof/>
          <w:sz w:val="20"/>
          <w:szCs w:val="20"/>
          <w:lang w:eastAsia="sk-SK"/>
        </w:rPr>
        <w:drawing>
          <wp:inline distT="0" distB="0" distL="0" distR="0" wp14:anchorId="6F99181C" wp14:editId="5F3ECC40">
            <wp:extent cx="4324350" cy="240982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76F56" w:rsidRDefault="00C76F56">
      <w:pPr>
        <w:spacing w:after="200" w:line="276" w:lineRule="auto"/>
        <w:jc w:val="left"/>
        <w:rPr>
          <w:rFonts w:asciiTheme="minorHAnsi" w:hAnsiTheme="minorHAnsi"/>
          <w:color w:val="FF0000"/>
          <w:sz w:val="20"/>
          <w:szCs w:val="20"/>
        </w:rPr>
      </w:pPr>
      <w:r>
        <w:rPr>
          <w:rFonts w:asciiTheme="minorHAnsi" w:hAnsiTheme="minorHAnsi"/>
          <w:color w:val="FF0000"/>
          <w:sz w:val="20"/>
          <w:szCs w:val="20"/>
        </w:rPr>
        <w:br w:type="page"/>
      </w:r>
    </w:p>
    <w:p w:rsidR="004B2FB5" w:rsidRPr="004B2FB5" w:rsidRDefault="004B2FB5" w:rsidP="004B2FB5">
      <w:pPr>
        <w:spacing w:after="200" w:line="276" w:lineRule="auto"/>
        <w:jc w:val="left"/>
        <w:rPr>
          <w:rFonts w:asciiTheme="minorHAnsi" w:hAnsiTheme="minorHAnsi"/>
          <w:color w:val="FF0000"/>
          <w:sz w:val="20"/>
          <w:szCs w:val="20"/>
        </w:rPr>
      </w:pPr>
    </w:p>
    <w:p w:rsidR="00B51749" w:rsidRPr="004B2FB5" w:rsidRDefault="00B51749" w:rsidP="00B51749">
      <w:pPr>
        <w:rPr>
          <w:rFonts w:asciiTheme="minorHAnsi" w:hAnsiTheme="minorHAnsi"/>
          <w:color w:val="FF0000"/>
          <w:sz w:val="20"/>
          <w:szCs w:val="20"/>
        </w:rPr>
      </w:pPr>
    </w:p>
    <w:p w:rsidR="00146B28" w:rsidRPr="00704E32" w:rsidRDefault="00146B28" w:rsidP="00704E32">
      <w:pPr>
        <w:pStyle w:val="Nadpis1"/>
        <w:rPr>
          <w:rFonts w:asciiTheme="minorHAnsi" w:hAnsiTheme="minorHAnsi"/>
          <w:sz w:val="24"/>
          <w:szCs w:val="24"/>
          <w:shd w:val="clear" w:color="auto" w:fill="FFFFFF"/>
        </w:rPr>
      </w:pPr>
      <w:bookmarkStart w:id="24" w:name="_Toc448261566"/>
      <w:r w:rsidRPr="00704E32">
        <w:rPr>
          <w:rFonts w:asciiTheme="minorHAnsi" w:hAnsiTheme="minorHAnsi"/>
          <w:sz w:val="24"/>
          <w:szCs w:val="24"/>
          <w:shd w:val="clear" w:color="auto" w:fill="FFFFFF"/>
        </w:rPr>
        <w:t>Informácie o poskytovaní ďalšieho vzdelávania</w:t>
      </w:r>
      <w:bookmarkEnd w:id="24"/>
      <w:r w:rsidRPr="00704E32">
        <w:rPr>
          <w:rFonts w:asciiTheme="minorHAnsi" w:hAnsiTheme="minorHAnsi"/>
          <w:sz w:val="24"/>
          <w:szCs w:val="24"/>
          <w:shd w:val="clear" w:color="auto" w:fill="FFFFFF"/>
        </w:rPr>
        <w:t xml:space="preserve"> </w:t>
      </w:r>
    </w:p>
    <w:p w:rsidR="00146B28" w:rsidRPr="00704E32" w:rsidRDefault="00146B28" w:rsidP="00CA002A">
      <w:pPr>
        <w:rPr>
          <w:rFonts w:asciiTheme="minorHAnsi" w:hAnsiTheme="minorHAnsi" w:cs="Calibri"/>
        </w:rPr>
      </w:pPr>
      <w:r w:rsidRPr="00704E32">
        <w:rPr>
          <w:rFonts w:asciiTheme="minorHAnsi" w:hAnsiTheme="minorHAnsi" w:cs="Calibri"/>
        </w:rPr>
        <w:t>Ďalšie vzdelávanie na STU je poskytované na jednotlivých súčastiach STU a osobitne na Inštitúte celoživotného vzdelávania STU (ICV), ktorý je špecializovaným pracoviskom univerzity zaoberajúci sa ďalším vzdelávaním.</w:t>
      </w:r>
    </w:p>
    <w:p w:rsidR="00146B28" w:rsidRPr="00704E32" w:rsidRDefault="00146B28" w:rsidP="00CA002A">
      <w:pPr>
        <w:rPr>
          <w:rFonts w:asciiTheme="minorHAnsi" w:hAnsiTheme="minorHAnsi" w:cs="Calibri"/>
        </w:rPr>
      </w:pPr>
      <w:r w:rsidRPr="00704E32">
        <w:rPr>
          <w:rFonts w:asciiTheme="minorHAnsi" w:hAnsiTheme="minorHAnsi" w:cs="Calibri"/>
        </w:rPr>
        <w:t xml:space="preserve">V  akad. roku 2014/2015 sa realizovalo celkovo </w:t>
      </w:r>
      <w:r w:rsidRPr="00704E32">
        <w:rPr>
          <w:rFonts w:asciiTheme="minorHAnsi" w:hAnsiTheme="minorHAnsi" w:cs="Calibri"/>
          <w:b/>
        </w:rPr>
        <w:t>145 vzdelávacích programov</w:t>
      </w:r>
      <w:r w:rsidRPr="00704E32">
        <w:rPr>
          <w:rFonts w:asciiTheme="minorHAnsi" w:hAnsiTheme="minorHAnsi" w:cs="Calibri"/>
        </w:rPr>
        <w:t xml:space="preserve"> ďalšieho vzdelávania, ktorých sa zúčastnilo spolu </w:t>
      </w:r>
      <w:r w:rsidRPr="00704E32">
        <w:rPr>
          <w:rFonts w:asciiTheme="minorHAnsi" w:hAnsiTheme="minorHAnsi" w:cs="Calibri"/>
          <w:b/>
        </w:rPr>
        <w:t>3 312 frekventantov</w:t>
      </w:r>
      <w:r w:rsidRPr="00704E32">
        <w:rPr>
          <w:rFonts w:asciiTheme="minorHAnsi" w:hAnsiTheme="minorHAnsi" w:cs="Calibri"/>
        </w:rPr>
        <w:t xml:space="preserve">. Kvantitatívny prehľad ďalšieho vzdelávania na jednotlivých súčastiach STU a osobitne na ICV </w:t>
      </w:r>
      <w:r w:rsidR="00CE307D" w:rsidRPr="00704E32">
        <w:rPr>
          <w:rFonts w:asciiTheme="minorHAnsi" w:hAnsiTheme="minorHAnsi" w:cs="Calibri"/>
        </w:rPr>
        <w:t>je uvedený v t</w:t>
      </w:r>
      <w:r w:rsidRPr="00704E32">
        <w:rPr>
          <w:rFonts w:asciiTheme="minorHAnsi" w:hAnsiTheme="minorHAnsi" w:cs="Calibri"/>
        </w:rPr>
        <w:t>abuľke č. </w:t>
      </w:r>
      <w:r w:rsidR="00CE307D" w:rsidRPr="00704E32">
        <w:rPr>
          <w:rFonts w:asciiTheme="minorHAnsi" w:hAnsiTheme="minorHAnsi" w:cs="Calibri"/>
        </w:rPr>
        <w:t>3.</w:t>
      </w:r>
      <w:r w:rsidRPr="00704E32">
        <w:rPr>
          <w:rFonts w:asciiTheme="minorHAnsi" w:hAnsiTheme="minorHAnsi" w:cs="Calibri"/>
        </w:rPr>
        <w:t xml:space="preserve">32.  </w:t>
      </w:r>
    </w:p>
    <w:p w:rsidR="00146B28" w:rsidRPr="00704E32" w:rsidRDefault="00146B28" w:rsidP="00146B28">
      <w:pPr>
        <w:rPr>
          <w:rFonts w:asciiTheme="minorHAnsi" w:hAnsiTheme="minorHAnsi" w:cs="Calibri"/>
        </w:rPr>
      </w:pPr>
    </w:p>
    <w:p w:rsidR="00146B28" w:rsidRPr="005E244C" w:rsidRDefault="00146B28" w:rsidP="00146B28">
      <w:pPr>
        <w:rPr>
          <w:rFonts w:asciiTheme="minorHAnsi" w:hAnsiTheme="minorHAnsi" w:cs="Calibri"/>
          <w:b/>
          <w:sz w:val="20"/>
          <w:szCs w:val="20"/>
        </w:rPr>
      </w:pPr>
      <w:r w:rsidRPr="005E244C">
        <w:rPr>
          <w:rFonts w:asciiTheme="minorHAnsi" w:hAnsiTheme="minorHAnsi" w:cs="Calibri"/>
          <w:b/>
          <w:sz w:val="20"/>
          <w:szCs w:val="20"/>
        </w:rPr>
        <w:t xml:space="preserve">Tabuľka č. </w:t>
      </w:r>
      <w:r w:rsidR="00CE307D" w:rsidRPr="005E244C">
        <w:rPr>
          <w:rFonts w:asciiTheme="minorHAnsi" w:hAnsiTheme="minorHAnsi" w:cs="Calibri"/>
          <w:b/>
          <w:sz w:val="20"/>
          <w:szCs w:val="20"/>
        </w:rPr>
        <w:t>3.32</w:t>
      </w:r>
      <w:r w:rsidRPr="005E244C">
        <w:rPr>
          <w:rFonts w:asciiTheme="minorHAnsi" w:hAnsiTheme="minorHAnsi" w:cs="Calibri"/>
          <w:b/>
          <w:sz w:val="20"/>
          <w:szCs w:val="20"/>
        </w:rPr>
        <w:t>:</w:t>
      </w:r>
      <w:r w:rsidR="00CE307D" w:rsidRPr="005E244C">
        <w:rPr>
          <w:rFonts w:asciiTheme="minorHAnsi" w:hAnsiTheme="minorHAnsi" w:cs="Calibri"/>
          <w:b/>
          <w:sz w:val="20"/>
          <w:szCs w:val="20"/>
        </w:rPr>
        <w:t xml:space="preserve"> </w:t>
      </w:r>
      <w:r w:rsidRPr="005E244C">
        <w:rPr>
          <w:rFonts w:asciiTheme="minorHAnsi" w:hAnsiTheme="minorHAnsi" w:cs="Calibri"/>
          <w:b/>
          <w:sz w:val="20"/>
          <w:szCs w:val="20"/>
        </w:rPr>
        <w:t>Kvantitatívny prehľad uskutočnených vzdelávacích programov ďalšieho vzdelávania na STU za akad. rok 2014/2015</w:t>
      </w:r>
    </w:p>
    <w:tbl>
      <w:tblPr>
        <w:tblW w:w="9260" w:type="dxa"/>
        <w:tblInd w:w="55" w:type="dxa"/>
        <w:tblCellMar>
          <w:left w:w="70" w:type="dxa"/>
          <w:right w:w="70" w:type="dxa"/>
        </w:tblCellMar>
        <w:tblLook w:val="04A0" w:firstRow="1" w:lastRow="0" w:firstColumn="1" w:lastColumn="0" w:noHBand="0" w:noVBand="1"/>
      </w:tblPr>
      <w:tblGrid>
        <w:gridCol w:w="503"/>
        <w:gridCol w:w="1517"/>
        <w:gridCol w:w="700"/>
        <w:gridCol w:w="700"/>
        <w:gridCol w:w="700"/>
        <w:gridCol w:w="760"/>
        <w:gridCol w:w="700"/>
        <w:gridCol w:w="700"/>
        <w:gridCol w:w="700"/>
        <w:gridCol w:w="700"/>
        <w:gridCol w:w="760"/>
        <w:gridCol w:w="820"/>
      </w:tblGrid>
      <w:tr w:rsidR="00146B28" w:rsidRPr="005E244C" w:rsidTr="00CE307D">
        <w:trPr>
          <w:trHeight w:val="375"/>
        </w:trPr>
        <w:tc>
          <w:tcPr>
            <w:tcW w:w="2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SvF</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SjF</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FEI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FCHPT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FA</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MTF</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FIIT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ÚM</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ICV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STU</w:t>
            </w:r>
          </w:p>
        </w:tc>
      </w:tr>
      <w:tr w:rsidR="00146B28" w:rsidRPr="005E244C" w:rsidTr="00CE307D">
        <w:trPr>
          <w:cantSplit/>
          <w:trHeight w:val="620"/>
        </w:trPr>
        <w:tc>
          <w:tcPr>
            <w:tcW w:w="50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46B28" w:rsidRPr="005E244C" w:rsidRDefault="00146B28" w:rsidP="00CE307D">
            <w:pPr>
              <w:jc w:val="center"/>
              <w:rPr>
                <w:rFonts w:asciiTheme="minorHAnsi" w:eastAsia="Times New Roman" w:hAnsiTheme="minorHAnsi" w:cs="Arial"/>
                <w:b/>
                <w:bCs/>
                <w:sz w:val="20"/>
                <w:szCs w:val="20"/>
                <w:lang w:eastAsia="sk-SK"/>
              </w:rPr>
            </w:pPr>
            <w:r w:rsidRPr="005E244C">
              <w:rPr>
                <w:rFonts w:asciiTheme="minorHAnsi" w:eastAsia="Times New Roman" w:hAnsiTheme="minorHAnsi" w:cs="Arial"/>
                <w:b/>
                <w:bCs/>
                <w:sz w:val="20"/>
                <w:szCs w:val="20"/>
                <w:lang w:eastAsia="sk-SK"/>
              </w:rPr>
              <w:t xml:space="preserve">neakreditované </w:t>
            </w:r>
          </w:p>
        </w:tc>
        <w:tc>
          <w:tcPr>
            <w:tcW w:w="1517" w:type="dxa"/>
            <w:tcBorders>
              <w:top w:val="nil"/>
              <w:left w:val="nil"/>
              <w:bottom w:val="single" w:sz="4" w:space="0" w:color="auto"/>
              <w:right w:val="single" w:sz="4" w:space="0" w:color="auto"/>
            </w:tcBorders>
            <w:shd w:val="clear" w:color="auto" w:fill="auto"/>
            <w:vAlign w:val="center"/>
            <w:hideMark/>
          </w:tcPr>
          <w:p w:rsidR="00146B28" w:rsidRPr="005E244C" w:rsidRDefault="00146B28" w:rsidP="00CE307D">
            <w:pP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Počet frekventantov</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171</w:t>
            </w:r>
          </w:p>
        </w:tc>
        <w:tc>
          <w:tcPr>
            <w:tcW w:w="700" w:type="dxa"/>
            <w:tcBorders>
              <w:top w:val="nil"/>
              <w:left w:val="nil"/>
              <w:bottom w:val="single" w:sz="4" w:space="0" w:color="auto"/>
              <w:right w:val="single" w:sz="4" w:space="0" w:color="auto"/>
            </w:tcBorders>
            <w:shd w:val="clear" w:color="000000" w:fill="FFFFFF"/>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34</w:t>
            </w:r>
          </w:p>
        </w:tc>
        <w:tc>
          <w:tcPr>
            <w:tcW w:w="76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1 264</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141</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192</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89</w:t>
            </w:r>
          </w:p>
        </w:tc>
        <w:tc>
          <w:tcPr>
            <w:tcW w:w="700" w:type="dxa"/>
            <w:tcBorders>
              <w:top w:val="nil"/>
              <w:left w:val="nil"/>
              <w:bottom w:val="nil"/>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6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950</w:t>
            </w:r>
          </w:p>
        </w:tc>
        <w:tc>
          <w:tcPr>
            <w:tcW w:w="82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hAnsiTheme="minorHAnsi" w:cs="Arial"/>
                <w:sz w:val="20"/>
                <w:szCs w:val="20"/>
              </w:rPr>
            </w:pPr>
            <w:r w:rsidRPr="005E244C">
              <w:rPr>
                <w:rFonts w:asciiTheme="minorHAnsi" w:hAnsiTheme="minorHAnsi" w:cs="Arial"/>
                <w:sz w:val="20"/>
                <w:szCs w:val="20"/>
              </w:rPr>
              <w:t>2 841</w:t>
            </w:r>
          </w:p>
        </w:tc>
      </w:tr>
      <w:tr w:rsidR="00146B28" w:rsidRPr="005E244C" w:rsidTr="00CE307D">
        <w:trPr>
          <w:cantSplit/>
          <w:trHeight w:val="620"/>
        </w:trPr>
        <w:tc>
          <w:tcPr>
            <w:tcW w:w="503" w:type="dxa"/>
            <w:vMerge/>
            <w:tcBorders>
              <w:top w:val="nil"/>
              <w:left w:val="single" w:sz="4" w:space="0" w:color="auto"/>
              <w:bottom w:val="single" w:sz="4" w:space="0" w:color="000000"/>
              <w:right w:val="single" w:sz="4" w:space="0" w:color="auto"/>
            </w:tcBorders>
            <w:vAlign w:val="center"/>
            <w:hideMark/>
          </w:tcPr>
          <w:p w:rsidR="00146B28" w:rsidRPr="005E244C" w:rsidRDefault="00146B28" w:rsidP="00CE307D">
            <w:pPr>
              <w:rPr>
                <w:rFonts w:asciiTheme="minorHAnsi" w:eastAsia="Times New Roman" w:hAnsiTheme="minorHAnsi" w:cs="Arial"/>
                <w:b/>
                <w:bCs/>
                <w:sz w:val="20"/>
                <w:szCs w:val="20"/>
                <w:lang w:eastAsia="sk-SK"/>
              </w:rPr>
            </w:pPr>
          </w:p>
        </w:tc>
        <w:tc>
          <w:tcPr>
            <w:tcW w:w="1517" w:type="dxa"/>
            <w:tcBorders>
              <w:top w:val="nil"/>
              <w:left w:val="nil"/>
              <w:bottom w:val="single" w:sz="4" w:space="0" w:color="auto"/>
              <w:right w:val="single" w:sz="4" w:space="0" w:color="auto"/>
            </w:tcBorders>
            <w:shd w:val="clear" w:color="auto" w:fill="auto"/>
            <w:vAlign w:val="center"/>
            <w:hideMark/>
          </w:tcPr>
          <w:p w:rsidR="00146B28" w:rsidRPr="005E244C" w:rsidRDefault="00146B28" w:rsidP="00CE307D">
            <w:pP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Počet programov</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3</w:t>
            </w:r>
          </w:p>
        </w:tc>
        <w:tc>
          <w:tcPr>
            <w:tcW w:w="76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15</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6</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10</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13</w:t>
            </w:r>
          </w:p>
        </w:tc>
        <w:tc>
          <w:tcPr>
            <w:tcW w:w="700" w:type="dxa"/>
            <w:tcBorders>
              <w:top w:val="single" w:sz="4" w:space="0" w:color="auto"/>
              <w:left w:val="nil"/>
              <w:bottom w:val="nil"/>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6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47</w:t>
            </w:r>
          </w:p>
        </w:tc>
        <w:tc>
          <w:tcPr>
            <w:tcW w:w="82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hAnsiTheme="minorHAnsi" w:cs="Arial"/>
                <w:sz w:val="20"/>
                <w:szCs w:val="20"/>
              </w:rPr>
            </w:pPr>
            <w:r w:rsidRPr="005E244C">
              <w:rPr>
                <w:rFonts w:asciiTheme="minorHAnsi" w:hAnsiTheme="minorHAnsi" w:cs="Arial"/>
                <w:sz w:val="20"/>
                <w:szCs w:val="20"/>
              </w:rPr>
              <w:t>105</w:t>
            </w:r>
          </w:p>
        </w:tc>
      </w:tr>
      <w:tr w:rsidR="00146B28" w:rsidRPr="005E244C" w:rsidTr="00CE307D">
        <w:trPr>
          <w:trHeight w:val="480"/>
        </w:trPr>
        <w:tc>
          <w:tcPr>
            <w:tcW w:w="50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46B28" w:rsidRPr="005E244C" w:rsidRDefault="00146B28" w:rsidP="00CE307D">
            <w:pPr>
              <w:jc w:val="center"/>
              <w:rPr>
                <w:rFonts w:asciiTheme="minorHAnsi" w:eastAsia="Times New Roman" w:hAnsiTheme="minorHAnsi" w:cs="Arial"/>
                <w:b/>
                <w:bCs/>
                <w:sz w:val="20"/>
                <w:szCs w:val="20"/>
                <w:lang w:eastAsia="sk-SK"/>
              </w:rPr>
            </w:pPr>
            <w:r w:rsidRPr="005E244C">
              <w:rPr>
                <w:rFonts w:asciiTheme="minorHAnsi" w:eastAsia="Times New Roman" w:hAnsiTheme="minorHAnsi" w:cs="Arial"/>
                <w:b/>
                <w:bCs/>
                <w:sz w:val="20"/>
                <w:szCs w:val="20"/>
                <w:lang w:eastAsia="sk-SK"/>
              </w:rPr>
              <w:t xml:space="preserve">akreditované </w:t>
            </w:r>
          </w:p>
        </w:tc>
        <w:tc>
          <w:tcPr>
            <w:tcW w:w="1517" w:type="dxa"/>
            <w:tcBorders>
              <w:top w:val="nil"/>
              <w:left w:val="nil"/>
              <w:bottom w:val="single" w:sz="4" w:space="0" w:color="auto"/>
              <w:right w:val="single" w:sz="4" w:space="0" w:color="auto"/>
            </w:tcBorders>
            <w:shd w:val="clear" w:color="auto" w:fill="auto"/>
            <w:vAlign w:val="center"/>
            <w:hideMark/>
          </w:tcPr>
          <w:p w:rsidR="00146B28" w:rsidRPr="005E244C" w:rsidRDefault="00146B28" w:rsidP="00CE307D">
            <w:pP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Počet frekventantov</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131</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00" w:type="dxa"/>
            <w:tcBorders>
              <w:top w:val="nil"/>
              <w:left w:val="nil"/>
              <w:bottom w:val="single" w:sz="4" w:space="0" w:color="auto"/>
              <w:right w:val="single" w:sz="4" w:space="0" w:color="auto"/>
            </w:tcBorders>
            <w:shd w:val="clear" w:color="000000" w:fill="FFFFFF"/>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181</w:t>
            </w:r>
          </w:p>
        </w:tc>
        <w:tc>
          <w:tcPr>
            <w:tcW w:w="76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33</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00" w:type="dxa"/>
            <w:tcBorders>
              <w:top w:val="single" w:sz="4" w:space="0" w:color="auto"/>
              <w:left w:val="nil"/>
              <w:bottom w:val="nil"/>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6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126</w:t>
            </w:r>
          </w:p>
        </w:tc>
        <w:tc>
          <w:tcPr>
            <w:tcW w:w="82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471</w:t>
            </w:r>
          </w:p>
        </w:tc>
      </w:tr>
      <w:tr w:rsidR="00146B28" w:rsidRPr="005E244C" w:rsidTr="00CE307D">
        <w:trPr>
          <w:trHeight w:val="614"/>
        </w:trPr>
        <w:tc>
          <w:tcPr>
            <w:tcW w:w="503" w:type="dxa"/>
            <w:vMerge/>
            <w:tcBorders>
              <w:top w:val="nil"/>
              <w:left w:val="single" w:sz="4" w:space="0" w:color="auto"/>
              <w:bottom w:val="single" w:sz="4" w:space="0" w:color="000000"/>
              <w:right w:val="single" w:sz="4" w:space="0" w:color="auto"/>
            </w:tcBorders>
            <w:vAlign w:val="center"/>
            <w:hideMark/>
          </w:tcPr>
          <w:p w:rsidR="00146B28" w:rsidRPr="005E244C" w:rsidRDefault="00146B28" w:rsidP="00CE307D">
            <w:pPr>
              <w:rPr>
                <w:rFonts w:asciiTheme="minorHAnsi" w:eastAsia="Times New Roman" w:hAnsiTheme="minorHAnsi" w:cs="Arial"/>
                <w:b/>
                <w:bCs/>
                <w:sz w:val="20"/>
                <w:szCs w:val="20"/>
                <w:lang w:eastAsia="sk-SK"/>
              </w:rPr>
            </w:pPr>
          </w:p>
        </w:tc>
        <w:tc>
          <w:tcPr>
            <w:tcW w:w="1517" w:type="dxa"/>
            <w:tcBorders>
              <w:top w:val="nil"/>
              <w:left w:val="nil"/>
              <w:bottom w:val="single" w:sz="4" w:space="0" w:color="auto"/>
              <w:right w:val="single" w:sz="4" w:space="0" w:color="auto"/>
            </w:tcBorders>
            <w:shd w:val="clear" w:color="auto" w:fill="auto"/>
            <w:vAlign w:val="center"/>
            <w:hideMark/>
          </w:tcPr>
          <w:p w:rsidR="00146B28" w:rsidRPr="005E244C" w:rsidRDefault="00146B28" w:rsidP="00CE307D">
            <w:pP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Počet programov</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14</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14</w:t>
            </w:r>
          </w:p>
        </w:tc>
        <w:tc>
          <w:tcPr>
            <w:tcW w:w="76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00" w:type="dxa"/>
            <w:tcBorders>
              <w:top w:val="single" w:sz="4" w:space="0" w:color="auto"/>
              <w:left w:val="nil"/>
              <w:bottom w:val="nil"/>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0</w:t>
            </w:r>
          </w:p>
        </w:tc>
        <w:tc>
          <w:tcPr>
            <w:tcW w:w="76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10</w:t>
            </w:r>
          </w:p>
        </w:tc>
        <w:tc>
          <w:tcPr>
            <w:tcW w:w="820" w:type="dxa"/>
            <w:tcBorders>
              <w:top w:val="nil"/>
              <w:left w:val="nil"/>
              <w:bottom w:val="single" w:sz="4" w:space="0" w:color="auto"/>
              <w:right w:val="single" w:sz="4" w:space="0" w:color="auto"/>
            </w:tcBorders>
            <w:shd w:val="clear" w:color="auto" w:fill="auto"/>
            <w:noWrap/>
            <w:vAlign w:val="center"/>
            <w:hideMark/>
          </w:tcPr>
          <w:p w:rsidR="00146B28" w:rsidRPr="005E244C" w:rsidRDefault="00146B28" w:rsidP="00CE307D">
            <w:pPr>
              <w:jc w:val="center"/>
              <w:rPr>
                <w:rFonts w:asciiTheme="minorHAnsi" w:eastAsia="Times New Roman" w:hAnsiTheme="minorHAnsi" w:cs="Arial"/>
                <w:sz w:val="20"/>
                <w:szCs w:val="20"/>
                <w:lang w:eastAsia="sk-SK"/>
              </w:rPr>
            </w:pPr>
            <w:r w:rsidRPr="005E244C">
              <w:rPr>
                <w:rFonts w:asciiTheme="minorHAnsi" w:eastAsia="Times New Roman" w:hAnsiTheme="minorHAnsi" w:cs="Arial"/>
                <w:sz w:val="20"/>
                <w:szCs w:val="20"/>
                <w:lang w:eastAsia="sk-SK"/>
              </w:rPr>
              <w:t>40</w:t>
            </w:r>
          </w:p>
        </w:tc>
      </w:tr>
      <w:tr w:rsidR="00146B28" w:rsidRPr="005E244C" w:rsidTr="00CE307D">
        <w:trPr>
          <w:trHeight w:val="480"/>
        </w:trPr>
        <w:tc>
          <w:tcPr>
            <w:tcW w:w="503"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textDirection w:val="btLr"/>
            <w:vAlign w:val="center"/>
            <w:hideMark/>
          </w:tcPr>
          <w:p w:rsidR="00146B28" w:rsidRPr="005E244C" w:rsidRDefault="00146B28" w:rsidP="00CE307D">
            <w:pPr>
              <w:jc w:val="center"/>
              <w:rPr>
                <w:rFonts w:asciiTheme="minorHAnsi" w:eastAsia="Times New Roman" w:hAnsiTheme="minorHAnsi" w:cs="Arial"/>
                <w:b/>
                <w:bCs/>
                <w:sz w:val="20"/>
                <w:szCs w:val="20"/>
                <w:lang w:eastAsia="sk-SK"/>
              </w:rPr>
            </w:pPr>
            <w:r w:rsidRPr="005E244C">
              <w:rPr>
                <w:rFonts w:asciiTheme="minorHAnsi" w:eastAsia="Times New Roman" w:hAnsiTheme="minorHAnsi" w:cs="Arial"/>
                <w:b/>
                <w:bCs/>
                <w:sz w:val="20"/>
                <w:szCs w:val="20"/>
                <w:lang w:eastAsia="sk-SK"/>
              </w:rPr>
              <w:t>spolu</w:t>
            </w:r>
          </w:p>
        </w:tc>
        <w:tc>
          <w:tcPr>
            <w:tcW w:w="1517"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Počet frekventantov</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131</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171</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215</w:t>
            </w:r>
          </w:p>
        </w:tc>
        <w:tc>
          <w:tcPr>
            <w:tcW w:w="76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1 297</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141</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192</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89</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0</w:t>
            </w:r>
          </w:p>
        </w:tc>
        <w:tc>
          <w:tcPr>
            <w:tcW w:w="76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1 076</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hAnsiTheme="minorHAnsi" w:cs="Arial"/>
                <w:b/>
                <w:sz w:val="20"/>
                <w:szCs w:val="20"/>
              </w:rPr>
            </w:pPr>
            <w:r w:rsidRPr="005E244C">
              <w:rPr>
                <w:rFonts w:asciiTheme="minorHAnsi" w:hAnsiTheme="minorHAnsi" w:cs="Arial"/>
                <w:b/>
                <w:sz w:val="20"/>
                <w:szCs w:val="20"/>
              </w:rPr>
              <w:t>3 312</w:t>
            </w:r>
          </w:p>
        </w:tc>
      </w:tr>
      <w:tr w:rsidR="00146B28" w:rsidRPr="005E244C" w:rsidTr="00CE307D">
        <w:trPr>
          <w:trHeight w:val="480"/>
        </w:trPr>
        <w:tc>
          <w:tcPr>
            <w:tcW w:w="503"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46B28" w:rsidRPr="005E244C" w:rsidRDefault="00146B28" w:rsidP="00CE307D">
            <w:pPr>
              <w:rPr>
                <w:rFonts w:asciiTheme="minorHAnsi" w:eastAsia="Times New Roman" w:hAnsiTheme="minorHAnsi" w:cs="Arial"/>
                <w:b/>
                <w:bCs/>
                <w:sz w:val="20"/>
                <w:szCs w:val="20"/>
                <w:lang w:eastAsia="sk-SK"/>
              </w:rPr>
            </w:pPr>
          </w:p>
        </w:tc>
        <w:tc>
          <w:tcPr>
            <w:tcW w:w="1517" w:type="dxa"/>
            <w:tcBorders>
              <w:top w:val="nil"/>
              <w:left w:val="nil"/>
              <w:bottom w:val="single" w:sz="4" w:space="0" w:color="auto"/>
              <w:right w:val="single" w:sz="4" w:space="0" w:color="auto"/>
            </w:tcBorders>
            <w:shd w:val="clear" w:color="auto" w:fill="D9D9D9" w:themeFill="background1" w:themeFillShade="D9"/>
            <w:vAlign w:val="center"/>
            <w:hideMark/>
          </w:tcPr>
          <w:p w:rsidR="00146B28" w:rsidRPr="005E244C" w:rsidRDefault="00146B28" w:rsidP="00CE307D">
            <w:pP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Počet programov</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14</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11</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17</w:t>
            </w:r>
          </w:p>
        </w:tc>
        <w:tc>
          <w:tcPr>
            <w:tcW w:w="76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17</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6</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10</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13</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0</w:t>
            </w:r>
          </w:p>
        </w:tc>
        <w:tc>
          <w:tcPr>
            <w:tcW w:w="76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eastAsia="Times New Roman" w:hAnsiTheme="minorHAnsi" w:cs="Arial"/>
                <w:b/>
                <w:sz w:val="20"/>
                <w:szCs w:val="20"/>
                <w:lang w:eastAsia="sk-SK"/>
              </w:rPr>
            </w:pPr>
            <w:r w:rsidRPr="005E244C">
              <w:rPr>
                <w:rFonts w:asciiTheme="minorHAnsi" w:eastAsia="Times New Roman" w:hAnsiTheme="minorHAnsi" w:cs="Arial"/>
                <w:b/>
                <w:sz w:val="20"/>
                <w:szCs w:val="20"/>
                <w:lang w:eastAsia="sk-SK"/>
              </w:rPr>
              <w:t>57</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146B28" w:rsidRPr="005E244C" w:rsidRDefault="00146B28" w:rsidP="00CE307D">
            <w:pPr>
              <w:jc w:val="center"/>
              <w:rPr>
                <w:rFonts w:asciiTheme="minorHAnsi" w:hAnsiTheme="minorHAnsi" w:cs="Arial"/>
                <w:b/>
                <w:sz w:val="20"/>
                <w:szCs w:val="20"/>
              </w:rPr>
            </w:pPr>
            <w:r w:rsidRPr="005E244C">
              <w:rPr>
                <w:rFonts w:asciiTheme="minorHAnsi" w:hAnsiTheme="minorHAnsi" w:cs="Arial"/>
                <w:b/>
                <w:sz w:val="20"/>
                <w:szCs w:val="20"/>
              </w:rPr>
              <w:t>145</w:t>
            </w:r>
          </w:p>
        </w:tc>
      </w:tr>
    </w:tbl>
    <w:p w:rsidR="00CF27C1" w:rsidRPr="002D7A10" w:rsidRDefault="00CF27C1" w:rsidP="00146B28">
      <w:pPr>
        <w:rPr>
          <w:rFonts w:asciiTheme="minorHAnsi" w:hAnsiTheme="minorHAnsi" w:cs="Calibri"/>
        </w:rPr>
      </w:pPr>
    </w:p>
    <w:p w:rsidR="00146B28" w:rsidRPr="002D7A10" w:rsidRDefault="00146B28" w:rsidP="00146B28">
      <w:pPr>
        <w:rPr>
          <w:rFonts w:asciiTheme="minorHAnsi" w:hAnsiTheme="minorHAnsi" w:cs="Calibri"/>
        </w:rPr>
      </w:pPr>
      <w:r w:rsidRPr="002D7A10">
        <w:rPr>
          <w:rFonts w:asciiTheme="minorHAnsi" w:hAnsiTheme="minorHAnsi" w:cs="Calibri"/>
        </w:rPr>
        <w:t>V </w:t>
      </w:r>
      <w:r w:rsidR="00CE307D" w:rsidRPr="002D7A10">
        <w:rPr>
          <w:rFonts w:asciiTheme="minorHAnsi" w:hAnsiTheme="minorHAnsi" w:cs="Calibri"/>
        </w:rPr>
        <w:t>t</w:t>
      </w:r>
      <w:r w:rsidRPr="002D7A10">
        <w:rPr>
          <w:rFonts w:asciiTheme="minorHAnsi" w:hAnsiTheme="minorHAnsi" w:cs="Calibri"/>
        </w:rPr>
        <w:t xml:space="preserve">abuľke č. </w:t>
      </w:r>
      <w:r w:rsidR="00CE307D" w:rsidRPr="002D7A10">
        <w:rPr>
          <w:rFonts w:asciiTheme="minorHAnsi" w:hAnsiTheme="minorHAnsi" w:cs="Calibri"/>
        </w:rPr>
        <w:t>3.</w:t>
      </w:r>
      <w:r w:rsidRPr="002D7A10">
        <w:rPr>
          <w:rFonts w:asciiTheme="minorHAnsi" w:hAnsiTheme="minorHAnsi" w:cs="Calibri"/>
        </w:rPr>
        <w:t>33 a v </w:t>
      </w:r>
      <w:r w:rsidR="00CE307D" w:rsidRPr="002D7A10">
        <w:rPr>
          <w:rFonts w:asciiTheme="minorHAnsi" w:hAnsiTheme="minorHAnsi" w:cs="Calibri"/>
        </w:rPr>
        <w:t>g</w:t>
      </w:r>
      <w:r w:rsidRPr="002D7A10">
        <w:rPr>
          <w:rFonts w:asciiTheme="minorHAnsi" w:hAnsiTheme="minorHAnsi" w:cs="Calibri"/>
        </w:rPr>
        <w:t>rafe č.</w:t>
      </w:r>
      <w:r w:rsidR="00CE307D" w:rsidRPr="002D7A10">
        <w:rPr>
          <w:rFonts w:asciiTheme="minorHAnsi" w:hAnsiTheme="minorHAnsi" w:cs="Calibri"/>
        </w:rPr>
        <w:t>3.</w:t>
      </w:r>
      <w:r w:rsidRPr="002D7A10">
        <w:rPr>
          <w:rFonts w:asciiTheme="minorHAnsi" w:hAnsiTheme="minorHAnsi" w:cs="Calibri"/>
        </w:rPr>
        <w:t xml:space="preserve">17 je uvedený pre porovnanie prehľad aktivít ďalšieho vzdelávania na STU za posledných päť rokov. </w:t>
      </w:r>
    </w:p>
    <w:p w:rsidR="00146B28" w:rsidRPr="00755BF6" w:rsidRDefault="00146B28" w:rsidP="00146B28">
      <w:pPr>
        <w:rPr>
          <w:rFonts w:asciiTheme="minorHAnsi" w:hAnsiTheme="minorHAnsi" w:cs="Calibri"/>
          <w:sz w:val="20"/>
          <w:szCs w:val="20"/>
        </w:rPr>
      </w:pPr>
    </w:p>
    <w:p w:rsidR="00B20749" w:rsidRPr="00B26015" w:rsidRDefault="00146B28" w:rsidP="00B20749">
      <w:pPr>
        <w:rPr>
          <w:rFonts w:asciiTheme="minorHAnsi" w:hAnsiTheme="minorHAnsi" w:cs="Calibri"/>
          <w:sz w:val="20"/>
          <w:szCs w:val="20"/>
        </w:rPr>
      </w:pPr>
      <w:r w:rsidRPr="00B20749">
        <w:rPr>
          <w:rFonts w:asciiTheme="minorHAnsi" w:hAnsiTheme="minorHAnsi" w:cs="Calibri"/>
          <w:b/>
          <w:sz w:val="20"/>
          <w:szCs w:val="20"/>
        </w:rPr>
        <w:t xml:space="preserve">Tabuľka. č. </w:t>
      </w:r>
      <w:r w:rsidR="00CE307D" w:rsidRPr="00B20749">
        <w:rPr>
          <w:rFonts w:asciiTheme="minorHAnsi" w:hAnsiTheme="minorHAnsi" w:cs="Calibri"/>
          <w:b/>
          <w:sz w:val="20"/>
          <w:szCs w:val="20"/>
        </w:rPr>
        <w:t>3.</w:t>
      </w:r>
      <w:r w:rsidRPr="00B20749">
        <w:rPr>
          <w:rFonts w:asciiTheme="minorHAnsi" w:hAnsiTheme="minorHAnsi" w:cs="Calibri"/>
          <w:b/>
          <w:sz w:val="20"/>
          <w:szCs w:val="20"/>
        </w:rPr>
        <w:t xml:space="preserve">33: </w:t>
      </w:r>
      <w:r w:rsidRPr="00B26015">
        <w:rPr>
          <w:rFonts w:asciiTheme="minorHAnsi" w:hAnsiTheme="minorHAnsi" w:cs="Calibri"/>
          <w:b/>
          <w:sz w:val="20"/>
          <w:szCs w:val="20"/>
        </w:rPr>
        <w:t>Prehľad vzdelávacích programov ďalšieho vzdelávania na STU za akad. roky 2010/2011 – 2014/2015</w:t>
      </w:r>
      <w:r w:rsidR="00B20749" w:rsidRPr="00B26015">
        <w:rPr>
          <w:rFonts w:asciiTheme="minorHAnsi" w:hAnsiTheme="minorHAnsi" w:cs="Calibri"/>
          <w:sz w:val="20"/>
          <w:szCs w:val="20"/>
        </w:rPr>
        <w:t xml:space="preserve"> </w:t>
      </w:r>
    </w:p>
    <w:tbl>
      <w:tblPr>
        <w:tblW w:w="7747" w:type="dxa"/>
        <w:tblInd w:w="55" w:type="dxa"/>
        <w:tblCellMar>
          <w:left w:w="70" w:type="dxa"/>
          <w:right w:w="70" w:type="dxa"/>
        </w:tblCellMar>
        <w:tblLook w:val="04A0" w:firstRow="1" w:lastRow="0" w:firstColumn="1" w:lastColumn="0" w:noHBand="0" w:noVBand="1"/>
      </w:tblPr>
      <w:tblGrid>
        <w:gridCol w:w="648"/>
        <w:gridCol w:w="1682"/>
        <w:gridCol w:w="1127"/>
        <w:gridCol w:w="1127"/>
        <w:gridCol w:w="1127"/>
        <w:gridCol w:w="1127"/>
        <w:gridCol w:w="1160"/>
      </w:tblGrid>
      <w:tr w:rsidR="00B20749" w:rsidRPr="00B26015" w:rsidTr="00375F6E">
        <w:trPr>
          <w:trHeight w:val="39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B20749" w:rsidRPr="00B26015" w:rsidRDefault="00B20749" w:rsidP="00375F6E">
            <w:pPr>
              <w:jc w:val="center"/>
              <w:rPr>
                <w:rFonts w:asciiTheme="minorHAnsi" w:eastAsia="Times New Roman" w:hAnsiTheme="minorHAnsi" w:cs="Arial"/>
                <w:b/>
                <w:bCs/>
                <w:sz w:val="20"/>
                <w:szCs w:val="20"/>
                <w:lang w:eastAsia="sk-SK"/>
              </w:rPr>
            </w:pPr>
            <w:r w:rsidRPr="00B26015">
              <w:rPr>
                <w:rFonts w:asciiTheme="minorHAnsi" w:eastAsia="Times New Roman" w:hAnsiTheme="minorHAnsi" w:cs="Arial"/>
                <w:b/>
                <w:bCs/>
                <w:sz w:val="20"/>
                <w:szCs w:val="20"/>
                <w:lang w:eastAsia="sk-SK"/>
              </w:rPr>
              <w:t>2010/2011</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B20749" w:rsidRPr="00B26015" w:rsidRDefault="00B20749" w:rsidP="00375F6E">
            <w:pPr>
              <w:jc w:val="center"/>
              <w:rPr>
                <w:rFonts w:asciiTheme="minorHAnsi" w:eastAsia="Times New Roman" w:hAnsiTheme="minorHAnsi" w:cs="Arial"/>
                <w:b/>
                <w:bCs/>
                <w:sz w:val="20"/>
                <w:szCs w:val="20"/>
                <w:lang w:eastAsia="sk-SK"/>
              </w:rPr>
            </w:pPr>
            <w:r w:rsidRPr="00B26015">
              <w:rPr>
                <w:rFonts w:asciiTheme="minorHAnsi" w:eastAsia="Times New Roman" w:hAnsiTheme="minorHAnsi" w:cs="Arial"/>
                <w:b/>
                <w:bCs/>
                <w:sz w:val="20"/>
                <w:szCs w:val="20"/>
                <w:lang w:eastAsia="sk-SK"/>
              </w:rPr>
              <w:t>2011/2012</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B20749" w:rsidRPr="00B26015" w:rsidRDefault="00B20749" w:rsidP="00375F6E">
            <w:pPr>
              <w:jc w:val="center"/>
              <w:rPr>
                <w:rFonts w:asciiTheme="minorHAnsi" w:eastAsia="Times New Roman" w:hAnsiTheme="minorHAnsi" w:cs="Arial"/>
                <w:b/>
                <w:bCs/>
                <w:sz w:val="20"/>
                <w:szCs w:val="20"/>
                <w:lang w:eastAsia="sk-SK"/>
              </w:rPr>
            </w:pPr>
            <w:r w:rsidRPr="00B26015">
              <w:rPr>
                <w:rFonts w:asciiTheme="minorHAnsi" w:eastAsia="Times New Roman" w:hAnsiTheme="minorHAnsi" w:cs="Arial"/>
                <w:b/>
                <w:bCs/>
                <w:sz w:val="20"/>
                <w:szCs w:val="20"/>
                <w:lang w:eastAsia="sk-SK"/>
              </w:rPr>
              <w:t>2012/2013</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B20749" w:rsidRPr="00B26015" w:rsidRDefault="00B20749" w:rsidP="00375F6E">
            <w:pPr>
              <w:jc w:val="center"/>
              <w:rPr>
                <w:rFonts w:asciiTheme="minorHAnsi" w:eastAsia="Times New Roman" w:hAnsiTheme="minorHAnsi" w:cs="Arial"/>
                <w:b/>
                <w:bCs/>
                <w:sz w:val="20"/>
                <w:szCs w:val="20"/>
                <w:lang w:eastAsia="sk-SK"/>
              </w:rPr>
            </w:pPr>
            <w:r w:rsidRPr="00B26015">
              <w:rPr>
                <w:rFonts w:asciiTheme="minorHAnsi" w:eastAsia="Times New Roman" w:hAnsiTheme="minorHAnsi" w:cs="Arial"/>
                <w:b/>
                <w:bCs/>
                <w:sz w:val="20"/>
                <w:szCs w:val="20"/>
                <w:lang w:eastAsia="sk-SK"/>
              </w:rPr>
              <w:t>2013/2014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B20749" w:rsidRPr="00B26015" w:rsidRDefault="00B20749" w:rsidP="00375F6E">
            <w:pPr>
              <w:jc w:val="center"/>
              <w:rPr>
                <w:rFonts w:asciiTheme="minorHAnsi" w:eastAsia="Times New Roman" w:hAnsiTheme="minorHAnsi" w:cs="Arial"/>
                <w:b/>
                <w:bCs/>
                <w:sz w:val="20"/>
                <w:szCs w:val="20"/>
                <w:lang w:eastAsia="sk-SK"/>
              </w:rPr>
            </w:pPr>
            <w:r w:rsidRPr="00B26015">
              <w:rPr>
                <w:rFonts w:asciiTheme="minorHAnsi" w:eastAsia="Times New Roman" w:hAnsiTheme="minorHAnsi" w:cs="Arial"/>
                <w:b/>
                <w:bCs/>
                <w:sz w:val="20"/>
                <w:szCs w:val="20"/>
                <w:lang w:eastAsia="sk-SK"/>
              </w:rPr>
              <w:t>2014/2015</w:t>
            </w:r>
          </w:p>
        </w:tc>
      </w:tr>
      <w:tr w:rsidR="00B20749" w:rsidRPr="00B26015" w:rsidTr="00375F6E">
        <w:trPr>
          <w:trHeight w:val="510"/>
        </w:trPr>
        <w:tc>
          <w:tcPr>
            <w:tcW w:w="3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0749" w:rsidRPr="00B26015" w:rsidRDefault="00CA002A" w:rsidP="00375F6E">
            <w:pPr>
              <w:jc w:val="center"/>
              <w:rPr>
                <w:rFonts w:asciiTheme="minorHAnsi" w:eastAsia="Times New Roman" w:hAnsiTheme="minorHAnsi" w:cs="Arial"/>
                <w:b/>
                <w:bCs/>
                <w:sz w:val="20"/>
                <w:szCs w:val="20"/>
                <w:lang w:eastAsia="sk-SK"/>
              </w:rPr>
            </w:pPr>
            <w:proofErr w:type="spellStart"/>
            <w:r w:rsidRPr="00B26015">
              <w:rPr>
                <w:rFonts w:asciiTheme="minorHAnsi" w:eastAsia="Times New Roman" w:hAnsiTheme="minorHAnsi" w:cs="Arial"/>
                <w:b/>
                <w:bCs/>
                <w:sz w:val="20"/>
                <w:szCs w:val="20"/>
                <w:lang w:eastAsia="sk-SK"/>
              </w:rPr>
              <w:t>N</w:t>
            </w:r>
            <w:r w:rsidR="00B20749" w:rsidRPr="00B26015">
              <w:rPr>
                <w:rFonts w:asciiTheme="minorHAnsi" w:eastAsia="Times New Roman" w:hAnsiTheme="minorHAnsi" w:cs="Arial"/>
                <w:b/>
                <w:bCs/>
                <w:sz w:val="20"/>
                <w:szCs w:val="20"/>
                <w:lang w:eastAsia="sk-SK"/>
              </w:rPr>
              <w:t>eakredi</w:t>
            </w:r>
            <w:r w:rsidRPr="00B26015">
              <w:rPr>
                <w:rFonts w:asciiTheme="minorHAnsi" w:eastAsia="Times New Roman" w:hAnsiTheme="minorHAnsi" w:cs="Arial"/>
                <w:b/>
                <w:bCs/>
                <w:sz w:val="20"/>
                <w:szCs w:val="20"/>
                <w:lang w:eastAsia="sk-SK"/>
              </w:rPr>
              <w:t>-</w:t>
            </w:r>
            <w:r w:rsidR="00B20749" w:rsidRPr="00B26015">
              <w:rPr>
                <w:rFonts w:asciiTheme="minorHAnsi" w:eastAsia="Times New Roman" w:hAnsiTheme="minorHAnsi" w:cs="Arial"/>
                <w:b/>
                <w:bCs/>
                <w:sz w:val="20"/>
                <w:szCs w:val="20"/>
                <w:lang w:eastAsia="sk-SK"/>
              </w:rPr>
              <w:t>tované</w:t>
            </w:r>
            <w:proofErr w:type="spellEnd"/>
            <w:r w:rsidR="00B20749" w:rsidRPr="00B26015">
              <w:rPr>
                <w:rFonts w:asciiTheme="minorHAnsi" w:eastAsia="Times New Roman" w:hAnsiTheme="minorHAnsi" w:cs="Arial"/>
                <w:b/>
                <w:bCs/>
                <w:sz w:val="20"/>
                <w:szCs w:val="20"/>
                <w:lang w:eastAsia="sk-SK"/>
              </w:rPr>
              <w:t xml:space="preserve"> </w:t>
            </w:r>
          </w:p>
        </w:tc>
        <w:tc>
          <w:tcPr>
            <w:tcW w:w="1682" w:type="dxa"/>
            <w:tcBorders>
              <w:top w:val="nil"/>
              <w:left w:val="nil"/>
              <w:bottom w:val="single" w:sz="4" w:space="0" w:color="auto"/>
              <w:right w:val="single" w:sz="4" w:space="0" w:color="auto"/>
            </w:tcBorders>
            <w:shd w:val="clear" w:color="auto" w:fill="auto"/>
            <w:vAlign w:val="center"/>
            <w:hideMark/>
          </w:tcPr>
          <w:p w:rsidR="00B20749" w:rsidRPr="00B26015" w:rsidRDefault="00B20749" w:rsidP="00375F6E">
            <w:pP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Počet frekventantov</w:t>
            </w:r>
          </w:p>
        </w:tc>
        <w:tc>
          <w:tcPr>
            <w:tcW w:w="1127" w:type="dxa"/>
            <w:tcBorders>
              <w:top w:val="nil"/>
              <w:left w:val="nil"/>
              <w:bottom w:val="single" w:sz="4" w:space="0" w:color="auto"/>
              <w:right w:val="single" w:sz="4" w:space="0" w:color="auto"/>
            </w:tcBorders>
            <w:shd w:val="clear" w:color="auto" w:fill="auto"/>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3 189</w:t>
            </w:r>
          </w:p>
        </w:tc>
        <w:tc>
          <w:tcPr>
            <w:tcW w:w="1127"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3 668</w:t>
            </w:r>
          </w:p>
        </w:tc>
        <w:tc>
          <w:tcPr>
            <w:tcW w:w="1127"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4 227</w:t>
            </w:r>
          </w:p>
        </w:tc>
        <w:tc>
          <w:tcPr>
            <w:tcW w:w="1127"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3 550</w:t>
            </w:r>
          </w:p>
        </w:tc>
        <w:tc>
          <w:tcPr>
            <w:tcW w:w="1160"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hAnsiTheme="minorHAnsi" w:cs="Arial"/>
                <w:sz w:val="20"/>
                <w:szCs w:val="20"/>
              </w:rPr>
            </w:pPr>
            <w:r w:rsidRPr="00B26015">
              <w:rPr>
                <w:rFonts w:asciiTheme="minorHAnsi" w:hAnsiTheme="minorHAnsi" w:cs="Arial"/>
                <w:sz w:val="20"/>
                <w:szCs w:val="20"/>
              </w:rPr>
              <w:t>2 841</w:t>
            </w:r>
          </w:p>
        </w:tc>
      </w:tr>
      <w:tr w:rsidR="00B20749" w:rsidRPr="00B26015" w:rsidTr="00CA002A">
        <w:trPr>
          <w:trHeight w:val="455"/>
        </w:trPr>
        <w:tc>
          <w:tcPr>
            <w:tcW w:w="397" w:type="dxa"/>
            <w:vMerge/>
            <w:tcBorders>
              <w:top w:val="nil"/>
              <w:left w:val="single" w:sz="4" w:space="0" w:color="auto"/>
              <w:bottom w:val="single" w:sz="4" w:space="0" w:color="auto"/>
              <w:right w:val="single" w:sz="4" w:space="0" w:color="auto"/>
            </w:tcBorders>
            <w:vAlign w:val="center"/>
            <w:hideMark/>
          </w:tcPr>
          <w:p w:rsidR="00B20749" w:rsidRPr="00B26015" w:rsidRDefault="00B20749" w:rsidP="00375F6E">
            <w:pPr>
              <w:rPr>
                <w:rFonts w:asciiTheme="minorHAnsi" w:eastAsia="Times New Roman" w:hAnsiTheme="minorHAnsi" w:cs="Arial"/>
                <w:b/>
                <w:bCs/>
                <w:sz w:val="20"/>
                <w:szCs w:val="20"/>
                <w:lang w:eastAsia="sk-SK"/>
              </w:rPr>
            </w:pPr>
          </w:p>
        </w:tc>
        <w:tc>
          <w:tcPr>
            <w:tcW w:w="1682" w:type="dxa"/>
            <w:tcBorders>
              <w:top w:val="nil"/>
              <w:left w:val="nil"/>
              <w:bottom w:val="single" w:sz="4" w:space="0" w:color="auto"/>
              <w:right w:val="single" w:sz="4" w:space="0" w:color="auto"/>
            </w:tcBorders>
            <w:shd w:val="clear" w:color="auto" w:fill="auto"/>
            <w:vAlign w:val="center"/>
            <w:hideMark/>
          </w:tcPr>
          <w:p w:rsidR="00B20749" w:rsidRPr="00B26015" w:rsidRDefault="00B20749" w:rsidP="00375F6E">
            <w:pP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Počet programov</w:t>
            </w:r>
          </w:p>
        </w:tc>
        <w:tc>
          <w:tcPr>
            <w:tcW w:w="1127" w:type="dxa"/>
            <w:tcBorders>
              <w:top w:val="nil"/>
              <w:left w:val="nil"/>
              <w:bottom w:val="single" w:sz="4" w:space="0" w:color="auto"/>
              <w:right w:val="single" w:sz="4" w:space="0" w:color="auto"/>
            </w:tcBorders>
            <w:shd w:val="clear" w:color="auto" w:fill="auto"/>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169</w:t>
            </w:r>
          </w:p>
        </w:tc>
        <w:tc>
          <w:tcPr>
            <w:tcW w:w="1127"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166</w:t>
            </w:r>
          </w:p>
        </w:tc>
        <w:tc>
          <w:tcPr>
            <w:tcW w:w="1127"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79</w:t>
            </w:r>
          </w:p>
        </w:tc>
        <w:tc>
          <w:tcPr>
            <w:tcW w:w="1127"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135</w:t>
            </w:r>
          </w:p>
        </w:tc>
        <w:tc>
          <w:tcPr>
            <w:tcW w:w="1160"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hAnsiTheme="minorHAnsi" w:cs="Arial"/>
                <w:sz w:val="20"/>
                <w:szCs w:val="20"/>
              </w:rPr>
            </w:pPr>
            <w:r w:rsidRPr="00B26015">
              <w:rPr>
                <w:rFonts w:asciiTheme="minorHAnsi" w:hAnsiTheme="minorHAnsi" w:cs="Arial"/>
                <w:sz w:val="20"/>
                <w:szCs w:val="20"/>
              </w:rPr>
              <w:t>105</w:t>
            </w:r>
          </w:p>
        </w:tc>
      </w:tr>
      <w:tr w:rsidR="00B20749" w:rsidRPr="00B26015" w:rsidTr="00375F6E">
        <w:trPr>
          <w:trHeight w:val="510"/>
        </w:trPr>
        <w:tc>
          <w:tcPr>
            <w:tcW w:w="3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A002A" w:rsidRPr="00B26015" w:rsidRDefault="00CA002A" w:rsidP="00375F6E">
            <w:pPr>
              <w:jc w:val="center"/>
              <w:rPr>
                <w:rFonts w:asciiTheme="minorHAnsi" w:eastAsia="Times New Roman" w:hAnsiTheme="minorHAnsi" w:cs="Arial"/>
                <w:b/>
                <w:bCs/>
                <w:sz w:val="20"/>
                <w:szCs w:val="20"/>
                <w:lang w:eastAsia="sk-SK"/>
              </w:rPr>
            </w:pPr>
            <w:proofErr w:type="spellStart"/>
            <w:r w:rsidRPr="00B26015">
              <w:rPr>
                <w:rFonts w:asciiTheme="minorHAnsi" w:eastAsia="Times New Roman" w:hAnsiTheme="minorHAnsi" w:cs="Arial"/>
                <w:b/>
                <w:bCs/>
                <w:sz w:val="20"/>
                <w:szCs w:val="20"/>
                <w:lang w:eastAsia="sk-SK"/>
              </w:rPr>
              <w:t>A</w:t>
            </w:r>
            <w:r w:rsidR="00B20749" w:rsidRPr="00B26015">
              <w:rPr>
                <w:rFonts w:asciiTheme="minorHAnsi" w:eastAsia="Times New Roman" w:hAnsiTheme="minorHAnsi" w:cs="Arial"/>
                <w:b/>
                <w:bCs/>
                <w:sz w:val="20"/>
                <w:szCs w:val="20"/>
                <w:lang w:eastAsia="sk-SK"/>
              </w:rPr>
              <w:t>kredito</w:t>
            </w:r>
            <w:proofErr w:type="spellEnd"/>
            <w:r w:rsidRPr="00B26015">
              <w:rPr>
                <w:rFonts w:asciiTheme="minorHAnsi" w:eastAsia="Times New Roman" w:hAnsiTheme="minorHAnsi" w:cs="Arial"/>
                <w:b/>
                <w:bCs/>
                <w:sz w:val="20"/>
                <w:szCs w:val="20"/>
                <w:lang w:eastAsia="sk-SK"/>
              </w:rPr>
              <w:t>-</w:t>
            </w:r>
          </w:p>
          <w:p w:rsidR="00B20749" w:rsidRPr="00B26015" w:rsidRDefault="00B20749" w:rsidP="00375F6E">
            <w:pPr>
              <w:jc w:val="center"/>
              <w:rPr>
                <w:rFonts w:asciiTheme="minorHAnsi" w:eastAsia="Times New Roman" w:hAnsiTheme="minorHAnsi" w:cs="Arial"/>
                <w:b/>
                <w:bCs/>
                <w:sz w:val="20"/>
                <w:szCs w:val="20"/>
                <w:lang w:eastAsia="sk-SK"/>
              </w:rPr>
            </w:pPr>
            <w:proofErr w:type="spellStart"/>
            <w:r w:rsidRPr="00B26015">
              <w:rPr>
                <w:rFonts w:asciiTheme="minorHAnsi" w:eastAsia="Times New Roman" w:hAnsiTheme="minorHAnsi" w:cs="Arial"/>
                <w:b/>
                <w:bCs/>
                <w:sz w:val="20"/>
                <w:szCs w:val="20"/>
                <w:lang w:eastAsia="sk-SK"/>
              </w:rPr>
              <w:t>vané</w:t>
            </w:r>
            <w:proofErr w:type="spellEnd"/>
            <w:r w:rsidRPr="00B26015">
              <w:rPr>
                <w:rFonts w:asciiTheme="minorHAnsi" w:eastAsia="Times New Roman" w:hAnsiTheme="minorHAnsi" w:cs="Arial"/>
                <w:b/>
                <w:bCs/>
                <w:sz w:val="20"/>
                <w:szCs w:val="20"/>
                <w:lang w:eastAsia="sk-SK"/>
              </w:rPr>
              <w:t xml:space="preserve"> </w:t>
            </w:r>
          </w:p>
        </w:tc>
        <w:tc>
          <w:tcPr>
            <w:tcW w:w="1682" w:type="dxa"/>
            <w:tcBorders>
              <w:top w:val="nil"/>
              <w:left w:val="nil"/>
              <w:bottom w:val="single" w:sz="4" w:space="0" w:color="auto"/>
              <w:right w:val="single" w:sz="4" w:space="0" w:color="auto"/>
            </w:tcBorders>
            <w:shd w:val="clear" w:color="auto" w:fill="auto"/>
            <w:vAlign w:val="center"/>
            <w:hideMark/>
          </w:tcPr>
          <w:p w:rsidR="00B20749" w:rsidRPr="00B26015" w:rsidRDefault="00B20749" w:rsidP="00375F6E">
            <w:pP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Počet frekventantov</w:t>
            </w:r>
          </w:p>
        </w:tc>
        <w:tc>
          <w:tcPr>
            <w:tcW w:w="1127" w:type="dxa"/>
            <w:tcBorders>
              <w:top w:val="nil"/>
              <w:left w:val="nil"/>
              <w:bottom w:val="single" w:sz="4" w:space="0" w:color="auto"/>
              <w:right w:val="single" w:sz="4" w:space="0" w:color="auto"/>
            </w:tcBorders>
            <w:shd w:val="clear" w:color="auto" w:fill="auto"/>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929</w:t>
            </w:r>
          </w:p>
        </w:tc>
        <w:tc>
          <w:tcPr>
            <w:tcW w:w="1127"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721</w:t>
            </w:r>
          </w:p>
        </w:tc>
        <w:tc>
          <w:tcPr>
            <w:tcW w:w="1127"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863</w:t>
            </w:r>
          </w:p>
        </w:tc>
        <w:tc>
          <w:tcPr>
            <w:tcW w:w="1127"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652</w:t>
            </w:r>
          </w:p>
        </w:tc>
        <w:tc>
          <w:tcPr>
            <w:tcW w:w="1160"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hAnsiTheme="minorHAnsi" w:cs="Arial"/>
                <w:sz w:val="20"/>
                <w:szCs w:val="20"/>
              </w:rPr>
            </w:pPr>
            <w:r w:rsidRPr="00B26015">
              <w:rPr>
                <w:rFonts w:asciiTheme="minorHAnsi" w:hAnsiTheme="minorHAnsi" w:cs="Arial"/>
                <w:sz w:val="20"/>
                <w:szCs w:val="20"/>
              </w:rPr>
              <w:t>471</w:t>
            </w:r>
          </w:p>
        </w:tc>
      </w:tr>
      <w:tr w:rsidR="00B20749" w:rsidRPr="00B26015" w:rsidTr="00CA002A">
        <w:trPr>
          <w:trHeight w:val="470"/>
        </w:trPr>
        <w:tc>
          <w:tcPr>
            <w:tcW w:w="397" w:type="dxa"/>
            <w:vMerge/>
            <w:tcBorders>
              <w:top w:val="nil"/>
              <w:left w:val="single" w:sz="4" w:space="0" w:color="auto"/>
              <w:bottom w:val="single" w:sz="4" w:space="0" w:color="auto"/>
              <w:right w:val="single" w:sz="4" w:space="0" w:color="auto"/>
            </w:tcBorders>
            <w:vAlign w:val="center"/>
            <w:hideMark/>
          </w:tcPr>
          <w:p w:rsidR="00B20749" w:rsidRPr="00B26015" w:rsidRDefault="00B20749" w:rsidP="00375F6E">
            <w:pPr>
              <w:rPr>
                <w:rFonts w:asciiTheme="minorHAnsi" w:eastAsia="Times New Roman" w:hAnsiTheme="minorHAnsi" w:cs="Arial"/>
                <w:b/>
                <w:bCs/>
                <w:sz w:val="20"/>
                <w:szCs w:val="20"/>
                <w:lang w:eastAsia="sk-SK"/>
              </w:rPr>
            </w:pPr>
          </w:p>
        </w:tc>
        <w:tc>
          <w:tcPr>
            <w:tcW w:w="1682" w:type="dxa"/>
            <w:tcBorders>
              <w:top w:val="nil"/>
              <w:left w:val="nil"/>
              <w:bottom w:val="single" w:sz="4" w:space="0" w:color="auto"/>
              <w:right w:val="single" w:sz="4" w:space="0" w:color="auto"/>
            </w:tcBorders>
            <w:shd w:val="clear" w:color="auto" w:fill="auto"/>
            <w:vAlign w:val="center"/>
            <w:hideMark/>
          </w:tcPr>
          <w:p w:rsidR="00B20749" w:rsidRPr="00B26015" w:rsidRDefault="00B20749" w:rsidP="00375F6E">
            <w:pP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Počet programov</w:t>
            </w:r>
          </w:p>
        </w:tc>
        <w:tc>
          <w:tcPr>
            <w:tcW w:w="1127" w:type="dxa"/>
            <w:tcBorders>
              <w:top w:val="nil"/>
              <w:left w:val="nil"/>
              <w:bottom w:val="single" w:sz="4" w:space="0" w:color="auto"/>
              <w:right w:val="single" w:sz="4" w:space="0" w:color="auto"/>
            </w:tcBorders>
            <w:shd w:val="clear" w:color="auto" w:fill="auto"/>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53</w:t>
            </w:r>
          </w:p>
        </w:tc>
        <w:tc>
          <w:tcPr>
            <w:tcW w:w="1127"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34</w:t>
            </w:r>
          </w:p>
        </w:tc>
        <w:tc>
          <w:tcPr>
            <w:tcW w:w="1127"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33</w:t>
            </w:r>
          </w:p>
        </w:tc>
        <w:tc>
          <w:tcPr>
            <w:tcW w:w="1127"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eastAsia="Times New Roman" w:hAnsiTheme="minorHAnsi" w:cs="Arial"/>
                <w:sz w:val="20"/>
                <w:szCs w:val="20"/>
                <w:lang w:eastAsia="sk-SK"/>
              </w:rPr>
            </w:pPr>
            <w:r w:rsidRPr="00B26015">
              <w:rPr>
                <w:rFonts w:asciiTheme="minorHAnsi" w:eastAsia="Times New Roman" w:hAnsiTheme="minorHAnsi" w:cs="Arial"/>
                <w:sz w:val="20"/>
                <w:szCs w:val="20"/>
                <w:lang w:eastAsia="sk-SK"/>
              </w:rPr>
              <w:t>32</w:t>
            </w:r>
          </w:p>
        </w:tc>
        <w:tc>
          <w:tcPr>
            <w:tcW w:w="1160" w:type="dxa"/>
            <w:tcBorders>
              <w:top w:val="nil"/>
              <w:left w:val="nil"/>
              <w:bottom w:val="single" w:sz="4" w:space="0" w:color="auto"/>
              <w:right w:val="single" w:sz="4" w:space="0" w:color="auto"/>
            </w:tcBorders>
            <w:shd w:val="clear" w:color="000000" w:fill="FFFFFF"/>
            <w:noWrap/>
            <w:vAlign w:val="center"/>
            <w:hideMark/>
          </w:tcPr>
          <w:p w:rsidR="00B20749" w:rsidRPr="00B26015" w:rsidRDefault="00B20749" w:rsidP="00375F6E">
            <w:pPr>
              <w:jc w:val="center"/>
              <w:rPr>
                <w:rFonts w:asciiTheme="minorHAnsi" w:hAnsiTheme="minorHAnsi" w:cs="Arial"/>
                <w:sz w:val="20"/>
                <w:szCs w:val="20"/>
              </w:rPr>
            </w:pPr>
            <w:r w:rsidRPr="00B26015">
              <w:rPr>
                <w:rFonts w:asciiTheme="minorHAnsi" w:hAnsiTheme="minorHAnsi" w:cs="Arial"/>
                <w:sz w:val="20"/>
                <w:szCs w:val="20"/>
              </w:rPr>
              <w:t>40</w:t>
            </w:r>
          </w:p>
        </w:tc>
      </w:tr>
      <w:tr w:rsidR="00B20749" w:rsidRPr="00B26015" w:rsidTr="00375F6E">
        <w:trPr>
          <w:trHeight w:val="510"/>
        </w:trPr>
        <w:tc>
          <w:tcPr>
            <w:tcW w:w="397" w:type="dxa"/>
            <w:vMerge w:val="restart"/>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B20749" w:rsidRPr="00B26015" w:rsidRDefault="00B20749" w:rsidP="00375F6E">
            <w:pPr>
              <w:jc w:val="center"/>
              <w:rPr>
                <w:rFonts w:asciiTheme="minorHAnsi" w:eastAsia="Times New Roman" w:hAnsiTheme="minorHAnsi" w:cs="Arial"/>
                <w:b/>
                <w:bCs/>
                <w:sz w:val="20"/>
                <w:szCs w:val="20"/>
                <w:lang w:eastAsia="sk-SK"/>
              </w:rPr>
            </w:pPr>
            <w:r w:rsidRPr="00B26015">
              <w:rPr>
                <w:rFonts w:asciiTheme="minorHAnsi" w:eastAsia="Times New Roman" w:hAnsiTheme="minorHAnsi" w:cs="Arial"/>
                <w:b/>
                <w:bCs/>
                <w:sz w:val="20"/>
                <w:szCs w:val="20"/>
                <w:lang w:eastAsia="sk-SK"/>
              </w:rPr>
              <w:t>Spolu</w:t>
            </w:r>
          </w:p>
        </w:tc>
        <w:tc>
          <w:tcPr>
            <w:tcW w:w="1682" w:type="dxa"/>
            <w:tcBorders>
              <w:top w:val="nil"/>
              <w:left w:val="nil"/>
              <w:bottom w:val="single" w:sz="4" w:space="0" w:color="auto"/>
              <w:right w:val="single" w:sz="4" w:space="0" w:color="auto"/>
            </w:tcBorders>
            <w:shd w:val="clear" w:color="auto" w:fill="D9D9D9" w:themeFill="background1" w:themeFillShade="D9"/>
            <w:noWrap/>
            <w:vAlign w:val="center"/>
            <w:hideMark/>
          </w:tcPr>
          <w:p w:rsidR="00B20749" w:rsidRPr="00B26015" w:rsidRDefault="00B20749" w:rsidP="00375F6E">
            <w:pPr>
              <w:rPr>
                <w:rFonts w:asciiTheme="minorHAnsi" w:eastAsia="Times New Roman" w:hAnsiTheme="minorHAnsi" w:cs="Arial"/>
                <w:b/>
                <w:sz w:val="20"/>
                <w:szCs w:val="20"/>
                <w:lang w:eastAsia="sk-SK"/>
              </w:rPr>
            </w:pPr>
            <w:r w:rsidRPr="00B26015">
              <w:rPr>
                <w:rFonts w:asciiTheme="minorHAnsi" w:eastAsia="Times New Roman" w:hAnsiTheme="minorHAnsi" w:cs="Arial"/>
                <w:b/>
                <w:sz w:val="20"/>
                <w:szCs w:val="20"/>
                <w:lang w:eastAsia="sk-SK"/>
              </w:rPr>
              <w:t>Počet frekventantov</w:t>
            </w:r>
          </w:p>
        </w:tc>
        <w:tc>
          <w:tcPr>
            <w:tcW w:w="1127" w:type="dxa"/>
            <w:tcBorders>
              <w:top w:val="nil"/>
              <w:left w:val="nil"/>
              <w:bottom w:val="single" w:sz="4" w:space="0" w:color="auto"/>
              <w:right w:val="single" w:sz="4" w:space="0" w:color="auto"/>
            </w:tcBorders>
            <w:shd w:val="clear" w:color="auto" w:fill="D9D9D9" w:themeFill="background1" w:themeFillShade="D9"/>
            <w:noWrap/>
            <w:vAlign w:val="center"/>
            <w:hideMark/>
          </w:tcPr>
          <w:p w:rsidR="00B20749" w:rsidRPr="00B26015" w:rsidRDefault="00B20749" w:rsidP="00375F6E">
            <w:pPr>
              <w:jc w:val="center"/>
              <w:rPr>
                <w:rFonts w:asciiTheme="minorHAnsi" w:eastAsia="Times New Roman" w:hAnsiTheme="minorHAnsi" w:cs="Arial"/>
                <w:b/>
                <w:sz w:val="20"/>
                <w:szCs w:val="20"/>
                <w:lang w:eastAsia="sk-SK"/>
              </w:rPr>
            </w:pPr>
            <w:r w:rsidRPr="00B26015">
              <w:rPr>
                <w:rFonts w:asciiTheme="minorHAnsi" w:eastAsia="Times New Roman" w:hAnsiTheme="minorHAnsi" w:cs="Arial"/>
                <w:b/>
                <w:sz w:val="20"/>
                <w:szCs w:val="20"/>
                <w:lang w:eastAsia="sk-SK"/>
              </w:rPr>
              <w:t>4 118</w:t>
            </w:r>
          </w:p>
        </w:tc>
        <w:tc>
          <w:tcPr>
            <w:tcW w:w="1127" w:type="dxa"/>
            <w:tcBorders>
              <w:top w:val="nil"/>
              <w:left w:val="nil"/>
              <w:bottom w:val="single" w:sz="4" w:space="0" w:color="auto"/>
              <w:right w:val="single" w:sz="4" w:space="0" w:color="auto"/>
            </w:tcBorders>
            <w:shd w:val="clear" w:color="auto" w:fill="D9D9D9" w:themeFill="background1" w:themeFillShade="D9"/>
            <w:noWrap/>
            <w:vAlign w:val="center"/>
            <w:hideMark/>
          </w:tcPr>
          <w:p w:rsidR="00B20749" w:rsidRPr="00B26015" w:rsidRDefault="00B20749" w:rsidP="00375F6E">
            <w:pPr>
              <w:jc w:val="center"/>
              <w:rPr>
                <w:rFonts w:asciiTheme="minorHAnsi" w:eastAsia="Times New Roman" w:hAnsiTheme="minorHAnsi" w:cs="Arial"/>
                <w:b/>
                <w:sz w:val="20"/>
                <w:szCs w:val="20"/>
                <w:lang w:eastAsia="sk-SK"/>
              </w:rPr>
            </w:pPr>
            <w:r w:rsidRPr="00B26015">
              <w:rPr>
                <w:rFonts w:asciiTheme="minorHAnsi" w:eastAsia="Times New Roman" w:hAnsiTheme="minorHAnsi" w:cs="Arial"/>
                <w:b/>
                <w:sz w:val="20"/>
                <w:szCs w:val="20"/>
                <w:lang w:eastAsia="sk-SK"/>
              </w:rPr>
              <w:t>4 389</w:t>
            </w:r>
          </w:p>
        </w:tc>
        <w:tc>
          <w:tcPr>
            <w:tcW w:w="1127" w:type="dxa"/>
            <w:tcBorders>
              <w:top w:val="nil"/>
              <w:left w:val="nil"/>
              <w:bottom w:val="single" w:sz="4" w:space="0" w:color="auto"/>
              <w:right w:val="single" w:sz="4" w:space="0" w:color="auto"/>
            </w:tcBorders>
            <w:shd w:val="clear" w:color="auto" w:fill="D9D9D9" w:themeFill="background1" w:themeFillShade="D9"/>
            <w:noWrap/>
            <w:vAlign w:val="center"/>
            <w:hideMark/>
          </w:tcPr>
          <w:p w:rsidR="00B20749" w:rsidRPr="00B26015" w:rsidRDefault="00B20749" w:rsidP="00375F6E">
            <w:pPr>
              <w:jc w:val="center"/>
              <w:rPr>
                <w:rFonts w:asciiTheme="minorHAnsi" w:eastAsia="Times New Roman" w:hAnsiTheme="minorHAnsi" w:cs="Arial"/>
                <w:b/>
                <w:sz w:val="20"/>
                <w:szCs w:val="20"/>
                <w:lang w:eastAsia="sk-SK"/>
              </w:rPr>
            </w:pPr>
            <w:r w:rsidRPr="00B26015">
              <w:rPr>
                <w:rFonts w:asciiTheme="minorHAnsi" w:eastAsia="Times New Roman" w:hAnsiTheme="minorHAnsi" w:cs="Arial"/>
                <w:b/>
                <w:sz w:val="20"/>
                <w:szCs w:val="20"/>
                <w:lang w:eastAsia="sk-SK"/>
              </w:rPr>
              <w:t>5 090</w:t>
            </w:r>
          </w:p>
        </w:tc>
        <w:tc>
          <w:tcPr>
            <w:tcW w:w="1127" w:type="dxa"/>
            <w:tcBorders>
              <w:top w:val="nil"/>
              <w:left w:val="nil"/>
              <w:bottom w:val="single" w:sz="4" w:space="0" w:color="auto"/>
              <w:right w:val="single" w:sz="4" w:space="0" w:color="auto"/>
            </w:tcBorders>
            <w:shd w:val="clear" w:color="auto" w:fill="D9D9D9" w:themeFill="background1" w:themeFillShade="D9"/>
            <w:noWrap/>
            <w:vAlign w:val="center"/>
            <w:hideMark/>
          </w:tcPr>
          <w:p w:rsidR="00B20749" w:rsidRPr="00B26015" w:rsidRDefault="00B20749" w:rsidP="00375F6E">
            <w:pPr>
              <w:jc w:val="center"/>
              <w:rPr>
                <w:rFonts w:asciiTheme="minorHAnsi" w:eastAsia="Times New Roman" w:hAnsiTheme="minorHAnsi" w:cs="Arial"/>
                <w:b/>
                <w:sz w:val="20"/>
                <w:szCs w:val="20"/>
                <w:lang w:eastAsia="sk-SK"/>
              </w:rPr>
            </w:pPr>
            <w:r w:rsidRPr="00B26015">
              <w:rPr>
                <w:rFonts w:asciiTheme="minorHAnsi" w:eastAsia="Times New Roman" w:hAnsiTheme="minorHAnsi" w:cs="Arial"/>
                <w:b/>
                <w:sz w:val="20"/>
                <w:szCs w:val="20"/>
                <w:lang w:eastAsia="sk-SK"/>
              </w:rPr>
              <w:t>4 202</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B20749" w:rsidRPr="00B26015" w:rsidRDefault="00B20749" w:rsidP="00375F6E">
            <w:pPr>
              <w:jc w:val="center"/>
              <w:rPr>
                <w:rFonts w:asciiTheme="minorHAnsi" w:hAnsiTheme="minorHAnsi" w:cs="Arial"/>
                <w:b/>
                <w:sz w:val="20"/>
                <w:szCs w:val="20"/>
              </w:rPr>
            </w:pPr>
            <w:r w:rsidRPr="00B26015">
              <w:rPr>
                <w:rFonts w:asciiTheme="minorHAnsi" w:hAnsiTheme="minorHAnsi" w:cs="Arial"/>
                <w:b/>
                <w:sz w:val="20"/>
                <w:szCs w:val="20"/>
              </w:rPr>
              <w:t xml:space="preserve">3 312 </w:t>
            </w:r>
          </w:p>
        </w:tc>
      </w:tr>
      <w:tr w:rsidR="00B20749" w:rsidRPr="00B26015" w:rsidTr="00375F6E">
        <w:trPr>
          <w:trHeight w:val="480"/>
        </w:trPr>
        <w:tc>
          <w:tcPr>
            <w:tcW w:w="39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20749" w:rsidRPr="00B26015" w:rsidRDefault="00B20749" w:rsidP="00375F6E">
            <w:pPr>
              <w:rPr>
                <w:rFonts w:asciiTheme="minorHAnsi" w:eastAsia="Times New Roman" w:hAnsiTheme="minorHAnsi" w:cs="Arial"/>
                <w:b/>
                <w:bCs/>
                <w:sz w:val="20"/>
                <w:szCs w:val="20"/>
                <w:lang w:eastAsia="sk-SK"/>
              </w:rPr>
            </w:pPr>
          </w:p>
        </w:tc>
        <w:tc>
          <w:tcPr>
            <w:tcW w:w="1682" w:type="dxa"/>
            <w:tcBorders>
              <w:top w:val="nil"/>
              <w:left w:val="nil"/>
              <w:bottom w:val="single" w:sz="4" w:space="0" w:color="auto"/>
              <w:right w:val="single" w:sz="4" w:space="0" w:color="auto"/>
            </w:tcBorders>
            <w:shd w:val="clear" w:color="auto" w:fill="D9D9D9" w:themeFill="background1" w:themeFillShade="D9"/>
            <w:vAlign w:val="center"/>
            <w:hideMark/>
          </w:tcPr>
          <w:p w:rsidR="00B20749" w:rsidRPr="00B26015" w:rsidRDefault="00B20749" w:rsidP="00375F6E">
            <w:pPr>
              <w:rPr>
                <w:rFonts w:asciiTheme="minorHAnsi" w:eastAsia="Times New Roman" w:hAnsiTheme="minorHAnsi" w:cs="Arial"/>
                <w:b/>
                <w:sz w:val="20"/>
                <w:szCs w:val="20"/>
                <w:lang w:eastAsia="sk-SK"/>
              </w:rPr>
            </w:pPr>
            <w:r w:rsidRPr="00B26015">
              <w:rPr>
                <w:rFonts w:asciiTheme="minorHAnsi" w:eastAsia="Times New Roman" w:hAnsiTheme="minorHAnsi" w:cs="Arial"/>
                <w:b/>
                <w:sz w:val="20"/>
                <w:szCs w:val="20"/>
                <w:lang w:eastAsia="sk-SK"/>
              </w:rPr>
              <w:t>Počet programov</w:t>
            </w:r>
          </w:p>
        </w:tc>
        <w:tc>
          <w:tcPr>
            <w:tcW w:w="1127" w:type="dxa"/>
            <w:tcBorders>
              <w:top w:val="nil"/>
              <w:left w:val="nil"/>
              <w:bottom w:val="single" w:sz="4" w:space="0" w:color="auto"/>
              <w:right w:val="single" w:sz="4" w:space="0" w:color="auto"/>
            </w:tcBorders>
            <w:shd w:val="clear" w:color="auto" w:fill="D9D9D9" w:themeFill="background1" w:themeFillShade="D9"/>
            <w:noWrap/>
            <w:vAlign w:val="center"/>
            <w:hideMark/>
          </w:tcPr>
          <w:p w:rsidR="00B20749" w:rsidRPr="00B26015" w:rsidRDefault="00B20749" w:rsidP="00375F6E">
            <w:pPr>
              <w:jc w:val="center"/>
              <w:rPr>
                <w:rFonts w:asciiTheme="minorHAnsi" w:eastAsia="Times New Roman" w:hAnsiTheme="minorHAnsi" w:cs="Arial"/>
                <w:b/>
                <w:sz w:val="20"/>
                <w:szCs w:val="20"/>
                <w:lang w:eastAsia="sk-SK"/>
              </w:rPr>
            </w:pPr>
            <w:r w:rsidRPr="00B26015">
              <w:rPr>
                <w:rFonts w:asciiTheme="minorHAnsi" w:eastAsia="Times New Roman" w:hAnsiTheme="minorHAnsi" w:cs="Arial"/>
                <w:b/>
                <w:sz w:val="20"/>
                <w:szCs w:val="20"/>
                <w:lang w:eastAsia="sk-SK"/>
              </w:rPr>
              <w:t>222</w:t>
            </w:r>
          </w:p>
        </w:tc>
        <w:tc>
          <w:tcPr>
            <w:tcW w:w="1127" w:type="dxa"/>
            <w:tcBorders>
              <w:top w:val="nil"/>
              <w:left w:val="nil"/>
              <w:bottom w:val="single" w:sz="4" w:space="0" w:color="auto"/>
              <w:right w:val="single" w:sz="4" w:space="0" w:color="auto"/>
            </w:tcBorders>
            <w:shd w:val="clear" w:color="auto" w:fill="D9D9D9" w:themeFill="background1" w:themeFillShade="D9"/>
            <w:noWrap/>
            <w:vAlign w:val="center"/>
            <w:hideMark/>
          </w:tcPr>
          <w:p w:rsidR="00B20749" w:rsidRPr="00B26015" w:rsidRDefault="00B20749" w:rsidP="00375F6E">
            <w:pPr>
              <w:jc w:val="center"/>
              <w:rPr>
                <w:rFonts w:asciiTheme="minorHAnsi" w:eastAsia="Times New Roman" w:hAnsiTheme="minorHAnsi" w:cs="Arial"/>
                <w:b/>
                <w:sz w:val="20"/>
                <w:szCs w:val="20"/>
                <w:lang w:eastAsia="sk-SK"/>
              </w:rPr>
            </w:pPr>
            <w:r w:rsidRPr="00B26015">
              <w:rPr>
                <w:rFonts w:asciiTheme="minorHAnsi" w:eastAsia="Times New Roman" w:hAnsiTheme="minorHAnsi" w:cs="Arial"/>
                <w:b/>
                <w:sz w:val="20"/>
                <w:szCs w:val="20"/>
                <w:lang w:eastAsia="sk-SK"/>
              </w:rPr>
              <w:t>200</w:t>
            </w:r>
          </w:p>
        </w:tc>
        <w:tc>
          <w:tcPr>
            <w:tcW w:w="1127" w:type="dxa"/>
            <w:tcBorders>
              <w:top w:val="nil"/>
              <w:left w:val="nil"/>
              <w:bottom w:val="single" w:sz="4" w:space="0" w:color="auto"/>
              <w:right w:val="single" w:sz="4" w:space="0" w:color="auto"/>
            </w:tcBorders>
            <w:shd w:val="clear" w:color="auto" w:fill="D9D9D9" w:themeFill="background1" w:themeFillShade="D9"/>
            <w:noWrap/>
            <w:vAlign w:val="center"/>
            <w:hideMark/>
          </w:tcPr>
          <w:p w:rsidR="00B20749" w:rsidRPr="00B26015" w:rsidRDefault="00B20749" w:rsidP="00375F6E">
            <w:pPr>
              <w:jc w:val="center"/>
              <w:rPr>
                <w:rFonts w:asciiTheme="minorHAnsi" w:eastAsia="Times New Roman" w:hAnsiTheme="minorHAnsi" w:cs="Arial"/>
                <w:b/>
                <w:sz w:val="20"/>
                <w:szCs w:val="20"/>
                <w:lang w:eastAsia="sk-SK"/>
              </w:rPr>
            </w:pPr>
            <w:r w:rsidRPr="00B26015">
              <w:rPr>
                <w:rFonts w:asciiTheme="minorHAnsi" w:eastAsia="Times New Roman" w:hAnsiTheme="minorHAnsi" w:cs="Arial"/>
                <w:b/>
                <w:sz w:val="20"/>
                <w:szCs w:val="20"/>
                <w:lang w:eastAsia="sk-SK"/>
              </w:rPr>
              <w:t>112</w:t>
            </w:r>
          </w:p>
        </w:tc>
        <w:tc>
          <w:tcPr>
            <w:tcW w:w="1127" w:type="dxa"/>
            <w:tcBorders>
              <w:top w:val="nil"/>
              <w:left w:val="nil"/>
              <w:bottom w:val="single" w:sz="4" w:space="0" w:color="auto"/>
              <w:right w:val="single" w:sz="4" w:space="0" w:color="auto"/>
            </w:tcBorders>
            <w:shd w:val="clear" w:color="auto" w:fill="D9D9D9" w:themeFill="background1" w:themeFillShade="D9"/>
            <w:noWrap/>
            <w:vAlign w:val="center"/>
            <w:hideMark/>
          </w:tcPr>
          <w:p w:rsidR="00B20749" w:rsidRPr="00B26015" w:rsidRDefault="00B20749" w:rsidP="00375F6E">
            <w:pPr>
              <w:jc w:val="center"/>
              <w:rPr>
                <w:rFonts w:asciiTheme="minorHAnsi" w:eastAsia="Times New Roman" w:hAnsiTheme="minorHAnsi" w:cs="Arial"/>
                <w:b/>
                <w:sz w:val="20"/>
                <w:szCs w:val="20"/>
                <w:lang w:eastAsia="sk-SK"/>
              </w:rPr>
            </w:pPr>
            <w:r w:rsidRPr="00B26015">
              <w:rPr>
                <w:rFonts w:asciiTheme="minorHAnsi" w:eastAsia="Times New Roman" w:hAnsiTheme="minorHAnsi" w:cs="Arial"/>
                <w:b/>
                <w:sz w:val="20"/>
                <w:szCs w:val="20"/>
                <w:lang w:eastAsia="sk-SK"/>
              </w:rPr>
              <w:t>167</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B20749" w:rsidRPr="00B26015" w:rsidRDefault="00B20749" w:rsidP="00375F6E">
            <w:pPr>
              <w:jc w:val="center"/>
              <w:rPr>
                <w:rFonts w:asciiTheme="minorHAnsi" w:eastAsia="Times New Roman" w:hAnsiTheme="minorHAnsi" w:cs="Arial"/>
                <w:b/>
                <w:sz w:val="20"/>
                <w:szCs w:val="20"/>
                <w:lang w:eastAsia="sk-SK"/>
              </w:rPr>
            </w:pPr>
            <w:r w:rsidRPr="00B26015">
              <w:rPr>
                <w:rFonts w:asciiTheme="minorHAnsi" w:eastAsia="Times New Roman" w:hAnsiTheme="minorHAnsi" w:cs="Arial"/>
                <w:b/>
                <w:sz w:val="20"/>
                <w:szCs w:val="20"/>
                <w:lang w:eastAsia="sk-SK"/>
              </w:rPr>
              <w:t>145</w:t>
            </w:r>
          </w:p>
        </w:tc>
      </w:tr>
    </w:tbl>
    <w:p w:rsidR="00B20749" w:rsidRPr="00FA36C0" w:rsidRDefault="00B20749" w:rsidP="00B20749">
      <w:pPr>
        <w:rPr>
          <w:rFonts w:asciiTheme="majorHAnsi" w:hAnsiTheme="majorHAnsi" w:cs="Calibri"/>
        </w:rPr>
      </w:pPr>
    </w:p>
    <w:p w:rsidR="00CF27C1" w:rsidRPr="00755BF6" w:rsidRDefault="00CF27C1" w:rsidP="00B20749">
      <w:pPr>
        <w:rPr>
          <w:rFonts w:asciiTheme="minorHAnsi" w:hAnsiTheme="minorHAnsi" w:cs="Calibri"/>
          <w:sz w:val="20"/>
          <w:szCs w:val="20"/>
        </w:rPr>
      </w:pPr>
    </w:p>
    <w:p w:rsidR="00146B28" w:rsidRPr="004202AB" w:rsidRDefault="00146B28" w:rsidP="00146B28">
      <w:pPr>
        <w:rPr>
          <w:rFonts w:asciiTheme="minorHAnsi" w:hAnsiTheme="minorHAnsi" w:cs="Calibri"/>
          <w:sz w:val="20"/>
          <w:szCs w:val="20"/>
        </w:rPr>
      </w:pPr>
      <w:r w:rsidRPr="004202AB">
        <w:rPr>
          <w:rFonts w:asciiTheme="minorHAnsi" w:hAnsiTheme="minorHAnsi" w:cs="Calibri"/>
          <w:b/>
          <w:sz w:val="20"/>
          <w:szCs w:val="20"/>
        </w:rPr>
        <w:t xml:space="preserve">Graf č. </w:t>
      </w:r>
      <w:r w:rsidR="00CE307D" w:rsidRPr="004202AB">
        <w:rPr>
          <w:rFonts w:asciiTheme="minorHAnsi" w:hAnsiTheme="minorHAnsi" w:cs="Calibri"/>
          <w:b/>
          <w:sz w:val="20"/>
          <w:szCs w:val="20"/>
        </w:rPr>
        <w:t>3.</w:t>
      </w:r>
      <w:r w:rsidRPr="004202AB">
        <w:rPr>
          <w:rFonts w:asciiTheme="minorHAnsi" w:hAnsiTheme="minorHAnsi" w:cs="Calibri"/>
          <w:b/>
          <w:sz w:val="20"/>
          <w:szCs w:val="20"/>
        </w:rPr>
        <w:t>17: Počet frekventantov aktivít ďalšieho vzdelávania za posledných päť rokov</w:t>
      </w:r>
    </w:p>
    <w:p w:rsidR="00146B28" w:rsidRPr="004202AB" w:rsidRDefault="00146B28" w:rsidP="00146B28">
      <w:pPr>
        <w:rPr>
          <w:rFonts w:asciiTheme="minorHAnsi" w:hAnsiTheme="minorHAnsi" w:cs="Calibri"/>
          <w:sz w:val="20"/>
          <w:szCs w:val="20"/>
        </w:rPr>
      </w:pPr>
      <w:r w:rsidRPr="004202AB">
        <w:rPr>
          <w:rFonts w:asciiTheme="minorHAnsi" w:hAnsiTheme="minorHAnsi"/>
          <w:noProof/>
          <w:sz w:val="20"/>
          <w:szCs w:val="20"/>
          <w:lang w:eastAsia="sk-SK"/>
        </w:rPr>
        <w:drawing>
          <wp:inline distT="0" distB="0" distL="0" distR="0" wp14:anchorId="072EAA9D" wp14:editId="24540A13">
            <wp:extent cx="4505325" cy="27432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51749" w:rsidRPr="002D7A10" w:rsidRDefault="00B51749" w:rsidP="00B51749">
      <w:pPr>
        <w:rPr>
          <w:rFonts w:asciiTheme="minorHAnsi" w:hAnsiTheme="minorHAnsi"/>
          <w:color w:val="FF0000"/>
        </w:rPr>
      </w:pPr>
    </w:p>
    <w:p w:rsidR="00B51749" w:rsidRPr="002D7A10" w:rsidRDefault="00B51749" w:rsidP="00B51749">
      <w:pPr>
        <w:pStyle w:val="Nadpis2"/>
        <w:rPr>
          <w:rFonts w:asciiTheme="minorHAnsi" w:hAnsiTheme="minorHAnsi"/>
          <w:color w:val="auto"/>
          <w:sz w:val="24"/>
          <w:szCs w:val="24"/>
        </w:rPr>
      </w:pPr>
      <w:bookmarkStart w:id="25" w:name="_Toc448261567"/>
      <w:r w:rsidRPr="002D7A10">
        <w:rPr>
          <w:rFonts w:asciiTheme="minorHAnsi" w:hAnsiTheme="minorHAnsi"/>
          <w:color w:val="auto"/>
          <w:sz w:val="24"/>
          <w:szCs w:val="24"/>
        </w:rPr>
        <w:t>Ďalšie vzdelávanie na fakultách a ústavoch STU</w:t>
      </w:r>
      <w:bookmarkEnd w:id="25"/>
    </w:p>
    <w:p w:rsidR="00CA002A" w:rsidRDefault="00CA002A" w:rsidP="00146B28">
      <w:pPr>
        <w:spacing w:after="120"/>
        <w:rPr>
          <w:rFonts w:asciiTheme="minorHAnsi" w:hAnsiTheme="minorHAnsi" w:cs="Calibri"/>
        </w:rPr>
      </w:pPr>
    </w:p>
    <w:p w:rsidR="00146B28" w:rsidRPr="002D7A10" w:rsidRDefault="00146B28" w:rsidP="00CA002A">
      <w:pPr>
        <w:rPr>
          <w:rFonts w:asciiTheme="minorHAnsi" w:hAnsiTheme="minorHAnsi" w:cs="Calibri"/>
        </w:rPr>
      </w:pPr>
      <w:r w:rsidRPr="002D7A10">
        <w:rPr>
          <w:rFonts w:asciiTheme="minorHAnsi" w:hAnsiTheme="minorHAnsi" w:cs="Calibri"/>
        </w:rPr>
        <w:t xml:space="preserve">V akademickom roku 2014/2015 prebiehali aktivity ďalšieho vzdelávania hlavne na fakultách STU. Aktivity ďalšieho vzdelávania sú na fakultách rozdelené na akreditované a neakreditované vzdelávacie programy. Vzdelávacie programy sú akreditované Ministerstvom školstva, vedy, výskumu a športu SR a ďalšími subjektmi, ako sú Národný inšpektorát práce na FEI STU a, FIBAA TU WIEN na ICV. </w:t>
      </w:r>
      <w:r w:rsidRPr="002D7A10">
        <w:rPr>
          <w:rFonts w:asciiTheme="minorHAnsi" w:hAnsiTheme="minorHAnsi" w:cs="Calibri"/>
          <w:b/>
        </w:rPr>
        <w:t>Spolu sa usk</w:t>
      </w:r>
      <w:r w:rsidR="00AE4DF3" w:rsidRPr="002D7A10">
        <w:rPr>
          <w:rFonts w:asciiTheme="minorHAnsi" w:hAnsiTheme="minorHAnsi" w:cs="Calibri"/>
          <w:b/>
        </w:rPr>
        <w:t>utočnilo v akad. roku 2014/2015</w:t>
      </w:r>
      <w:r w:rsidRPr="002D7A10">
        <w:rPr>
          <w:rFonts w:asciiTheme="minorHAnsi" w:hAnsiTheme="minorHAnsi" w:cs="Calibri"/>
          <w:b/>
        </w:rPr>
        <w:t xml:space="preserve"> 32 akreditovaných vzdelávacích programov.</w:t>
      </w:r>
      <w:r w:rsidR="003C0D90" w:rsidRPr="002D7A10">
        <w:rPr>
          <w:rFonts w:asciiTheme="minorHAnsi" w:hAnsiTheme="minorHAnsi" w:cs="Calibri"/>
        </w:rPr>
        <w:t xml:space="preserve"> </w:t>
      </w:r>
      <w:r w:rsidRPr="002D7A10">
        <w:rPr>
          <w:rFonts w:asciiTheme="minorHAnsi" w:hAnsiTheme="minorHAnsi" w:cs="Calibri"/>
        </w:rPr>
        <w:t>Akreditované vzdelávacie programy sú skončené spravidla skúškami a absolventi dostávajú Osvedčenia o absolvovaní vzdelávacieho programu ďalšieho vzdelávania, ktoré vydáva STU.</w:t>
      </w:r>
    </w:p>
    <w:p w:rsidR="00146B28" w:rsidRPr="002D7A10" w:rsidRDefault="00146B28" w:rsidP="00CA002A">
      <w:pPr>
        <w:rPr>
          <w:rFonts w:asciiTheme="minorHAnsi" w:hAnsiTheme="minorHAnsi" w:cs="Calibri"/>
          <w:b/>
        </w:rPr>
      </w:pPr>
      <w:r w:rsidRPr="002D7A10">
        <w:rPr>
          <w:rFonts w:asciiTheme="minorHAnsi" w:hAnsiTheme="minorHAnsi" w:cs="Calibri"/>
          <w:b/>
        </w:rPr>
        <w:t>Väčšie zastúpenie mali neakreditované vzdelávacie programy – 92 programov</w:t>
      </w:r>
      <w:r w:rsidR="003C0D90" w:rsidRPr="002D7A10">
        <w:rPr>
          <w:rFonts w:asciiTheme="minorHAnsi" w:hAnsiTheme="minorHAnsi" w:cs="Calibri"/>
          <w:b/>
        </w:rPr>
        <w:t>. Ich</w:t>
      </w:r>
      <w:r w:rsidRPr="002D7A10">
        <w:rPr>
          <w:rFonts w:asciiTheme="minorHAnsi" w:hAnsiTheme="minorHAnsi" w:cs="Calibri"/>
          <w:b/>
        </w:rPr>
        <w:t xml:space="preserve"> účastníci väčšinou po skončení programu získavali osvedčenie o absolvovaní, vydané pracoviskom garantujúcim program.</w:t>
      </w:r>
    </w:p>
    <w:p w:rsidR="00146B28" w:rsidRPr="002D7A10" w:rsidRDefault="00146B28" w:rsidP="00CA002A">
      <w:pPr>
        <w:pStyle w:val="Nzov"/>
        <w:jc w:val="both"/>
        <w:rPr>
          <w:rFonts w:asciiTheme="minorHAnsi" w:hAnsiTheme="minorHAnsi" w:cs="Calibri"/>
          <w:szCs w:val="24"/>
        </w:rPr>
      </w:pPr>
      <w:r w:rsidRPr="002D7A10">
        <w:rPr>
          <w:rFonts w:asciiTheme="minorHAnsi" w:hAnsiTheme="minorHAnsi" w:cs="Calibri"/>
          <w:szCs w:val="24"/>
        </w:rPr>
        <w:t xml:space="preserve">Mnohé </w:t>
      </w:r>
      <w:r w:rsidR="00D947F5">
        <w:rPr>
          <w:rFonts w:asciiTheme="minorHAnsi" w:hAnsiTheme="minorHAnsi" w:cs="Calibri"/>
          <w:szCs w:val="24"/>
        </w:rPr>
        <w:t>z</w:t>
      </w:r>
      <w:r w:rsidRPr="002D7A10">
        <w:rPr>
          <w:rFonts w:asciiTheme="minorHAnsi" w:hAnsiTheme="minorHAnsi" w:cs="Calibri"/>
          <w:szCs w:val="24"/>
        </w:rPr>
        <w:t xml:space="preserve"> programov ďalšieho vzdelávania na STU boli realizované na základe požiadaviek z praxe (a dlhodobej spolupráce garantujúceho pracoviska s konkrétnym podnikom), </w:t>
      </w:r>
      <w:r w:rsidR="003C0D90" w:rsidRPr="002D7A10">
        <w:rPr>
          <w:rFonts w:asciiTheme="minorHAnsi" w:hAnsiTheme="minorHAnsi" w:cs="Calibri"/>
          <w:szCs w:val="24"/>
        </w:rPr>
        <w:t>takže</w:t>
      </w:r>
      <w:r w:rsidRPr="002D7A10">
        <w:rPr>
          <w:rFonts w:asciiTheme="minorHAnsi" w:hAnsiTheme="minorHAnsi" w:cs="Calibri"/>
          <w:szCs w:val="24"/>
        </w:rPr>
        <w:t xml:space="preserve"> programy </w:t>
      </w:r>
      <w:r w:rsidR="003C0D90" w:rsidRPr="002D7A10">
        <w:rPr>
          <w:rFonts w:asciiTheme="minorHAnsi" w:hAnsiTheme="minorHAnsi" w:cs="Calibri"/>
          <w:szCs w:val="24"/>
        </w:rPr>
        <w:t xml:space="preserve">boli </w:t>
      </w:r>
      <w:r w:rsidRPr="002D7A10">
        <w:rPr>
          <w:rFonts w:asciiTheme="minorHAnsi" w:hAnsiTheme="minorHAnsi" w:cs="Calibri"/>
          <w:szCs w:val="24"/>
        </w:rPr>
        <w:t xml:space="preserve">pripravené podľa požiadaviek zadávateľa. </w:t>
      </w:r>
    </w:p>
    <w:p w:rsidR="00C827AC" w:rsidRDefault="00146B28" w:rsidP="00CA002A">
      <w:pPr>
        <w:pStyle w:val="Nzov"/>
        <w:jc w:val="both"/>
        <w:rPr>
          <w:rFonts w:asciiTheme="minorHAnsi" w:hAnsiTheme="minorHAnsi" w:cs="Calibri"/>
          <w:szCs w:val="24"/>
        </w:rPr>
      </w:pPr>
      <w:r w:rsidRPr="002D7A10">
        <w:rPr>
          <w:rFonts w:asciiTheme="minorHAnsi" w:hAnsiTheme="minorHAnsi" w:cs="Calibri"/>
          <w:szCs w:val="24"/>
        </w:rPr>
        <w:t xml:space="preserve">Okrem toho boli takmer na všetkých fakultách organizované kurzy fyziky a kurzy stredoškolskej matematiky predovšetkým pre záujemcov z novoprijatých študentov prvých ročníkov na prvom stupni štúdia, ktoré predstavovali jednu z možností ako študentom pomôcť úspešne zvládnuť hlavne v prvých ročníkoch náročné štúdium na vysokej škole technického zamerania. </w:t>
      </w:r>
    </w:p>
    <w:p w:rsidR="00146B28" w:rsidRPr="00C827AC" w:rsidRDefault="00146B28" w:rsidP="00C827AC">
      <w:pPr>
        <w:pStyle w:val="Nzov"/>
        <w:jc w:val="both"/>
        <w:rPr>
          <w:rFonts w:asciiTheme="minorHAnsi" w:hAnsiTheme="minorHAnsi" w:cs="Calibri"/>
          <w:szCs w:val="24"/>
        </w:rPr>
      </w:pPr>
      <w:r w:rsidRPr="002D7A10">
        <w:rPr>
          <w:rFonts w:asciiTheme="minorHAnsi" w:hAnsiTheme="minorHAnsi"/>
          <w:b/>
          <w:szCs w:val="24"/>
        </w:rPr>
        <w:t>Prehľad ponuky kurzov:</w:t>
      </w:r>
    </w:p>
    <w:p w:rsidR="00146B28" w:rsidRPr="002D7A10" w:rsidRDefault="00146B28" w:rsidP="00C827AC">
      <w:pPr>
        <w:pStyle w:val="Nzov"/>
        <w:jc w:val="both"/>
        <w:rPr>
          <w:rFonts w:asciiTheme="minorHAnsi" w:hAnsiTheme="minorHAnsi"/>
          <w:szCs w:val="24"/>
        </w:rPr>
      </w:pPr>
      <w:r w:rsidRPr="002D7A10">
        <w:rPr>
          <w:rFonts w:asciiTheme="minorHAnsi" w:hAnsiTheme="minorHAnsi"/>
          <w:szCs w:val="24"/>
        </w:rPr>
        <w:t xml:space="preserve">SvF -  Matematika, </w:t>
      </w:r>
    </w:p>
    <w:p w:rsidR="00146B28" w:rsidRPr="002D7A10" w:rsidRDefault="00146B28" w:rsidP="00C827AC">
      <w:pPr>
        <w:pStyle w:val="Nzov"/>
        <w:jc w:val="both"/>
        <w:rPr>
          <w:rFonts w:asciiTheme="minorHAnsi" w:hAnsiTheme="minorHAnsi"/>
          <w:szCs w:val="24"/>
        </w:rPr>
      </w:pPr>
      <w:r w:rsidRPr="002D7A10">
        <w:rPr>
          <w:rFonts w:asciiTheme="minorHAnsi" w:hAnsiTheme="minorHAnsi"/>
          <w:szCs w:val="24"/>
        </w:rPr>
        <w:t>SjF  - Matematika a Fyzika,</w:t>
      </w:r>
    </w:p>
    <w:p w:rsidR="00146B28" w:rsidRPr="002D7A10" w:rsidRDefault="00146B28" w:rsidP="00C827AC">
      <w:pPr>
        <w:pStyle w:val="Nzov"/>
        <w:jc w:val="both"/>
        <w:rPr>
          <w:rFonts w:asciiTheme="minorHAnsi" w:hAnsiTheme="minorHAnsi"/>
          <w:szCs w:val="24"/>
        </w:rPr>
      </w:pPr>
      <w:r w:rsidRPr="002D7A10">
        <w:rPr>
          <w:rFonts w:asciiTheme="minorHAnsi" w:hAnsiTheme="minorHAnsi"/>
          <w:szCs w:val="24"/>
        </w:rPr>
        <w:lastRenderedPageBreak/>
        <w:t xml:space="preserve">FEI  - </w:t>
      </w:r>
      <w:proofErr w:type="spellStart"/>
      <w:r w:rsidRPr="002D7A10">
        <w:rPr>
          <w:rFonts w:asciiTheme="minorHAnsi" w:hAnsiTheme="minorHAnsi"/>
          <w:szCs w:val="24"/>
        </w:rPr>
        <w:t>online</w:t>
      </w:r>
      <w:proofErr w:type="spellEnd"/>
      <w:r w:rsidRPr="002D7A10">
        <w:rPr>
          <w:rFonts w:asciiTheme="minorHAnsi" w:hAnsiTheme="minorHAnsi"/>
          <w:szCs w:val="24"/>
        </w:rPr>
        <w:t xml:space="preserve"> kurzy z Matematiky,</w:t>
      </w:r>
    </w:p>
    <w:p w:rsidR="00146B28" w:rsidRPr="002D7A10" w:rsidRDefault="00146B28" w:rsidP="00C827AC">
      <w:pPr>
        <w:pStyle w:val="Nzov"/>
        <w:jc w:val="both"/>
        <w:rPr>
          <w:rFonts w:asciiTheme="minorHAnsi" w:hAnsiTheme="minorHAnsi"/>
          <w:szCs w:val="24"/>
        </w:rPr>
      </w:pPr>
      <w:r w:rsidRPr="002D7A10">
        <w:rPr>
          <w:rFonts w:asciiTheme="minorHAnsi" w:hAnsiTheme="minorHAnsi"/>
          <w:szCs w:val="24"/>
        </w:rPr>
        <w:t>FCHPT -  Matematika, Fyzika a Chémia,</w:t>
      </w:r>
    </w:p>
    <w:p w:rsidR="00146B28" w:rsidRPr="002D7A10" w:rsidRDefault="00146B28" w:rsidP="00C827AC">
      <w:pPr>
        <w:pStyle w:val="Nzov"/>
        <w:jc w:val="both"/>
        <w:rPr>
          <w:rFonts w:asciiTheme="minorHAnsi" w:hAnsiTheme="minorHAnsi"/>
          <w:szCs w:val="24"/>
        </w:rPr>
      </w:pPr>
      <w:r w:rsidRPr="002D7A10">
        <w:rPr>
          <w:rFonts w:asciiTheme="minorHAnsi" w:hAnsiTheme="minorHAnsi"/>
          <w:szCs w:val="24"/>
        </w:rPr>
        <w:t>FA  - kurzy Kreslenia a Modelovania,</w:t>
      </w:r>
    </w:p>
    <w:p w:rsidR="00146B28" w:rsidRPr="002D7A10" w:rsidRDefault="00146B28" w:rsidP="00C827AC">
      <w:pPr>
        <w:pStyle w:val="Nzov"/>
        <w:jc w:val="both"/>
        <w:rPr>
          <w:rFonts w:asciiTheme="minorHAnsi" w:hAnsiTheme="minorHAnsi"/>
          <w:szCs w:val="24"/>
        </w:rPr>
      </w:pPr>
      <w:r w:rsidRPr="002D7A10">
        <w:rPr>
          <w:rFonts w:asciiTheme="minorHAnsi" w:hAnsiTheme="minorHAnsi"/>
          <w:szCs w:val="24"/>
        </w:rPr>
        <w:t>MTF  - Matematika a Fyzika.</w:t>
      </w:r>
    </w:p>
    <w:p w:rsidR="00146B28" w:rsidRPr="002D7A10" w:rsidRDefault="00146B28" w:rsidP="00C827AC">
      <w:pPr>
        <w:rPr>
          <w:rFonts w:asciiTheme="minorHAnsi" w:hAnsiTheme="minorHAnsi" w:cs="Calibri"/>
        </w:rPr>
      </w:pPr>
    </w:p>
    <w:p w:rsidR="00146B28" w:rsidRPr="002D7A10" w:rsidRDefault="00146B28" w:rsidP="00146B28">
      <w:pPr>
        <w:rPr>
          <w:rFonts w:asciiTheme="minorHAnsi" w:hAnsiTheme="minorHAnsi" w:cs="Calibri"/>
        </w:rPr>
      </w:pPr>
      <w:r w:rsidRPr="002D7A10">
        <w:rPr>
          <w:rFonts w:asciiTheme="minorHAnsi" w:hAnsiTheme="minorHAnsi" w:cs="Calibri"/>
        </w:rPr>
        <w:t xml:space="preserve">Pre zamestnancov STU, študentov tretieho stupňa štúdia ako i pre verejnosť boli na fakultách ponúkané aj jazykové kurzy. </w:t>
      </w:r>
    </w:p>
    <w:p w:rsidR="00B51749" w:rsidRDefault="00146B28" w:rsidP="00B51749">
      <w:pPr>
        <w:rPr>
          <w:rFonts w:asciiTheme="minorHAnsi" w:hAnsiTheme="minorHAnsi" w:cs="Calibri"/>
        </w:rPr>
      </w:pPr>
      <w:r w:rsidRPr="002D7A10">
        <w:rPr>
          <w:rFonts w:asciiTheme="minorHAnsi" w:hAnsiTheme="minorHAnsi" w:cs="Calibri"/>
        </w:rPr>
        <w:t>Spokojnosť frekventantov s realizáciou a zabezpečením vzdelávacích programov sa väčšinou zisťovala pomocou anonymných dotazníkov. Na základe ich vyhodnotenia možno konštatovať, že frekventanti boli spokojní tak s personálnym ako aj s materiálnym za</w:t>
      </w:r>
      <w:r w:rsidR="00D947F5">
        <w:rPr>
          <w:rFonts w:asciiTheme="minorHAnsi" w:hAnsiTheme="minorHAnsi" w:cs="Calibri"/>
        </w:rPr>
        <w:t xml:space="preserve">bezpečením aktivít CŽV na STU. </w:t>
      </w:r>
    </w:p>
    <w:p w:rsidR="00D947F5" w:rsidRPr="00D947F5" w:rsidRDefault="00D947F5" w:rsidP="00B51749">
      <w:pPr>
        <w:rPr>
          <w:rFonts w:asciiTheme="minorHAnsi" w:hAnsiTheme="minorHAnsi" w:cs="Calibri"/>
        </w:rPr>
      </w:pPr>
    </w:p>
    <w:p w:rsidR="00B51749" w:rsidRPr="00D947F5" w:rsidRDefault="00B51749" w:rsidP="00D947F5">
      <w:pPr>
        <w:pStyle w:val="Nadpis2"/>
        <w:rPr>
          <w:rFonts w:asciiTheme="minorHAnsi" w:hAnsiTheme="minorHAnsi"/>
          <w:color w:val="auto"/>
          <w:sz w:val="24"/>
          <w:szCs w:val="24"/>
        </w:rPr>
      </w:pPr>
      <w:bookmarkStart w:id="26" w:name="_Toc448261568"/>
      <w:r w:rsidRPr="002D7A10">
        <w:rPr>
          <w:rFonts w:asciiTheme="minorHAnsi" w:hAnsiTheme="minorHAnsi"/>
          <w:color w:val="auto"/>
          <w:sz w:val="24"/>
          <w:szCs w:val="24"/>
        </w:rPr>
        <w:t>Aktivity Inštitútu celoživotného vzdelávania na STU</w:t>
      </w:r>
      <w:bookmarkEnd w:id="26"/>
    </w:p>
    <w:p w:rsidR="00B26015" w:rsidRDefault="00B26015" w:rsidP="00146B28">
      <w:pPr>
        <w:tabs>
          <w:tab w:val="left" w:pos="567"/>
        </w:tabs>
        <w:rPr>
          <w:rFonts w:asciiTheme="minorHAnsi" w:hAnsiTheme="minorHAnsi" w:cs="Calibri"/>
        </w:rPr>
      </w:pPr>
    </w:p>
    <w:p w:rsidR="00146B28" w:rsidRPr="002D7A10" w:rsidRDefault="00146B28" w:rsidP="00146B28">
      <w:pPr>
        <w:tabs>
          <w:tab w:val="left" w:pos="567"/>
        </w:tabs>
        <w:rPr>
          <w:rFonts w:asciiTheme="minorHAnsi" w:hAnsiTheme="minorHAnsi" w:cs="Calibri"/>
        </w:rPr>
      </w:pPr>
      <w:r w:rsidRPr="002D7A10">
        <w:rPr>
          <w:rFonts w:asciiTheme="minorHAnsi" w:hAnsiTheme="minorHAnsi" w:cs="Calibri"/>
        </w:rPr>
        <w:t>ICV na STU je z hľadiska počtu frekventantov a absolventov jedným z najväčších inštitútov ďalšieho univerzitného vzdelávania na Slovensku. ICV je členom Slovenskej akademickej asociácie pre celoživotné vzdelávanie (SAACV) a siete „</w:t>
      </w:r>
      <w:proofErr w:type="spellStart"/>
      <w:r w:rsidRPr="002D7A10">
        <w:rPr>
          <w:rFonts w:asciiTheme="minorHAnsi" w:hAnsiTheme="minorHAnsi" w:cs="Calibri"/>
        </w:rPr>
        <w:t>European</w:t>
      </w:r>
      <w:proofErr w:type="spellEnd"/>
      <w:r w:rsidRPr="002D7A10">
        <w:rPr>
          <w:rFonts w:asciiTheme="minorHAnsi" w:hAnsiTheme="minorHAnsi" w:cs="Calibri"/>
        </w:rPr>
        <w:t xml:space="preserve"> </w:t>
      </w:r>
      <w:proofErr w:type="spellStart"/>
      <w:r w:rsidRPr="002D7A10">
        <w:rPr>
          <w:rFonts w:asciiTheme="minorHAnsi" w:hAnsiTheme="minorHAnsi" w:cs="Calibri"/>
        </w:rPr>
        <w:t>University</w:t>
      </w:r>
      <w:proofErr w:type="spellEnd"/>
      <w:r w:rsidRPr="002D7A10">
        <w:rPr>
          <w:rFonts w:asciiTheme="minorHAnsi" w:hAnsiTheme="minorHAnsi" w:cs="Calibri"/>
        </w:rPr>
        <w:t xml:space="preserve"> </w:t>
      </w:r>
      <w:proofErr w:type="spellStart"/>
      <w:r w:rsidRPr="002D7A10">
        <w:rPr>
          <w:rFonts w:asciiTheme="minorHAnsi" w:hAnsiTheme="minorHAnsi" w:cs="Calibri"/>
        </w:rPr>
        <w:t>Life-long</w:t>
      </w:r>
      <w:proofErr w:type="spellEnd"/>
      <w:r w:rsidRPr="002D7A10">
        <w:rPr>
          <w:rFonts w:asciiTheme="minorHAnsi" w:hAnsiTheme="minorHAnsi" w:cs="Calibri"/>
        </w:rPr>
        <w:t xml:space="preserve"> </w:t>
      </w:r>
      <w:proofErr w:type="spellStart"/>
      <w:r w:rsidRPr="002D7A10">
        <w:rPr>
          <w:rFonts w:asciiTheme="minorHAnsi" w:hAnsiTheme="minorHAnsi" w:cs="Calibri"/>
        </w:rPr>
        <w:t>Learning</w:t>
      </w:r>
      <w:proofErr w:type="spellEnd"/>
      <w:r w:rsidRPr="002D7A10">
        <w:rPr>
          <w:rFonts w:asciiTheme="minorHAnsi" w:hAnsiTheme="minorHAnsi" w:cs="Calibri"/>
        </w:rPr>
        <w:t xml:space="preserve"> </w:t>
      </w:r>
      <w:proofErr w:type="spellStart"/>
      <w:r w:rsidRPr="002D7A10">
        <w:rPr>
          <w:rFonts w:asciiTheme="minorHAnsi" w:hAnsiTheme="minorHAnsi" w:cs="Calibri"/>
        </w:rPr>
        <w:t>Network</w:t>
      </w:r>
      <w:proofErr w:type="spellEnd"/>
      <w:r w:rsidRPr="002D7A10">
        <w:rPr>
          <w:rFonts w:asciiTheme="minorHAnsi" w:hAnsiTheme="minorHAnsi" w:cs="Calibri"/>
        </w:rPr>
        <w:t xml:space="preserve">“. </w:t>
      </w:r>
    </w:p>
    <w:p w:rsidR="00146B28" w:rsidRPr="002D7A10" w:rsidRDefault="00146B28" w:rsidP="00146B28">
      <w:pPr>
        <w:tabs>
          <w:tab w:val="left" w:pos="567"/>
        </w:tabs>
        <w:rPr>
          <w:rFonts w:asciiTheme="minorHAnsi" w:hAnsiTheme="minorHAnsi" w:cs="Calibri"/>
        </w:rPr>
      </w:pPr>
      <w:r w:rsidRPr="002D7A10">
        <w:rPr>
          <w:rFonts w:asciiTheme="minorHAnsi" w:hAnsiTheme="minorHAnsi" w:cs="Calibri"/>
        </w:rPr>
        <w:t>ICV sa skladá z týchto súčastí: Oddelenie ďalšieho vzdelávania, Oddelenie jazykovej prípravy (Jazykové centrum a Francúzske centrum), Univerzita tretieho veku a Oddelenie technickej pedagogiky.</w:t>
      </w:r>
    </w:p>
    <w:p w:rsidR="00146B28" w:rsidRPr="002D7A10" w:rsidRDefault="00146B28" w:rsidP="00146B28">
      <w:pPr>
        <w:tabs>
          <w:tab w:val="left" w:pos="709"/>
        </w:tabs>
        <w:rPr>
          <w:rFonts w:asciiTheme="minorHAnsi" w:hAnsiTheme="minorHAnsi" w:cs="Calibri"/>
          <w:b/>
        </w:rPr>
      </w:pPr>
    </w:p>
    <w:p w:rsidR="00146B28" w:rsidRPr="002D7A10" w:rsidRDefault="00146B28" w:rsidP="00146B28">
      <w:pPr>
        <w:tabs>
          <w:tab w:val="left" w:pos="709"/>
        </w:tabs>
        <w:rPr>
          <w:rFonts w:asciiTheme="minorHAnsi" w:hAnsiTheme="minorHAnsi" w:cs="Calibri"/>
          <w:b/>
        </w:rPr>
      </w:pPr>
      <w:r w:rsidRPr="002D7A10">
        <w:rPr>
          <w:rFonts w:asciiTheme="minorHAnsi" w:hAnsiTheme="minorHAnsi" w:cs="Calibri"/>
          <w:b/>
        </w:rPr>
        <w:t>Oddelenie ďalšieho vzdelávania (OĎV)</w:t>
      </w:r>
    </w:p>
    <w:p w:rsidR="00146B28" w:rsidRPr="002D7A10" w:rsidRDefault="00146B28" w:rsidP="00146B28">
      <w:pPr>
        <w:tabs>
          <w:tab w:val="left" w:pos="567"/>
        </w:tabs>
        <w:rPr>
          <w:rFonts w:asciiTheme="minorHAnsi" w:hAnsiTheme="minorHAnsi" w:cs="Calibri"/>
        </w:rPr>
      </w:pPr>
      <w:r w:rsidRPr="002D7A10">
        <w:rPr>
          <w:rFonts w:asciiTheme="minorHAnsi" w:hAnsiTheme="minorHAnsi" w:cs="Calibri"/>
        </w:rPr>
        <w:t xml:space="preserve">V akademickom roku 2014/2015 OĎV organizačne zabezpečovalo akreditované 2-ročné kombinované dištančné vzdelávanie </w:t>
      </w:r>
      <w:r w:rsidRPr="002D7A10">
        <w:rPr>
          <w:rFonts w:asciiTheme="minorHAnsi" w:hAnsiTheme="minorHAnsi" w:cs="Calibri"/>
          <w:b/>
        </w:rPr>
        <w:t xml:space="preserve">„Professional MBA </w:t>
      </w:r>
      <w:proofErr w:type="spellStart"/>
      <w:r w:rsidRPr="002D7A10">
        <w:rPr>
          <w:rFonts w:asciiTheme="minorHAnsi" w:hAnsiTheme="minorHAnsi" w:cs="Calibri"/>
          <w:b/>
        </w:rPr>
        <w:t>Automotive</w:t>
      </w:r>
      <w:proofErr w:type="spellEnd"/>
      <w:r w:rsidRPr="002D7A10">
        <w:rPr>
          <w:rFonts w:asciiTheme="minorHAnsi" w:hAnsiTheme="minorHAnsi" w:cs="Calibri"/>
          <w:b/>
        </w:rPr>
        <w:t xml:space="preserve"> </w:t>
      </w:r>
      <w:proofErr w:type="spellStart"/>
      <w:r w:rsidRPr="002D7A10">
        <w:rPr>
          <w:rFonts w:asciiTheme="minorHAnsi" w:hAnsiTheme="minorHAnsi" w:cs="Calibri"/>
          <w:b/>
        </w:rPr>
        <w:t>Industry</w:t>
      </w:r>
      <w:proofErr w:type="spellEnd"/>
      <w:r w:rsidRPr="002D7A10">
        <w:rPr>
          <w:rFonts w:asciiTheme="minorHAnsi" w:hAnsiTheme="minorHAnsi" w:cs="Calibri"/>
          <w:b/>
        </w:rPr>
        <w:t>“ v angličtine</w:t>
      </w:r>
      <w:r w:rsidRPr="002D7A10">
        <w:rPr>
          <w:rFonts w:asciiTheme="minorHAnsi" w:hAnsiTheme="minorHAnsi" w:cs="Calibri"/>
        </w:rPr>
        <w:t xml:space="preserve"> </w:t>
      </w:r>
      <w:r w:rsidRPr="002D7A10">
        <w:rPr>
          <w:rFonts w:asciiTheme="minorHAnsi" w:hAnsiTheme="minorHAnsi" w:cs="Calibri"/>
          <w:b/>
        </w:rPr>
        <w:t xml:space="preserve">podporované </w:t>
      </w:r>
      <w:proofErr w:type="spellStart"/>
      <w:r w:rsidRPr="002D7A10">
        <w:rPr>
          <w:rFonts w:asciiTheme="minorHAnsi" w:hAnsiTheme="minorHAnsi" w:cs="Calibri"/>
          <w:b/>
        </w:rPr>
        <w:t>e-learningovým</w:t>
      </w:r>
      <w:proofErr w:type="spellEnd"/>
      <w:r w:rsidRPr="002D7A10">
        <w:rPr>
          <w:rFonts w:asciiTheme="minorHAnsi" w:hAnsiTheme="minorHAnsi" w:cs="Calibri"/>
          <w:b/>
        </w:rPr>
        <w:t xml:space="preserve"> prostredím</w:t>
      </w:r>
      <w:r w:rsidRPr="002D7A10">
        <w:rPr>
          <w:rFonts w:asciiTheme="minorHAnsi" w:hAnsiTheme="minorHAnsi" w:cs="Calibri"/>
        </w:rPr>
        <w:t xml:space="preserve">, ktorého študijný program bol v roku 2009 akreditovaný federáciou FIBAA a v roku 2013 </w:t>
      </w:r>
      <w:proofErr w:type="spellStart"/>
      <w:r w:rsidRPr="002D7A10">
        <w:rPr>
          <w:rFonts w:asciiTheme="minorHAnsi" w:hAnsiTheme="minorHAnsi" w:cs="Calibri"/>
        </w:rPr>
        <w:t>reakreditovaný</w:t>
      </w:r>
      <w:proofErr w:type="spellEnd"/>
      <w:r w:rsidRPr="002D7A10">
        <w:rPr>
          <w:rFonts w:asciiTheme="minorHAnsi" w:hAnsiTheme="minorHAnsi" w:cs="Calibri"/>
        </w:rPr>
        <w:t xml:space="preserve"> do roku 2020. Úspešné štúdium bolo pripravené za pomoci už ukončeného projektu cezhraničnej spolupráce Slovenská republika – Rakúsko 2007-2013 (partnermi boli Auto </w:t>
      </w:r>
      <w:proofErr w:type="spellStart"/>
      <w:r w:rsidRPr="002D7A10">
        <w:rPr>
          <w:rFonts w:asciiTheme="minorHAnsi" w:hAnsiTheme="minorHAnsi" w:cs="Calibri"/>
        </w:rPr>
        <w:t>Cluster</w:t>
      </w:r>
      <w:proofErr w:type="spellEnd"/>
      <w:r w:rsidRPr="002D7A10">
        <w:rPr>
          <w:rFonts w:asciiTheme="minorHAnsi" w:hAnsiTheme="minorHAnsi" w:cs="Calibri"/>
        </w:rPr>
        <w:t xml:space="preserve"> </w:t>
      </w:r>
      <w:proofErr w:type="spellStart"/>
      <w:r w:rsidRPr="002D7A10">
        <w:rPr>
          <w:rFonts w:asciiTheme="minorHAnsi" w:hAnsiTheme="minorHAnsi" w:cs="Calibri"/>
        </w:rPr>
        <w:t>Vienna</w:t>
      </w:r>
      <w:proofErr w:type="spellEnd"/>
      <w:r w:rsidRPr="002D7A10">
        <w:rPr>
          <w:rFonts w:asciiTheme="minorHAnsi" w:hAnsiTheme="minorHAnsi" w:cs="Calibri"/>
        </w:rPr>
        <w:t xml:space="preserve"> </w:t>
      </w:r>
      <w:proofErr w:type="spellStart"/>
      <w:r w:rsidRPr="002D7A10">
        <w:rPr>
          <w:rFonts w:asciiTheme="minorHAnsi" w:hAnsiTheme="minorHAnsi" w:cs="Calibri"/>
        </w:rPr>
        <w:t>Region</w:t>
      </w:r>
      <w:proofErr w:type="spellEnd"/>
      <w:r w:rsidRPr="002D7A10">
        <w:rPr>
          <w:rFonts w:asciiTheme="minorHAnsi" w:hAnsiTheme="minorHAnsi" w:cs="Calibri"/>
        </w:rPr>
        <w:t xml:space="preserve"> (ACVR) a </w:t>
      </w:r>
      <w:proofErr w:type="spellStart"/>
      <w:r w:rsidRPr="002D7A10">
        <w:rPr>
          <w:rFonts w:asciiTheme="minorHAnsi" w:hAnsiTheme="minorHAnsi" w:cs="Calibri"/>
        </w:rPr>
        <w:t>Technische</w:t>
      </w:r>
      <w:proofErr w:type="spellEnd"/>
      <w:r w:rsidRPr="002D7A10">
        <w:rPr>
          <w:rFonts w:asciiTheme="minorHAnsi" w:hAnsiTheme="minorHAnsi" w:cs="Calibri"/>
        </w:rPr>
        <w:t xml:space="preserve"> </w:t>
      </w:r>
      <w:proofErr w:type="spellStart"/>
      <w:r w:rsidRPr="002D7A10">
        <w:rPr>
          <w:rFonts w:asciiTheme="minorHAnsi" w:hAnsiTheme="minorHAnsi" w:cs="Calibri"/>
        </w:rPr>
        <w:t>Universität</w:t>
      </w:r>
      <w:proofErr w:type="spellEnd"/>
      <w:r w:rsidRPr="002D7A10">
        <w:rPr>
          <w:rFonts w:asciiTheme="minorHAnsi" w:hAnsiTheme="minorHAnsi" w:cs="Calibri"/>
        </w:rPr>
        <w:t xml:space="preserve"> </w:t>
      </w:r>
      <w:proofErr w:type="spellStart"/>
      <w:r w:rsidRPr="002D7A10">
        <w:rPr>
          <w:rFonts w:asciiTheme="minorHAnsi" w:hAnsiTheme="minorHAnsi" w:cs="Calibri"/>
        </w:rPr>
        <w:t>Wien</w:t>
      </w:r>
      <w:proofErr w:type="spellEnd"/>
      <w:r w:rsidRPr="002D7A10">
        <w:rPr>
          <w:rFonts w:asciiTheme="minorHAnsi" w:hAnsiTheme="minorHAnsi" w:cs="Calibri"/>
        </w:rPr>
        <w:t xml:space="preserve">, za ktorú je partnerom Inštitút celoživotného vzdelávania „CEC – TU </w:t>
      </w:r>
      <w:proofErr w:type="spellStart"/>
      <w:r w:rsidRPr="002D7A10">
        <w:rPr>
          <w:rFonts w:asciiTheme="minorHAnsi" w:hAnsiTheme="minorHAnsi" w:cs="Calibri"/>
        </w:rPr>
        <w:t>Vienna</w:t>
      </w:r>
      <w:proofErr w:type="spellEnd"/>
      <w:r w:rsidRPr="002D7A10">
        <w:rPr>
          <w:rFonts w:asciiTheme="minorHAnsi" w:hAnsiTheme="minorHAnsi" w:cs="Calibri"/>
        </w:rPr>
        <w:t xml:space="preserve">“). Každoročne v globálnom prostredí ponúkaný študijný program začína 13 až 23 študujúcich, obvykle zo 7 až 8 štátov. V rokoch 2009 až 2014 bolo prijatých spolu 96 študujúcich, z ktorých 61 ukončilo dvojročné štúdium (v akademickom roku 2014/2015 obhájilo doteraz 8 frekventantov záverečné práce). Do 6-tej skupiny dvojročného štúdia (2014 až 2016) bolo prijatých 14 študujúcich zo 7-mich krajín. Význam globálneho štúdia je aj v tom, že STU vytvorilo podmienky pre spoluprácu s TU Viedeň na programe, v ktorom pôsobí viacej ako 50 lektorov hlavne z Rakúska a Slovenska a medzi 96 študujúcimi boli a sú manažéri </w:t>
      </w:r>
      <w:r w:rsidR="003C0D90" w:rsidRPr="002D7A10">
        <w:rPr>
          <w:rFonts w:asciiTheme="minorHAnsi" w:hAnsiTheme="minorHAnsi" w:cs="Calibri"/>
        </w:rPr>
        <w:t xml:space="preserve">(technici, obchodníci, bankári) </w:t>
      </w:r>
      <w:r w:rsidRPr="002D7A10">
        <w:rPr>
          <w:rFonts w:asciiTheme="minorHAnsi" w:hAnsiTheme="minorHAnsi" w:cs="Calibri"/>
        </w:rPr>
        <w:t>významných výrobných i nevýrobných globálnych spoločností 23 štátov Ázie, Európy, Afriky a Severnej Ameriky</w:t>
      </w:r>
      <w:r w:rsidRPr="002D7A10">
        <w:rPr>
          <w:rFonts w:asciiTheme="minorHAnsi" w:hAnsiTheme="minorHAnsi" w:cs="Calibri"/>
          <w:b/>
        </w:rPr>
        <w:t xml:space="preserve">. </w:t>
      </w:r>
      <w:r w:rsidRPr="002D7A10">
        <w:rPr>
          <w:rFonts w:asciiTheme="minorHAnsi" w:hAnsiTheme="minorHAnsi" w:cs="Calibri"/>
        </w:rPr>
        <w:t>V </w:t>
      </w:r>
      <w:proofErr w:type="spellStart"/>
      <w:r w:rsidRPr="002D7A10">
        <w:rPr>
          <w:rFonts w:asciiTheme="minorHAnsi" w:hAnsiTheme="minorHAnsi" w:cs="Calibri"/>
        </w:rPr>
        <w:t>multinárodnom</w:t>
      </w:r>
      <w:proofErr w:type="spellEnd"/>
      <w:r w:rsidRPr="002D7A10">
        <w:rPr>
          <w:rFonts w:asciiTheme="minorHAnsi" w:hAnsiTheme="minorHAnsi" w:cs="Calibri"/>
        </w:rPr>
        <w:t xml:space="preserve"> prostredí sa presadzujú aj zástupcovia zo Slovenska – doteraz ich je 21, viacej frekventantov vykazujeme iba z Rakúska 32.</w:t>
      </w:r>
    </w:p>
    <w:p w:rsidR="00146B28" w:rsidRPr="002D7A10" w:rsidRDefault="00146B28" w:rsidP="00146B28">
      <w:pPr>
        <w:rPr>
          <w:rFonts w:asciiTheme="minorHAnsi" w:hAnsiTheme="minorHAnsi" w:cs="Calibri"/>
        </w:rPr>
      </w:pPr>
    </w:p>
    <w:p w:rsidR="00146B28" w:rsidRPr="002D7A10" w:rsidRDefault="00146B28" w:rsidP="00146B28">
      <w:pPr>
        <w:tabs>
          <w:tab w:val="left" w:pos="709"/>
        </w:tabs>
        <w:rPr>
          <w:rFonts w:asciiTheme="minorHAnsi" w:hAnsiTheme="minorHAnsi" w:cs="Calibri"/>
          <w:b/>
        </w:rPr>
      </w:pPr>
      <w:r w:rsidRPr="002D7A10">
        <w:rPr>
          <w:rFonts w:asciiTheme="minorHAnsi" w:hAnsiTheme="minorHAnsi" w:cs="Calibri"/>
          <w:b/>
        </w:rPr>
        <w:t>Jazykové centrum (JC)</w:t>
      </w:r>
    </w:p>
    <w:p w:rsidR="00146B28" w:rsidRPr="002D7A10" w:rsidRDefault="00146B28" w:rsidP="00146B28">
      <w:pPr>
        <w:rPr>
          <w:rFonts w:asciiTheme="minorHAnsi" w:hAnsiTheme="minorHAnsi" w:cs="Calibri"/>
        </w:rPr>
      </w:pPr>
      <w:r w:rsidRPr="002D7A10">
        <w:rPr>
          <w:rFonts w:asciiTheme="minorHAnsi" w:hAnsiTheme="minorHAnsi" w:cs="Calibri"/>
        </w:rPr>
        <w:lastRenderedPageBreak/>
        <w:t xml:space="preserve">Jazykové centrum STU zorganizovalo v akademickom roku 2014/2015 16 kurzov angličtiny, nemčiny a ruštiny. Kurzy prebiehali </w:t>
      </w:r>
      <w:proofErr w:type="spellStart"/>
      <w:r w:rsidRPr="002D7A10">
        <w:rPr>
          <w:rFonts w:asciiTheme="minorHAnsi" w:hAnsiTheme="minorHAnsi" w:cs="Calibri"/>
        </w:rPr>
        <w:t>polointenzívnou</w:t>
      </w:r>
      <w:proofErr w:type="spellEnd"/>
      <w:r w:rsidRPr="002D7A10">
        <w:rPr>
          <w:rFonts w:asciiTheme="minorHAnsi" w:hAnsiTheme="minorHAnsi" w:cs="Calibri"/>
        </w:rPr>
        <w:t xml:space="preserve"> formou</w:t>
      </w:r>
      <w:r w:rsidR="003C0D90" w:rsidRPr="002D7A10">
        <w:rPr>
          <w:rFonts w:asciiTheme="minorHAnsi" w:hAnsiTheme="minorHAnsi" w:cs="Calibri"/>
        </w:rPr>
        <w:t xml:space="preserve"> (</w:t>
      </w:r>
      <w:r w:rsidRPr="002D7A10">
        <w:rPr>
          <w:rFonts w:asciiTheme="minorHAnsi" w:hAnsiTheme="minorHAnsi" w:cs="Calibri"/>
        </w:rPr>
        <w:t xml:space="preserve">2x2 h do týždňa spolu </w:t>
      </w:r>
      <w:r w:rsidR="003C0D90" w:rsidRPr="002D7A10">
        <w:rPr>
          <w:rFonts w:asciiTheme="minorHAnsi" w:hAnsiTheme="minorHAnsi" w:cs="Calibri"/>
        </w:rPr>
        <w:t>6</w:t>
      </w:r>
      <w:r w:rsidRPr="002D7A10">
        <w:rPr>
          <w:rFonts w:asciiTheme="minorHAnsi" w:hAnsiTheme="minorHAnsi" w:cs="Calibri"/>
        </w:rPr>
        <w:t>0 h</w:t>
      </w:r>
      <w:r w:rsidR="003C0D90" w:rsidRPr="002D7A10">
        <w:rPr>
          <w:rFonts w:asciiTheme="minorHAnsi" w:hAnsiTheme="minorHAnsi" w:cs="Calibri"/>
        </w:rPr>
        <w:t>)</w:t>
      </w:r>
      <w:r w:rsidRPr="002D7A10">
        <w:rPr>
          <w:rFonts w:asciiTheme="minorHAnsi" w:hAnsiTheme="minorHAnsi" w:cs="Calibri"/>
        </w:rPr>
        <w:t>. JC pôsobí v renovovaných priestoroch budovy Rektorátu STU, rozširuje ponuku o „ranné“ vyučovanie, a tiež o ďalšie jazyky (španielčina a i.).</w:t>
      </w:r>
    </w:p>
    <w:p w:rsidR="00146B28" w:rsidRPr="002D7A10" w:rsidRDefault="00146B28" w:rsidP="00146B28">
      <w:pPr>
        <w:rPr>
          <w:rFonts w:asciiTheme="minorHAnsi" w:hAnsiTheme="minorHAnsi" w:cs="Calibri"/>
        </w:rPr>
      </w:pPr>
    </w:p>
    <w:p w:rsidR="00146B28" w:rsidRPr="002D7A10" w:rsidRDefault="00146B28" w:rsidP="00146B28">
      <w:pPr>
        <w:tabs>
          <w:tab w:val="left" w:pos="709"/>
        </w:tabs>
        <w:rPr>
          <w:rFonts w:asciiTheme="minorHAnsi" w:hAnsiTheme="minorHAnsi" w:cs="Calibri"/>
          <w:b/>
        </w:rPr>
      </w:pPr>
      <w:r w:rsidRPr="002D7A10">
        <w:rPr>
          <w:rFonts w:asciiTheme="minorHAnsi" w:hAnsiTheme="minorHAnsi" w:cs="Calibri"/>
          <w:b/>
        </w:rPr>
        <w:t>Francúzske centrum (FC)</w:t>
      </w:r>
    </w:p>
    <w:p w:rsidR="00146B28" w:rsidRPr="002D7A10" w:rsidRDefault="00146B28" w:rsidP="00146B28">
      <w:pPr>
        <w:rPr>
          <w:rFonts w:asciiTheme="minorHAnsi" w:hAnsiTheme="minorHAnsi" w:cs="Calibri"/>
        </w:rPr>
      </w:pPr>
      <w:r w:rsidRPr="002D7A10">
        <w:rPr>
          <w:rFonts w:asciiTheme="minorHAnsi" w:hAnsiTheme="minorHAnsi" w:cs="Calibri"/>
        </w:rPr>
        <w:t>Francúzske centrum STU navštevovalo spolu 14 frekventantov. V zimnom a letnom semestri bolo otvorených po</w:t>
      </w:r>
      <w:r w:rsidR="00CB778A" w:rsidRPr="002D7A10">
        <w:rPr>
          <w:rFonts w:asciiTheme="minorHAnsi" w:hAnsiTheme="minorHAnsi" w:cs="Calibri"/>
        </w:rPr>
        <w:t xml:space="preserve"> </w:t>
      </w:r>
      <w:r w:rsidRPr="002D7A10">
        <w:rPr>
          <w:rFonts w:asciiTheme="minorHAnsi" w:hAnsiTheme="minorHAnsi" w:cs="Calibri"/>
        </w:rPr>
        <w:t>1 kurze. V oboch semestroch boli vzdelávaní stredne pokročilí. Od roku 2015/2016 je vyučovanie francúzskeho jazyka spoločne v Jazykovom centre STU v hlavne budove R STU.</w:t>
      </w:r>
    </w:p>
    <w:p w:rsidR="00146B28" w:rsidRPr="002D7A10" w:rsidRDefault="00146B28" w:rsidP="00146B28">
      <w:pPr>
        <w:rPr>
          <w:rFonts w:asciiTheme="minorHAnsi" w:hAnsiTheme="minorHAnsi" w:cs="Calibri"/>
        </w:rPr>
      </w:pPr>
    </w:p>
    <w:p w:rsidR="00146B28" w:rsidRPr="002D7A10" w:rsidRDefault="00146B28" w:rsidP="00146B28">
      <w:pPr>
        <w:tabs>
          <w:tab w:val="left" w:pos="567"/>
          <w:tab w:val="left" w:pos="709"/>
        </w:tabs>
        <w:rPr>
          <w:rFonts w:asciiTheme="minorHAnsi" w:hAnsiTheme="minorHAnsi" w:cs="Calibri"/>
          <w:b/>
        </w:rPr>
      </w:pPr>
      <w:r w:rsidRPr="002D7A10">
        <w:rPr>
          <w:rFonts w:asciiTheme="minorHAnsi" w:hAnsiTheme="minorHAnsi" w:cs="Calibri"/>
          <w:b/>
          <w:bCs/>
        </w:rPr>
        <w:t>Univerzita tretieho veku (UTV)</w:t>
      </w:r>
    </w:p>
    <w:p w:rsidR="00146B28" w:rsidRPr="005976D3" w:rsidRDefault="00146B28" w:rsidP="00CB778A">
      <w:pPr>
        <w:tabs>
          <w:tab w:val="left" w:pos="-567"/>
        </w:tabs>
        <w:spacing w:after="120"/>
        <w:rPr>
          <w:rFonts w:asciiTheme="minorHAnsi" w:hAnsiTheme="minorHAnsi" w:cs="Calibri"/>
          <w:snapToGrid w:val="0"/>
          <w:sz w:val="20"/>
          <w:szCs w:val="20"/>
        </w:rPr>
      </w:pPr>
      <w:r w:rsidRPr="002D7A10">
        <w:rPr>
          <w:rFonts w:asciiTheme="minorHAnsi" w:hAnsiTheme="minorHAnsi" w:cs="Calibri"/>
          <w:snapToGrid w:val="0"/>
        </w:rPr>
        <w:t xml:space="preserve">Vzdelávacie aktivity v rámci </w:t>
      </w:r>
      <w:r w:rsidRPr="002D7A10">
        <w:rPr>
          <w:rFonts w:asciiTheme="minorHAnsi" w:hAnsiTheme="minorHAnsi" w:cs="Calibri"/>
          <w:bCs/>
        </w:rPr>
        <w:t>UTV prebiehali</w:t>
      </w:r>
      <w:r w:rsidRPr="002D7A10">
        <w:rPr>
          <w:rFonts w:asciiTheme="minorHAnsi" w:hAnsiTheme="minorHAnsi" w:cs="Calibri"/>
          <w:snapToGrid w:val="0"/>
        </w:rPr>
        <w:t xml:space="preserve"> podľa harmonogramu zverejneného v Študijnom programe UTV STU v Bratislave. Hlavné formy výučby zostali zachované: </w:t>
      </w:r>
      <w:r w:rsidRPr="002D7A10">
        <w:rPr>
          <w:rFonts w:asciiTheme="minorHAnsi" w:hAnsiTheme="minorHAnsi" w:cs="Calibri"/>
          <w:bCs/>
          <w:snapToGrid w:val="0"/>
        </w:rPr>
        <w:t xml:space="preserve">prednášky </w:t>
      </w:r>
      <w:r w:rsidRPr="002D7A10">
        <w:rPr>
          <w:rFonts w:asciiTheme="minorHAnsi" w:hAnsiTheme="minorHAnsi" w:cs="Calibri"/>
          <w:snapToGrid w:val="0"/>
        </w:rPr>
        <w:t xml:space="preserve">spojené s diskusiou a praktická výučba </w:t>
      </w:r>
      <w:r w:rsidR="00CB778A" w:rsidRPr="002D7A10">
        <w:rPr>
          <w:rFonts w:asciiTheme="minorHAnsi" w:hAnsiTheme="minorHAnsi" w:cs="Calibri"/>
          <w:snapToGrid w:val="0"/>
        </w:rPr>
        <w:t>doplnená konzultáciami</w:t>
      </w:r>
      <w:r w:rsidRPr="002D7A10">
        <w:rPr>
          <w:rFonts w:asciiTheme="minorHAnsi" w:hAnsiTheme="minorHAnsi" w:cs="Calibri"/>
          <w:snapToGrid w:val="0"/>
        </w:rPr>
        <w:t xml:space="preserve"> na počítačových študijných odboroch. Ťažiskom praktickej výučby na študijnom odbore „Prak</w:t>
      </w:r>
      <w:r w:rsidR="00CB778A" w:rsidRPr="002D7A10">
        <w:rPr>
          <w:rFonts w:asciiTheme="minorHAnsi" w:hAnsiTheme="minorHAnsi" w:cs="Calibri"/>
          <w:snapToGrid w:val="0"/>
        </w:rPr>
        <w:t xml:space="preserve">tické využitie počítačov“ bola </w:t>
      </w:r>
      <w:r w:rsidRPr="002D7A10">
        <w:rPr>
          <w:rFonts w:asciiTheme="minorHAnsi" w:hAnsiTheme="minorHAnsi" w:cs="Calibri"/>
          <w:snapToGrid w:val="0"/>
        </w:rPr>
        <w:t>samostatná práca študentov – seniorov, podporovaná prednáškami a konzultáciami, ktorá vyústila do vypracovania zaujímavých počítačových projektov (aplikácií počítačových programov pre vlastné využitie frekventantmi) prezentovaných 17.6.2015. V  termíne 14.</w:t>
      </w:r>
      <w:r w:rsidR="00AE4DF3" w:rsidRPr="002D7A10">
        <w:rPr>
          <w:rFonts w:asciiTheme="minorHAnsi" w:hAnsiTheme="minorHAnsi" w:cs="Calibri"/>
          <w:snapToGrid w:val="0"/>
        </w:rPr>
        <w:t xml:space="preserve"> </w:t>
      </w:r>
      <w:r w:rsidRPr="002D7A10">
        <w:rPr>
          <w:rFonts w:asciiTheme="minorHAnsi" w:hAnsiTheme="minorHAnsi" w:cs="Calibri"/>
          <w:snapToGrid w:val="0"/>
        </w:rPr>
        <w:t>9.</w:t>
      </w:r>
      <w:r w:rsidR="00AE4DF3" w:rsidRPr="002D7A10">
        <w:rPr>
          <w:rFonts w:asciiTheme="minorHAnsi" w:hAnsiTheme="minorHAnsi" w:cs="Calibri"/>
          <w:snapToGrid w:val="0"/>
        </w:rPr>
        <w:t xml:space="preserve"> </w:t>
      </w:r>
      <w:r w:rsidRPr="002D7A10">
        <w:rPr>
          <w:rFonts w:asciiTheme="minorHAnsi" w:hAnsiTheme="minorHAnsi" w:cs="Calibri"/>
          <w:snapToGrid w:val="0"/>
        </w:rPr>
        <w:t>2015 bola otvorená vernisážou výstava „Fotografia a seniori“ vo foyeri FA STU z prác absolventov druhého ročníka „Digitálna fotografia“.</w:t>
      </w:r>
      <w:r w:rsidR="00CB778A" w:rsidRPr="002D7A10">
        <w:rPr>
          <w:rFonts w:asciiTheme="minorHAnsi" w:hAnsiTheme="minorHAnsi" w:cs="Calibri"/>
        </w:rPr>
        <w:t xml:space="preserve"> </w:t>
      </w:r>
      <w:r w:rsidRPr="002D7A10">
        <w:rPr>
          <w:rFonts w:asciiTheme="minorHAnsi" w:hAnsiTheme="minorHAnsi" w:cs="Calibri"/>
          <w:snapToGrid w:val="0"/>
        </w:rPr>
        <w:t>Celkove bolo v akad. roku 2014/2015 realizovaných spolu 448 hodín prednášok spojených s diskusiami, ktoré zabezpečovalo 103 prednášateľov. Praktická výučba bola realizovaná v rozsahu 308 hodín, 56 hodín bolo venovanýc</w:t>
      </w:r>
      <w:r w:rsidR="00CB778A" w:rsidRPr="002D7A10">
        <w:rPr>
          <w:rFonts w:asciiTheme="minorHAnsi" w:hAnsiTheme="minorHAnsi" w:cs="Calibri"/>
          <w:snapToGrid w:val="0"/>
        </w:rPr>
        <w:t xml:space="preserve">h teórii, viedli ich 7 lektori. </w:t>
      </w:r>
      <w:r w:rsidRPr="005976D3">
        <w:rPr>
          <w:rFonts w:asciiTheme="minorHAnsi" w:hAnsiTheme="minorHAnsi" w:cs="Calibri"/>
          <w:b/>
          <w:snapToGrid w:val="0"/>
        </w:rPr>
        <w:t xml:space="preserve">V hodnotenom akad. roku študovalo na UTV 725 frekventantov </w:t>
      </w:r>
      <w:r w:rsidRPr="002D7A10">
        <w:rPr>
          <w:rFonts w:asciiTheme="minorHAnsi" w:hAnsiTheme="minorHAnsi" w:cs="Calibri"/>
          <w:snapToGrid w:val="0"/>
        </w:rPr>
        <w:t>(vo všeobecnom 1.ročníku a v 13-tic</w:t>
      </w:r>
      <w:r w:rsidR="00CB778A" w:rsidRPr="002D7A10">
        <w:rPr>
          <w:rFonts w:asciiTheme="minorHAnsi" w:hAnsiTheme="minorHAnsi" w:cs="Calibri"/>
          <w:snapToGrid w:val="0"/>
        </w:rPr>
        <w:t xml:space="preserve">h dvoj- a trojročných kurzoch). </w:t>
      </w:r>
      <w:r w:rsidRPr="002D7A10">
        <w:rPr>
          <w:rFonts w:asciiTheme="minorHAnsi" w:hAnsiTheme="minorHAnsi" w:cs="Calibri"/>
          <w:b/>
          <w:snapToGrid w:val="0"/>
        </w:rPr>
        <w:t>Počas slávnostného aktu boli odovzdané „Osvedčenia o absolvovaní UTV“ 141 absolventom.</w:t>
      </w:r>
      <w:r w:rsidRPr="002D7A10">
        <w:rPr>
          <w:rFonts w:asciiTheme="minorHAnsi" w:hAnsiTheme="minorHAnsi" w:cs="Calibri"/>
          <w:snapToGrid w:val="0"/>
        </w:rPr>
        <w:t xml:space="preserve"> Ukončením akademického roka 2014/2015 zavŕšila Univerzita tretieho veku pri STU už sedemnásty rok svojej existencie.  </w:t>
      </w:r>
    </w:p>
    <w:p w:rsidR="005976D3" w:rsidRPr="005976D3" w:rsidRDefault="005976D3" w:rsidP="005976D3">
      <w:pPr>
        <w:pStyle w:val="Nadpis3"/>
        <w:numPr>
          <w:ilvl w:val="0"/>
          <w:numId w:val="0"/>
        </w:numPr>
        <w:spacing w:before="0" w:after="0"/>
        <w:jc w:val="both"/>
        <w:rPr>
          <w:rFonts w:asciiTheme="minorHAnsi" w:hAnsiTheme="minorHAnsi"/>
          <w:sz w:val="20"/>
          <w:szCs w:val="20"/>
        </w:rPr>
      </w:pPr>
      <w:bookmarkStart w:id="27" w:name="_Toc448261569"/>
      <w:r>
        <w:rPr>
          <w:rFonts w:asciiTheme="minorHAnsi" w:hAnsiTheme="minorHAnsi"/>
          <w:sz w:val="20"/>
          <w:szCs w:val="20"/>
        </w:rPr>
        <w:t xml:space="preserve">Tab. 3.33: </w:t>
      </w:r>
      <w:r w:rsidRPr="005976D3">
        <w:rPr>
          <w:rFonts w:asciiTheme="minorHAnsi" w:hAnsiTheme="minorHAnsi"/>
          <w:sz w:val="20"/>
          <w:szCs w:val="20"/>
        </w:rPr>
        <w:t>Univerzita tretieho veku</w:t>
      </w:r>
      <w:bookmarkEnd w:id="27"/>
    </w:p>
    <w:tbl>
      <w:tblPr>
        <w:tblW w:w="9360" w:type="dxa"/>
        <w:tblInd w:w="67" w:type="dxa"/>
        <w:tblCellMar>
          <w:left w:w="0" w:type="dxa"/>
          <w:right w:w="0" w:type="dxa"/>
        </w:tblCellMar>
        <w:tblLook w:val="04A0" w:firstRow="1" w:lastRow="0" w:firstColumn="1" w:lastColumn="0" w:noHBand="0" w:noVBand="1"/>
      </w:tblPr>
      <w:tblGrid>
        <w:gridCol w:w="4254"/>
        <w:gridCol w:w="1558"/>
        <w:gridCol w:w="996"/>
        <w:gridCol w:w="993"/>
        <w:gridCol w:w="1559"/>
      </w:tblGrid>
      <w:tr w:rsidR="005976D3" w:rsidRPr="005976D3" w:rsidTr="005976D3">
        <w:tc>
          <w:tcPr>
            <w:tcW w:w="425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b/>
                <w:bCs/>
                <w:sz w:val="20"/>
                <w:szCs w:val="20"/>
                <w:lang w:eastAsia="cs-CZ"/>
              </w:rPr>
            </w:pPr>
            <w:r w:rsidRPr="005976D3">
              <w:rPr>
                <w:rFonts w:asciiTheme="minorHAnsi" w:hAnsiTheme="minorHAnsi"/>
                <w:b/>
                <w:bCs/>
                <w:sz w:val="20"/>
                <w:szCs w:val="20"/>
              </w:rPr>
              <w:t>Názov kurzu</w:t>
            </w:r>
          </w:p>
        </w:tc>
        <w:tc>
          <w:tcPr>
            <w:tcW w:w="15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b/>
                <w:bCs/>
                <w:sz w:val="20"/>
                <w:szCs w:val="20"/>
                <w:lang w:eastAsia="cs-CZ"/>
              </w:rPr>
            </w:pPr>
            <w:r w:rsidRPr="005976D3">
              <w:rPr>
                <w:rFonts w:asciiTheme="minorHAnsi" w:hAnsiTheme="minorHAnsi"/>
                <w:b/>
                <w:bCs/>
                <w:sz w:val="20"/>
                <w:szCs w:val="20"/>
              </w:rPr>
              <w:t>Počet</w:t>
            </w:r>
          </w:p>
          <w:p w:rsidR="005976D3" w:rsidRPr="005976D3" w:rsidRDefault="005976D3">
            <w:pPr>
              <w:rPr>
                <w:rFonts w:asciiTheme="minorHAnsi" w:eastAsiaTheme="minorHAnsi" w:hAnsiTheme="minorHAnsi"/>
                <w:b/>
                <w:bCs/>
                <w:sz w:val="20"/>
                <w:szCs w:val="20"/>
                <w:lang w:eastAsia="cs-CZ"/>
              </w:rPr>
            </w:pPr>
            <w:r w:rsidRPr="005976D3">
              <w:rPr>
                <w:rFonts w:asciiTheme="minorHAnsi" w:hAnsiTheme="minorHAnsi"/>
                <w:b/>
                <w:bCs/>
                <w:sz w:val="20"/>
                <w:szCs w:val="20"/>
              </w:rPr>
              <w:t>frekventantov</w:t>
            </w:r>
          </w:p>
        </w:tc>
        <w:tc>
          <w:tcPr>
            <w:tcW w:w="99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b/>
                <w:bCs/>
                <w:sz w:val="20"/>
                <w:szCs w:val="20"/>
                <w:lang w:eastAsia="cs-CZ"/>
              </w:rPr>
            </w:pPr>
            <w:r w:rsidRPr="005976D3">
              <w:rPr>
                <w:rFonts w:asciiTheme="minorHAnsi" w:hAnsiTheme="minorHAnsi"/>
                <w:b/>
                <w:bCs/>
                <w:sz w:val="20"/>
                <w:szCs w:val="20"/>
              </w:rPr>
              <w:t>Počet kurzov</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ind w:left="10" w:right="-70"/>
              <w:rPr>
                <w:rFonts w:asciiTheme="minorHAnsi" w:eastAsiaTheme="minorHAnsi" w:hAnsiTheme="minorHAnsi"/>
                <w:b/>
                <w:bCs/>
                <w:sz w:val="20"/>
                <w:szCs w:val="20"/>
                <w:lang w:eastAsia="cs-CZ"/>
              </w:rPr>
            </w:pPr>
            <w:r w:rsidRPr="005976D3">
              <w:rPr>
                <w:rFonts w:asciiTheme="minorHAnsi" w:hAnsiTheme="minorHAnsi"/>
                <w:b/>
                <w:bCs/>
                <w:sz w:val="20"/>
                <w:szCs w:val="20"/>
              </w:rPr>
              <w:t>Rozsah (hodiny)</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ind w:left="71"/>
              <w:rPr>
                <w:rFonts w:asciiTheme="minorHAnsi" w:eastAsiaTheme="minorHAnsi" w:hAnsiTheme="minorHAnsi"/>
                <w:b/>
                <w:bCs/>
                <w:sz w:val="20"/>
                <w:szCs w:val="20"/>
                <w:lang w:eastAsia="cs-CZ"/>
              </w:rPr>
            </w:pPr>
            <w:r>
              <w:rPr>
                <w:rFonts w:asciiTheme="minorHAnsi" w:hAnsiTheme="minorHAnsi"/>
                <w:b/>
                <w:bCs/>
                <w:sz w:val="20"/>
                <w:szCs w:val="20"/>
              </w:rPr>
              <w:t>*</w:t>
            </w:r>
            <w:r w:rsidRPr="005976D3">
              <w:rPr>
                <w:rFonts w:asciiTheme="minorHAnsi" w:hAnsiTheme="minorHAnsi"/>
                <w:b/>
                <w:bCs/>
                <w:sz w:val="20"/>
                <w:szCs w:val="20"/>
              </w:rPr>
              <w:t>Počet absolventov</w:t>
            </w:r>
          </w:p>
        </w:tc>
      </w:tr>
      <w:tr w:rsidR="005976D3" w:rsidRPr="005976D3" w:rsidTr="005976D3">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Všeobecný ročník</w:t>
            </w:r>
          </w:p>
        </w:tc>
        <w:tc>
          <w:tcPr>
            <w:tcW w:w="1558"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ind w:left="-70" w:right="-70"/>
              <w:jc w:val="center"/>
              <w:rPr>
                <w:rFonts w:asciiTheme="minorHAnsi" w:eastAsiaTheme="minorHAnsi" w:hAnsiTheme="minorHAnsi"/>
                <w:sz w:val="20"/>
                <w:szCs w:val="20"/>
                <w:highlight w:val="yellow"/>
                <w:lang w:eastAsia="cs-CZ"/>
              </w:rPr>
            </w:pPr>
            <w:r w:rsidRPr="005976D3">
              <w:rPr>
                <w:rFonts w:asciiTheme="minorHAnsi" w:hAnsiTheme="minorHAnsi"/>
                <w:sz w:val="20"/>
                <w:szCs w:val="20"/>
                <w:lang w:eastAsia="cs-CZ"/>
              </w:rPr>
              <w:t>76</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highlight w:val="yellow"/>
                <w:lang w:eastAsia="cs-CZ"/>
              </w:rPr>
            </w:pPr>
            <w:r w:rsidRPr="005976D3">
              <w:rPr>
                <w:rFonts w:asciiTheme="minorHAnsi" w:hAnsiTheme="minorHAnsi"/>
                <w:sz w:val="20"/>
                <w:szCs w:val="20"/>
                <w:lang w:eastAsia="cs-CZ"/>
              </w:rPr>
              <w:t>1</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highlight w:val="yellow"/>
                <w:lang w:eastAsia="cs-CZ"/>
              </w:rPr>
            </w:pPr>
            <w:r w:rsidRPr="005976D3">
              <w:rPr>
                <w:rFonts w:asciiTheme="minorHAnsi" w:hAnsiTheme="minorHAnsi"/>
                <w:sz w:val="20"/>
                <w:szCs w:val="20"/>
                <w:lang w:eastAsia="cs-CZ"/>
              </w:rPr>
              <w:t>28</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highlight w:val="yellow"/>
                <w:lang w:eastAsia="cs-CZ"/>
              </w:rPr>
            </w:pPr>
            <w:r w:rsidRPr="005976D3">
              <w:rPr>
                <w:rFonts w:asciiTheme="minorHAnsi" w:hAnsiTheme="minorHAnsi"/>
                <w:sz w:val="20"/>
                <w:szCs w:val="20"/>
                <w:lang w:eastAsia="cs-CZ"/>
              </w:rPr>
              <w:t>(67)</w:t>
            </w:r>
          </w:p>
        </w:tc>
      </w:tr>
      <w:tr w:rsidR="005976D3" w:rsidRPr="005976D3" w:rsidTr="005976D3">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Dejiny architektúry</w:t>
            </w:r>
          </w:p>
        </w:tc>
        <w:tc>
          <w:tcPr>
            <w:tcW w:w="1558"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highlight w:val="yellow"/>
                <w:lang w:eastAsia="cs-CZ"/>
              </w:rPr>
            </w:pPr>
            <w:r w:rsidRPr="005976D3">
              <w:rPr>
                <w:rFonts w:asciiTheme="minorHAnsi" w:hAnsiTheme="minorHAnsi"/>
                <w:sz w:val="20"/>
                <w:szCs w:val="20"/>
                <w:lang w:eastAsia="cs-CZ"/>
              </w:rPr>
              <w:t>82</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highlight w:val="yellow"/>
                <w:lang w:eastAsia="cs-CZ"/>
              </w:rPr>
            </w:pPr>
            <w:r w:rsidRPr="005976D3">
              <w:rPr>
                <w:rFonts w:asciiTheme="minorHAnsi" w:hAnsiTheme="minorHAnsi"/>
                <w:sz w:val="20"/>
                <w:szCs w:val="20"/>
                <w:lang w:eastAsia="cs-CZ"/>
              </w:rPr>
              <w:t>2</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28</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41</w:t>
            </w:r>
          </w:p>
        </w:tc>
      </w:tr>
      <w:tr w:rsidR="005976D3" w:rsidRPr="005976D3" w:rsidTr="005976D3">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Architektúra a urbanizmus</w:t>
            </w:r>
          </w:p>
        </w:tc>
        <w:tc>
          <w:tcPr>
            <w:tcW w:w="1558"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highlight w:val="yellow"/>
                <w:lang w:eastAsia="cs-CZ"/>
              </w:rPr>
            </w:pPr>
            <w:r w:rsidRPr="005976D3">
              <w:rPr>
                <w:rFonts w:asciiTheme="minorHAnsi" w:hAnsiTheme="minorHAnsi"/>
                <w:sz w:val="20"/>
                <w:szCs w:val="20"/>
                <w:lang w:eastAsia="cs-CZ"/>
              </w:rPr>
              <w:t>21</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highlight w:val="yellow"/>
                <w:lang w:eastAsia="cs-CZ"/>
              </w:rPr>
            </w:pPr>
            <w:r w:rsidRPr="005976D3">
              <w:rPr>
                <w:rFonts w:asciiTheme="minorHAnsi" w:hAnsiTheme="minorHAnsi"/>
                <w:sz w:val="20"/>
                <w:szCs w:val="20"/>
                <w:lang w:eastAsia="cs-CZ"/>
              </w:rPr>
              <w:t>1</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28</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0</w:t>
            </w:r>
          </w:p>
        </w:tc>
      </w:tr>
      <w:tr w:rsidR="005976D3" w:rsidRPr="005976D3" w:rsidTr="005976D3">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Záhradná a krajinná architektúra</w:t>
            </w:r>
          </w:p>
        </w:tc>
        <w:tc>
          <w:tcPr>
            <w:tcW w:w="1558"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highlight w:val="yellow"/>
                <w:lang w:eastAsia="cs-CZ"/>
              </w:rPr>
            </w:pPr>
            <w:r w:rsidRPr="005976D3">
              <w:rPr>
                <w:rFonts w:asciiTheme="minorHAnsi" w:hAnsiTheme="minorHAnsi"/>
                <w:sz w:val="20"/>
                <w:szCs w:val="20"/>
                <w:lang w:eastAsia="cs-CZ"/>
              </w:rPr>
              <w:t>53</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highlight w:val="yellow"/>
                <w:lang w:eastAsia="cs-CZ"/>
              </w:rPr>
            </w:pPr>
            <w:r w:rsidRPr="005976D3">
              <w:rPr>
                <w:rFonts w:asciiTheme="minorHAnsi" w:hAnsiTheme="minorHAnsi"/>
                <w:sz w:val="20"/>
                <w:szCs w:val="20"/>
                <w:lang w:eastAsia="cs-CZ"/>
              </w:rPr>
              <w:t>3</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28</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10</w:t>
            </w:r>
          </w:p>
        </w:tc>
      </w:tr>
      <w:tr w:rsidR="005976D3" w:rsidRPr="005976D3" w:rsidTr="005976D3">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 xml:space="preserve">Architektúra a stavby Bratislavy </w:t>
            </w:r>
          </w:p>
        </w:tc>
        <w:tc>
          <w:tcPr>
            <w:tcW w:w="1558"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140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3</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28</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29</w:t>
            </w:r>
          </w:p>
        </w:tc>
      </w:tr>
      <w:tr w:rsidR="005976D3" w:rsidRPr="005976D3" w:rsidTr="005976D3">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Potraviny a zdravie človeka</w:t>
            </w:r>
          </w:p>
        </w:tc>
        <w:tc>
          <w:tcPr>
            <w:tcW w:w="1558"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61</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3</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28</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3</w:t>
            </w:r>
          </w:p>
        </w:tc>
      </w:tr>
      <w:tr w:rsidR="005976D3" w:rsidRPr="005976D3" w:rsidTr="005976D3">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Starostlivosť o telesné a duševné zdravie</w:t>
            </w:r>
          </w:p>
        </w:tc>
        <w:tc>
          <w:tcPr>
            <w:tcW w:w="1558"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113</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3</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28</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12</w:t>
            </w:r>
          </w:p>
        </w:tc>
      </w:tr>
      <w:tr w:rsidR="005976D3" w:rsidRPr="005976D3" w:rsidTr="005976D3">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Počítače</w:t>
            </w:r>
          </w:p>
        </w:tc>
        <w:tc>
          <w:tcPr>
            <w:tcW w:w="1558"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48</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3</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28</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5</w:t>
            </w:r>
          </w:p>
        </w:tc>
      </w:tr>
      <w:tr w:rsidR="005976D3" w:rsidRPr="005976D3" w:rsidTr="005976D3">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Internet</w:t>
            </w:r>
          </w:p>
        </w:tc>
        <w:tc>
          <w:tcPr>
            <w:tcW w:w="1558" w:type="dxa"/>
            <w:tcBorders>
              <w:top w:val="nil"/>
              <w:left w:val="nil"/>
              <w:bottom w:val="single" w:sz="8" w:space="0" w:color="auto"/>
              <w:right w:val="single" w:sz="8" w:space="0" w:color="auto"/>
            </w:tcBorders>
            <w:tcMar>
              <w:top w:w="0" w:type="dxa"/>
              <w:left w:w="70" w:type="dxa"/>
              <w:bottom w:w="0" w:type="dxa"/>
              <w:right w:w="70" w:type="dxa"/>
            </w:tcMar>
          </w:tcPr>
          <w:p w:rsidR="005976D3" w:rsidRPr="005976D3" w:rsidRDefault="005976D3">
            <w:pPr>
              <w:jc w:val="center"/>
              <w:rPr>
                <w:rFonts w:asciiTheme="minorHAnsi" w:eastAsiaTheme="minorHAnsi" w:hAnsiTheme="minorHAnsi"/>
                <w:sz w:val="20"/>
                <w:szCs w:val="20"/>
                <w:lang w:eastAsia="cs-CZ"/>
              </w:rPr>
            </w:pPr>
          </w:p>
        </w:tc>
        <w:tc>
          <w:tcPr>
            <w:tcW w:w="996" w:type="dxa"/>
            <w:tcBorders>
              <w:top w:val="nil"/>
              <w:left w:val="nil"/>
              <w:bottom w:val="single" w:sz="8" w:space="0" w:color="auto"/>
              <w:right w:val="single" w:sz="8" w:space="0" w:color="auto"/>
            </w:tcBorders>
            <w:tcMar>
              <w:top w:w="0" w:type="dxa"/>
              <w:left w:w="70" w:type="dxa"/>
              <w:bottom w:w="0" w:type="dxa"/>
              <w:right w:w="70" w:type="dxa"/>
            </w:tcMar>
          </w:tcPr>
          <w:p w:rsidR="005976D3" w:rsidRPr="005976D3" w:rsidRDefault="005976D3">
            <w:pPr>
              <w:jc w:val="center"/>
              <w:rPr>
                <w:rFonts w:asciiTheme="minorHAnsi" w:eastAsiaTheme="minorHAnsi" w:hAnsiTheme="minorHAnsi"/>
                <w:sz w:val="20"/>
                <w:szCs w:val="20"/>
                <w:lang w:eastAsia="cs-CZ"/>
              </w:rPr>
            </w:pP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0</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0</w:t>
            </w:r>
          </w:p>
        </w:tc>
      </w:tr>
      <w:tr w:rsidR="005976D3" w:rsidRPr="005976D3" w:rsidTr="005976D3">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Praktické využitie počítačov</w:t>
            </w:r>
          </w:p>
        </w:tc>
        <w:tc>
          <w:tcPr>
            <w:tcW w:w="1558"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27</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42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0</w:t>
            </w:r>
          </w:p>
        </w:tc>
      </w:tr>
      <w:tr w:rsidR="005976D3" w:rsidRPr="005976D3" w:rsidTr="005976D3">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Digitálna fotografia</w:t>
            </w:r>
          </w:p>
        </w:tc>
        <w:tc>
          <w:tcPr>
            <w:tcW w:w="1558"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62</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4</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28</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25</w:t>
            </w:r>
          </w:p>
        </w:tc>
      </w:tr>
      <w:tr w:rsidR="005976D3" w:rsidRPr="005976D3" w:rsidTr="005976D3">
        <w:trPr>
          <w:cantSplit/>
        </w:trPr>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Anglický jazyk – pokročilí</w:t>
            </w:r>
          </w:p>
        </w:tc>
        <w:tc>
          <w:tcPr>
            <w:tcW w:w="1558"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9</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1</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60</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w:t>
            </w:r>
          </w:p>
        </w:tc>
      </w:tr>
      <w:tr w:rsidR="005976D3" w:rsidRPr="005976D3" w:rsidTr="005976D3">
        <w:trPr>
          <w:cantSplit/>
        </w:trPr>
        <w:tc>
          <w:tcPr>
            <w:tcW w:w="425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Prenosné počítače</w:t>
            </w:r>
          </w:p>
        </w:tc>
        <w:tc>
          <w:tcPr>
            <w:tcW w:w="1558"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33</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28</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16</w:t>
            </w:r>
          </w:p>
        </w:tc>
      </w:tr>
      <w:tr w:rsidR="005976D3" w:rsidRPr="005976D3" w:rsidTr="005976D3">
        <w:trPr>
          <w:cantSplit/>
        </w:trPr>
        <w:tc>
          <w:tcPr>
            <w:tcW w:w="4253" w:type="dxa"/>
            <w:tcBorders>
              <w:top w:val="nil"/>
              <w:left w:val="single" w:sz="8" w:space="0" w:color="auto"/>
              <w:bottom w:val="single" w:sz="8" w:space="0" w:color="auto"/>
              <w:right w:val="single" w:sz="8" w:space="0" w:color="auto"/>
            </w:tcBorders>
            <w:shd w:val="clear" w:color="auto" w:fill="EEECE1"/>
            <w:tcMar>
              <w:top w:w="0" w:type="dxa"/>
              <w:left w:w="70" w:type="dxa"/>
              <w:bottom w:w="0" w:type="dxa"/>
              <w:right w:w="70" w:type="dxa"/>
            </w:tcMar>
            <w:hideMark/>
          </w:tcPr>
          <w:p w:rsidR="005976D3" w:rsidRPr="005976D3" w:rsidRDefault="005976D3">
            <w:pPr>
              <w:rPr>
                <w:rFonts w:asciiTheme="minorHAnsi" w:eastAsiaTheme="minorHAnsi" w:hAnsiTheme="minorHAnsi"/>
                <w:sz w:val="20"/>
                <w:szCs w:val="20"/>
                <w:lang w:eastAsia="cs-CZ"/>
              </w:rPr>
            </w:pPr>
            <w:r w:rsidRPr="005976D3">
              <w:rPr>
                <w:rFonts w:asciiTheme="minorHAnsi" w:hAnsiTheme="minorHAnsi"/>
                <w:sz w:val="20"/>
                <w:szCs w:val="20"/>
                <w:lang w:eastAsia="cs-CZ"/>
              </w:rPr>
              <w:t>Spolu</w:t>
            </w:r>
          </w:p>
        </w:tc>
        <w:tc>
          <w:tcPr>
            <w:tcW w:w="1558" w:type="dxa"/>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highlight w:val="yellow"/>
                <w:lang w:eastAsia="cs-CZ"/>
              </w:rPr>
            </w:pPr>
            <w:r w:rsidRPr="005976D3">
              <w:rPr>
                <w:rFonts w:asciiTheme="minorHAnsi" w:hAnsiTheme="minorHAnsi"/>
                <w:sz w:val="20"/>
                <w:szCs w:val="20"/>
                <w:lang w:eastAsia="cs-CZ"/>
              </w:rPr>
              <w:t>725</w:t>
            </w:r>
          </w:p>
        </w:tc>
        <w:tc>
          <w:tcPr>
            <w:tcW w:w="996" w:type="dxa"/>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28</w:t>
            </w:r>
          </w:p>
        </w:tc>
        <w:tc>
          <w:tcPr>
            <w:tcW w:w="993" w:type="dxa"/>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lang w:eastAsia="cs-CZ"/>
              </w:rPr>
            </w:pPr>
            <w:r w:rsidRPr="005976D3">
              <w:rPr>
                <w:rFonts w:asciiTheme="minorHAnsi" w:hAnsiTheme="minorHAnsi"/>
                <w:sz w:val="20"/>
                <w:szCs w:val="20"/>
                <w:lang w:eastAsia="cs-CZ"/>
              </w:rPr>
              <w:t>858</w:t>
            </w:r>
          </w:p>
        </w:tc>
        <w:tc>
          <w:tcPr>
            <w:tcW w:w="1559" w:type="dxa"/>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5976D3" w:rsidRPr="005976D3" w:rsidRDefault="005976D3">
            <w:pPr>
              <w:jc w:val="center"/>
              <w:rPr>
                <w:rFonts w:asciiTheme="minorHAnsi" w:eastAsiaTheme="minorHAnsi" w:hAnsiTheme="minorHAnsi"/>
                <w:sz w:val="20"/>
                <w:szCs w:val="20"/>
                <w:highlight w:val="yellow"/>
                <w:lang w:eastAsia="cs-CZ"/>
              </w:rPr>
            </w:pPr>
            <w:r w:rsidRPr="005976D3">
              <w:rPr>
                <w:rFonts w:asciiTheme="minorHAnsi" w:hAnsiTheme="minorHAnsi"/>
                <w:sz w:val="20"/>
                <w:szCs w:val="20"/>
                <w:lang w:eastAsia="cs-CZ"/>
              </w:rPr>
              <w:t xml:space="preserve">141 (+67) </w:t>
            </w:r>
          </w:p>
        </w:tc>
      </w:tr>
    </w:tbl>
    <w:p w:rsidR="005976D3" w:rsidRPr="005976D3" w:rsidRDefault="005976D3" w:rsidP="005976D3">
      <w:pPr>
        <w:rPr>
          <w:rFonts w:asciiTheme="minorHAnsi" w:eastAsiaTheme="minorHAnsi" w:hAnsiTheme="minorHAnsi"/>
          <w:sz w:val="20"/>
          <w:szCs w:val="20"/>
        </w:rPr>
      </w:pPr>
      <w:r w:rsidRPr="005976D3">
        <w:rPr>
          <w:rFonts w:asciiTheme="minorHAnsi" w:hAnsiTheme="minorHAnsi"/>
          <w:sz w:val="20"/>
          <w:szCs w:val="20"/>
        </w:rPr>
        <w:t>*Ukončili s osvedčením</w:t>
      </w:r>
    </w:p>
    <w:p w:rsidR="005976D3" w:rsidRPr="005976D3" w:rsidRDefault="005976D3" w:rsidP="00CB778A">
      <w:pPr>
        <w:tabs>
          <w:tab w:val="left" w:pos="-567"/>
        </w:tabs>
        <w:spacing w:after="120"/>
        <w:rPr>
          <w:rFonts w:asciiTheme="minorHAnsi" w:hAnsiTheme="minorHAnsi" w:cs="Calibri"/>
          <w:sz w:val="20"/>
          <w:szCs w:val="20"/>
        </w:rPr>
      </w:pPr>
    </w:p>
    <w:p w:rsidR="00146B28" w:rsidRPr="002D7A10" w:rsidRDefault="00146B28" w:rsidP="00146B28">
      <w:pPr>
        <w:tabs>
          <w:tab w:val="left" w:pos="-567"/>
        </w:tabs>
        <w:rPr>
          <w:rFonts w:asciiTheme="minorHAnsi" w:hAnsiTheme="minorHAnsi" w:cs="Calibri"/>
        </w:rPr>
      </w:pPr>
    </w:p>
    <w:p w:rsidR="00146B28" w:rsidRPr="002D7A10" w:rsidRDefault="00146B28" w:rsidP="00146B28">
      <w:pPr>
        <w:tabs>
          <w:tab w:val="left" w:pos="567"/>
        </w:tabs>
        <w:rPr>
          <w:rFonts w:asciiTheme="minorHAnsi" w:hAnsiTheme="minorHAnsi" w:cs="Calibri"/>
          <w:b/>
        </w:rPr>
      </w:pPr>
      <w:r w:rsidRPr="002D7A10">
        <w:rPr>
          <w:rFonts w:asciiTheme="minorHAnsi" w:hAnsiTheme="minorHAnsi" w:cs="Calibri"/>
          <w:b/>
        </w:rPr>
        <w:t>Oddelenie technickej pedagogiky (OTP)</w:t>
      </w:r>
    </w:p>
    <w:p w:rsidR="00146B28" w:rsidRPr="002D7A10" w:rsidRDefault="00146B28" w:rsidP="00CA002A">
      <w:pPr>
        <w:tabs>
          <w:tab w:val="left" w:pos="567"/>
        </w:tabs>
        <w:rPr>
          <w:rFonts w:asciiTheme="minorHAnsi" w:hAnsiTheme="minorHAnsi" w:cs="Calibri"/>
          <w:b/>
        </w:rPr>
      </w:pPr>
      <w:r w:rsidRPr="002D7A10">
        <w:rPr>
          <w:rFonts w:asciiTheme="minorHAnsi" w:hAnsiTheme="minorHAnsi" w:cs="Calibri"/>
        </w:rPr>
        <w:t>Oddelenie technickej pedagogiky (OTP) realizuje</w:t>
      </w:r>
      <w:r w:rsidRPr="002D7A10">
        <w:rPr>
          <w:rFonts w:asciiTheme="minorHAnsi" w:hAnsiTheme="minorHAnsi" w:cs="Calibri"/>
          <w:b/>
        </w:rPr>
        <w:t xml:space="preserve"> </w:t>
      </w:r>
      <w:r w:rsidRPr="002D7A10">
        <w:rPr>
          <w:rFonts w:asciiTheme="minorHAnsi" w:hAnsiTheme="minorHAnsi" w:cs="Calibri"/>
        </w:rPr>
        <w:t xml:space="preserve">akreditované vzdelávacie programy Doplňujúce pedagogické štúdium. V akademickom roku 2014/2015 prebiehalo štvorsemestrálne </w:t>
      </w:r>
      <w:r w:rsidRPr="002D7A10">
        <w:rPr>
          <w:rFonts w:asciiTheme="minorHAnsi" w:hAnsiTheme="minorHAnsi" w:cs="Calibri"/>
          <w:b/>
        </w:rPr>
        <w:t>doplňujúce pedagogické štúdium:</w:t>
      </w:r>
    </w:p>
    <w:p w:rsidR="00146B28" w:rsidRPr="002D7A10" w:rsidRDefault="00146B28" w:rsidP="00CA002A">
      <w:pPr>
        <w:pStyle w:val="Odsekzoznamu"/>
        <w:numPr>
          <w:ilvl w:val="0"/>
          <w:numId w:val="1"/>
        </w:numPr>
        <w:spacing w:after="0" w:line="240" w:lineRule="auto"/>
        <w:contextualSpacing w:val="0"/>
        <w:rPr>
          <w:rFonts w:asciiTheme="minorHAnsi" w:hAnsiTheme="minorHAnsi" w:cs="Calibri"/>
          <w:sz w:val="24"/>
          <w:szCs w:val="24"/>
        </w:rPr>
      </w:pPr>
      <w:r w:rsidRPr="002D7A10">
        <w:rPr>
          <w:rFonts w:asciiTheme="minorHAnsi" w:hAnsiTheme="minorHAnsi" w:cs="Calibri"/>
          <w:b/>
          <w:sz w:val="24"/>
          <w:szCs w:val="24"/>
        </w:rPr>
        <w:t>v súbežnej forme</w:t>
      </w:r>
      <w:r w:rsidRPr="002D7A10">
        <w:rPr>
          <w:rFonts w:asciiTheme="minorHAnsi" w:hAnsiTheme="minorHAnsi" w:cs="Calibri"/>
          <w:sz w:val="24"/>
          <w:szCs w:val="24"/>
        </w:rPr>
        <w:t xml:space="preserve"> (denná forma štúdia) pre študentov 2. stupňa vysokoškolského štúdia všetkých fakúlt STU, úspešne skončilo 11  študentov.</w:t>
      </w:r>
    </w:p>
    <w:p w:rsidR="00146B28" w:rsidRDefault="00146B28" w:rsidP="00CA002A">
      <w:pPr>
        <w:pStyle w:val="Odsekzoznamu"/>
        <w:numPr>
          <w:ilvl w:val="0"/>
          <w:numId w:val="1"/>
        </w:numPr>
        <w:spacing w:after="0" w:line="240" w:lineRule="auto"/>
        <w:contextualSpacing w:val="0"/>
        <w:rPr>
          <w:rFonts w:asciiTheme="minorHAnsi" w:hAnsiTheme="minorHAnsi" w:cs="Calibri"/>
          <w:sz w:val="24"/>
          <w:szCs w:val="24"/>
        </w:rPr>
      </w:pPr>
      <w:r w:rsidRPr="002D7A10">
        <w:rPr>
          <w:rFonts w:asciiTheme="minorHAnsi" w:hAnsiTheme="minorHAnsi" w:cs="Calibri"/>
          <w:b/>
          <w:sz w:val="24"/>
          <w:szCs w:val="24"/>
        </w:rPr>
        <w:t xml:space="preserve">v následnej forme </w:t>
      </w:r>
      <w:r w:rsidRPr="002D7A10">
        <w:rPr>
          <w:rFonts w:asciiTheme="minorHAnsi" w:hAnsiTheme="minorHAnsi" w:cs="Calibri"/>
          <w:sz w:val="24"/>
          <w:szCs w:val="24"/>
        </w:rPr>
        <w:t xml:space="preserve"> (externá forma štúdia), pre absolventov 2. stupňa vysokoškolského štúdia v technických študijných programoch,  úspešne skončilo  29 študujúcich.</w:t>
      </w:r>
    </w:p>
    <w:p w:rsidR="00CA002A" w:rsidRPr="002D7A10" w:rsidRDefault="00CA002A" w:rsidP="00CA002A">
      <w:pPr>
        <w:pStyle w:val="Odsekzoznamu"/>
        <w:spacing w:after="0" w:line="240" w:lineRule="auto"/>
        <w:contextualSpacing w:val="0"/>
        <w:rPr>
          <w:rFonts w:asciiTheme="minorHAnsi" w:hAnsiTheme="minorHAnsi" w:cs="Calibri"/>
          <w:sz w:val="24"/>
          <w:szCs w:val="24"/>
        </w:rPr>
      </w:pPr>
    </w:p>
    <w:p w:rsidR="00146B28" w:rsidRPr="002D7A10" w:rsidRDefault="00146B28" w:rsidP="00146B28">
      <w:pPr>
        <w:spacing w:after="120"/>
        <w:rPr>
          <w:rFonts w:asciiTheme="minorHAnsi" w:hAnsiTheme="minorHAnsi" w:cs="Calibri"/>
        </w:rPr>
      </w:pPr>
      <w:r w:rsidRPr="002D7A10">
        <w:rPr>
          <w:rFonts w:asciiTheme="minorHAnsi" w:hAnsiTheme="minorHAnsi" w:cs="Calibri"/>
        </w:rPr>
        <w:t xml:space="preserve">V akad. roku 2013/2014 prebehla akreditácia doplňujúceho pedagogického štúdia v zmysle zákona č. 317/2009 Z. z. o pedagogických zamestnancoch a odborných zamestnancoch a o zmene a doplnení niektorých zákonov v znení neskorších predpisov. </w:t>
      </w:r>
      <w:r w:rsidRPr="002D7A10">
        <w:rPr>
          <w:rFonts w:asciiTheme="minorHAnsi" w:hAnsiTheme="minorHAnsi" w:cs="Calibri"/>
          <w:b/>
        </w:rPr>
        <w:t>Slovenská technická univerzita tak získala právo poskytovať doplňujúce pedagogické štúdium na výkon činnosti učiteľa profesijných predmetov</w:t>
      </w:r>
      <w:r w:rsidRPr="002D7A10">
        <w:rPr>
          <w:rFonts w:asciiTheme="minorHAnsi" w:hAnsiTheme="minorHAnsi" w:cs="Calibri"/>
        </w:rPr>
        <w:t xml:space="preserve"> so zameraním na predmety nadväzujúce na všetky akreditované študijné programy STU (štyri akreditácie v externej forme štúdia) a (štyri akreditácie v dennej forme štúdia) každá v rozsahu 300 hodín s dobou platnosti akreditácie do 31. decembra 2019.</w:t>
      </w:r>
    </w:p>
    <w:p w:rsidR="00B51749" w:rsidRPr="002D7A10" w:rsidRDefault="00146B28" w:rsidP="00B26015">
      <w:pPr>
        <w:tabs>
          <w:tab w:val="left" w:pos="-567"/>
        </w:tabs>
        <w:rPr>
          <w:rFonts w:asciiTheme="minorHAnsi" w:hAnsiTheme="minorHAnsi"/>
          <w:color w:val="FF0000"/>
        </w:rPr>
      </w:pPr>
      <w:r w:rsidRPr="002D7A10">
        <w:rPr>
          <w:rFonts w:asciiTheme="minorHAnsi" w:hAnsiTheme="minorHAnsi" w:cs="Calibri"/>
        </w:rPr>
        <w:br w:type="page"/>
      </w:r>
    </w:p>
    <w:p w:rsidR="00B51749" w:rsidRPr="002D7A10" w:rsidRDefault="00B51749" w:rsidP="00B51749">
      <w:pPr>
        <w:pStyle w:val="Nadpis1"/>
        <w:rPr>
          <w:rFonts w:asciiTheme="minorHAnsi" w:hAnsiTheme="minorHAnsi"/>
          <w:color w:val="auto"/>
          <w:sz w:val="24"/>
          <w:szCs w:val="24"/>
        </w:rPr>
      </w:pPr>
      <w:bookmarkStart w:id="28" w:name="_Toc448261570"/>
      <w:r w:rsidRPr="002D7A10">
        <w:rPr>
          <w:rFonts w:asciiTheme="minorHAnsi" w:hAnsiTheme="minorHAnsi"/>
          <w:color w:val="auto"/>
          <w:sz w:val="24"/>
          <w:szCs w:val="24"/>
        </w:rPr>
        <w:lastRenderedPageBreak/>
        <w:t>Informácie o výskumnej, umeleckej a ďalšej tvorivej činnosti STU</w:t>
      </w:r>
      <w:bookmarkEnd w:id="28"/>
    </w:p>
    <w:p w:rsidR="00B51749" w:rsidRPr="002D7A10" w:rsidRDefault="00B51749" w:rsidP="00B51749">
      <w:pPr>
        <w:rPr>
          <w:rFonts w:asciiTheme="minorHAnsi" w:hAnsiTheme="minorHAnsi"/>
          <w:lang w:eastAsia="cs-CZ"/>
        </w:rPr>
      </w:pPr>
    </w:p>
    <w:p w:rsidR="00B51749" w:rsidRPr="002D7A10" w:rsidRDefault="00B51749" w:rsidP="00B51749">
      <w:pPr>
        <w:rPr>
          <w:rFonts w:asciiTheme="minorHAnsi" w:hAnsiTheme="minorHAnsi"/>
        </w:rPr>
      </w:pPr>
      <w:r w:rsidRPr="002D7A10">
        <w:rPr>
          <w:rFonts w:asciiTheme="minorHAnsi" w:hAnsiTheme="minorHAnsi"/>
        </w:rPr>
        <w:t>Slovenská technická univerzita aj v roku 201</w:t>
      </w:r>
      <w:r w:rsidR="00E760D2" w:rsidRPr="002D7A10">
        <w:rPr>
          <w:rFonts w:asciiTheme="minorHAnsi" w:hAnsiTheme="minorHAnsi"/>
        </w:rPr>
        <w:t>5</w:t>
      </w:r>
      <w:r w:rsidRPr="002D7A10">
        <w:rPr>
          <w:rFonts w:asciiTheme="minorHAnsi" w:hAnsiTheme="minorHAnsi"/>
        </w:rPr>
        <w:t xml:space="preserve"> svojimi výsledkami vo vedecko-výskumnej oblasti obhájila pevné postavenie medzi poprednými výskumnými univerzitami na Slovensku</w:t>
      </w:r>
      <w:r w:rsidR="00DC21A8" w:rsidRPr="00B459B5">
        <w:rPr>
          <w:rFonts w:asciiTheme="minorHAnsi" w:hAnsiTheme="minorHAnsi"/>
        </w:rPr>
        <w:t>, aj keď v niektorých ukazovateľoch došlo k miernemu posunu smerom nadol.</w:t>
      </w:r>
    </w:p>
    <w:p w:rsidR="00DC21A8" w:rsidRDefault="00DC3C40" w:rsidP="00DC21A8">
      <w:pPr>
        <w:rPr>
          <w:rFonts w:asciiTheme="minorHAnsi" w:hAnsiTheme="minorHAnsi"/>
          <w:b/>
          <w:bCs/>
        </w:rPr>
      </w:pPr>
      <w:r w:rsidRPr="002D7A10">
        <w:rPr>
          <w:rFonts w:asciiTheme="minorHAnsi" w:hAnsiTheme="minorHAnsi"/>
        </w:rPr>
        <w:t xml:space="preserve">Prestížny rebríček </w:t>
      </w:r>
      <w:proofErr w:type="spellStart"/>
      <w:r w:rsidRPr="002D7A10">
        <w:rPr>
          <w:rFonts w:asciiTheme="minorHAnsi" w:hAnsiTheme="minorHAnsi"/>
          <w:b/>
          <w:iCs/>
        </w:rPr>
        <w:t>Times</w:t>
      </w:r>
      <w:proofErr w:type="spellEnd"/>
      <w:r w:rsidRPr="002D7A10">
        <w:rPr>
          <w:rFonts w:asciiTheme="minorHAnsi" w:hAnsiTheme="minorHAnsi"/>
          <w:b/>
          <w:iCs/>
        </w:rPr>
        <w:t xml:space="preserve"> </w:t>
      </w:r>
      <w:proofErr w:type="spellStart"/>
      <w:r w:rsidRPr="002D7A10">
        <w:rPr>
          <w:rFonts w:asciiTheme="minorHAnsi" w:hAnsiTheme="minorHAnsi"/>
          <w:b/>
          <w:iCs/>
        </w:rPr>
        <w:t>Higher</w:t>
      </w:r>
      <w:proofErr w:type="spellEnd"/>
      <w:r w:rsidRPr="002D7A10">
        <w:rPr>
          <w:rFonts w:asciiTheme="minorHAnsi" w:hAnsiTheme="minorHAnsi"/>
          <w:b/>
          <w:iCs/>
        </w:rPr>
        <w:t xml:space="preserve"> </w:t>
      </w:r>
      <w:proofErr w:type="spellStart"/>
      <w:r w:rsidRPr="002D7A10">
        <w:rPr>
          <w:rFonts w:asciiTheme="minorHAnsi" w:hAnsiTheme="minorHAnsi"/>
          <w:b/>
          <w:iCs/>
        </w:rPr>
        <w:t>Education</w:t>
      </w:r>
      <w:proofErr w:type="spellEnd"/>
      <w:r w:rsidRPr="002D7A10">
        <w:rPr>
          <w:rFonts w:asciiTheme="minorHAnsi" w:hAnsiTheme="minorHAnsi"/>
          <w:b/>
        </w:rPr>
        <w:t xml:space="preserve"> </w:t>
      </w:r>
      <w:proofErr w:type="spellStart"/>
      <w:r w:rsidRPr="002D7A10">
        <w:rPr>
          <w:rFonts w:asciiTheme="minorHAnsi" w:hAnsiTheme="minorHAnsi"/>
          <w:b/>
        </w:rPr>
        <w:t>World</w:t>
      </w:r>
      <w:proofErr w:type="spellEnd"/>
      <w:r w:rsidRPr="002D7A10">
        <w:rPr>
          <w:rFonts w:asciiTheme="minorHAnsi" w:hAnsiTheme="minorHAnsi"/>
          <w:b/>
        </w:rPr>
        <w:t xml:space="preserve"> </w:t>
      </w:r>
      <w:proofErr w:type="spellStart"/>
      <w:r w:rsidRPr="002D7A10">
        <w:rPr>
          <w:rFonts w:asciiTheme="minorHAnsi" w:hAnsiTheme="minorHAnsi"/>
          <w:b/>
        </w:rPr>
        <w:t>University</w:t>
      </w:r>
      <w:proofErr w:type="spellEnd"/>
      <w:r w:rsidRPr="002D7A10">
        <w:rPr>
          <w:rFonts w:asciiTheme="minorHAnsi" w:hAnsiTheme="minorHAnsi"/>
          <w:b/>
        </w:rPr>
        <w:t xml:space="preserve"> </w:t>
      </w:r>
      <w:proofErr w:type="spellStart"/>
      <w:r w:rsidRPr="002D7A10">
        <w:rPr>
          <w:rFonts w:asciiTheme="minorHAnsi" w:hAnsiTheme="minorHAnsi"/>
          <w:b/>
        </w:rPr>
        <w:t>Rankings</w:t>
      </w:r>
      <w:proofErr w:type="spellEnd"/>
      <w:r w:rsidRPr="002D7A10">
        <w:rPr>
          <w:rFonts w:asciiTheme="minorHAnsi" w:hAnsiTheme="minorHAnsi"/>
        </w:rPr>
        <w:t xml:space="preserve"> zaradil Slovenskú technickú univerzitu v Bratislave do rebríčka najlepších univerzít sveta. </w:t>
      </w:r>
      <w:r w:rsidRPr="002D7A10">
        <w:rPr>
          <w:rFonts w:asciiTheme="minorHAnsi" w:hAnsiTheme="minorHAnsi"/>
          <w:b/>
        </w:rPr>
        <w:t>Do rebríčka sa v roku 2015-16 tak prvý raz dostali slovenské univerzity, a to na pozícií 601-800</w:t>
      </w:r>
      <w:r w:rsidRPr="002D7A10">
        <w:rPr>
          <w:rFonts w:asciiTheme="minorHAnsi" w:hAnsiTheme="minorHAnsi"/>
        </w:rPr>
        <w:t>.</w:t>
      </w:r>
      <w:r w:rsidRPr="002D7A10">
        <w:rPr>
          <w:rFonts w:asciiTheme="minorHAnsi" w:hAnsiTheme="minorHAnsi"/>
          <w:b/>
          <w:bCs/>
        </w:rPr>
        <w:t xml:space="preserve"> </w:t>
      </w:r>
    </w:p>
    <w:p w:rsidR="00DC21A8" w:rsidRPr="00B459B5" w:rsidRDefault="00DC21A8" w:rsidP="00DC21A8">
      <w:pPr>
        <w:rPr>
          <w:rFonts w:asciiTheme="minorHAnsi" w:hAnsiTheme="minorHAnsi"/>
        </w:rPr>
      </w:pPr>
      <w:r w:rsidRPr="00B459B5">
        <w:rPr>
          <w:rFonts w:asciiTheme="minorHAnsi" w:hAnsiTheme="minorHAnsi"/>
        </w:rPr>
        <w:t xml:space="preserve">Väčšina fakúlt Slovenskej technickej univerzity aj v roku 2015 potvrdila, prípadne vylepšila svoje postavenie v hodnotení nezávislou </w:t>
      </w:r>
      <w:proofErr w:type="spellStart"/>
      <w:r w:rsidRPr="00B459B5">
        <w:rPr>
          <w:rFonts w:asciiTheme="minorHAnsi" w:hAnsiTheme="minorHAnsi"/>
        </w:rPr>
        <w:t>rankingovou</w:t>
      </w:r>
      <w:proofErr w:type="spellEnd"/>
      <w:r w:rsidRPr="00B459B5">
        <w:rPr>
          <w:rFonts w:asciiTheme="minorHAnsi" w:hAnsiTheme="minorHAnsi"/>
        </w:rPr>
        <w:t xml:space="preserve"> a ratingovou agentúrou ARRA. </w:t>
      </w:r>
      <w:r w:rsidR="00C26261">
        <w:rPr>
          <w:rFonts w:asciiTheme="minorHAnsi" w:hAnsiTheme="minorHAnsi"/>
        </w:rPr>
        <w:t>Prvenstvo</w:t>
      </w:r>
      <w:r w:rsidRPr="00B459B5">
        <w:rPr>
          <w:rFonts w:asciiTheme="minorHAnsi" w:hAnsiTheme="minorHAnsi"/>
        </w:rPr>
        <w:t xml:space="preserve"> v kategórii technických fakúlt v  ostat</w:t>
      </w:r>
      <w:r w:rsidR="00C26261">
        <w:rPr>
          <w:rFonts w:asciiTheme="minorHAnsi" w:hAnsiTheme="minorHAnsi"/>
        </w:rPr>
        <w:t>ných rokov si udržuje FCHPT, o jedno miesto si pozíciu</w:t>
      </w:r>
      <w:r w:rsidR="00C26261" w:rsidRPr="00B459B5">
        <w:rPr>
          <w:rFonts w:asciiTheme="minorHAnsi" w:hAnsiTheme="minorHAnsi"/>
        </w:rPr>
        <w:t xml:space="preserve"> zlepšila </w:t>
      </w:r>
      <w:r w:rsidRPr="00B459B5">
        <w:rPr>
          <w:rFonts w:asciiTheme="minorHAnsi" w:hAnsiTheme="minorHAnsi"/>
        </w:rPr>
        <w:t>FEI</w:t>
      </w:r>
      <w:r w:rsidR="00C26261">
        <w:rPr>
          <w:rFonts w:asciiTheme="minorHAnsi" w:hAnsiTheme="minorHAnsi"/>
        </w:rPr>
        <w:t xml:space="preserve"> </w:t>
      </w:r>
      <w:r w:rsidRPr="00B459B5">
        <w:rPr>
          <w:rFonts w:asciiTheme="minorHAnsi" w:hAnsiTheme="minorHAnsi"/>
        </w:rPr>
        <w:t xml:space="preserve">(2. miesto). </w:t>
      </w:r>
      <w:r w:rsidR="00C26261">
        <w:rPr>
          <w:rFonts w:asciiTheme="minorHAnsi" w:hAnsiTheme="minorHAnsi"/>
        </w:rPr>
        <w:t>P</w:t>
      </w:r>
      <w:r w:rsidRPr="00B459B5">
        <w:rPr>
          <w:rFonts w:asciiTheme="minorHAnsi" w:hAnsiTheme="minorHAnsi"/>
        </w:rPr>
        <w:t xml:space="preserve">ohoršila </w:t>
      </w:r>
      <w:r w:rsidR="00C26261">
        <w:rPr>
          <w:rFonts w:asciiTheme="minorHAnsi" w:hAnsiTheme="minorHAnsi"/>
        </w:rPr>
        <w:t xml:space="preserve">si </w:t>
      </w:r>
      <w:r w:rsidRPr="00B459B5">
        <w:rPr>
          <w:rFonts w:asciiTheme="minorHAnsi" w:hAnsiTheme="minorHAnsi"/>
        </w:rPr>
        <w:t xml:space="preserve">SjF a FA a výraznejšie MTF. Nízke umiestnenie FA treba pripísať jej nie najvhodnejšiemu zaradeniu medzi technické fakulty, pretože podstatná časť výstupov FA má skôr charakter spadajúci do oblasti hodnotenia umelecky orientovaných fakúlt. </w:t>
      </w:r>
    </w:p>
    <w:p w:rsidR="008F18C4" w:rsidRPr="002D7A10" w:rsidRDefault="008F18C4" w:rsidP="00CD5C1D">
      <w:pPr>
        <w:rPr>
          <w:rFonts w:asciiTheme="minorHAnsi" w:hAnsiTheme="minorHAnsi"/>
        </w:rPr>
      </w:pPr>
    </w:p>
    <w:p w:rsidR="00B51749" w:rsidRPr="00DC21A8" w:rsidRDefault="00B51749" w:rsidP="00DC21A8">
      <w:pPr>
        <w:pStyle w:val="Odsekzoznamu"/>
        <w:spacing w:after="0" w:line="240" w:lineRule="auto"/>
        <w:ind w:left="0"/>
        <w:rPr>
          <w:rFonts w:asciiTheme="minorHAnsi" w:hAnsiTheme="minorHAnsi"/>
          <w:sz w:val="24"/>
          <w:szCs w:val="24"/>
        </w:rPr>
      </w:pPr>
      <w:r w:rsidRPr="002D7A10">
        <w:rPr>
          <w:rFonts w:asciiTheme="minorHAnsi" w:hAnsiTheme="minorHAnsi"/>
          <w:b/>
          <w:sz w:val="24"/>
          <w:szCs w:val="24"/>
        </w:rPr>
        <w:t xml:space="preserve">Významné dosiahnuté výsledky v oblasti vedy, techniky a umenia na Slovenskej </w:t>
      </w:r>
      <w:r w:rsidRPr="00DC21A8">
        <w:rPr>
          <w:rFonts w:asciiTheme="minorHAnsi" w:hAnsiTheme="minorHAnsi"/>
          <w:b/>
          <w:sz w:val="24"/>
          <w:szCs w:val="24"/>
        </w:rPr>
        <w:t>technickej univerzite v</w:t>
      </w:r>
      <w:r w:rsidR="00DC3C40" w:rsidRPr="00DC21A8">
        <w:rPr>
          <w:rFonts w:asciiTheme="minorHAnsi" w:hAnsiTheme="minorHAnsi"/>
          <w:b/>
          <w:sz w:val="24"/>
          <w:szCs w:val="24"/>
        </w:rPr>
        <w:t> roku 2015</w:t>
      </w:r>
      <w:r w:rsidRPr="00DC21A8">
        <w:rPr>
          <w:rFonts w:asciiTheme="minorHAnsi" w:hAnsiTheme="minorHAnsi"/>
          <w:b/>
          <w:sz w:val="24"/>
          <w:szCs w:val="24"/>
        </w:rPr>
        <w:t>:</w:t>
      </w:r>
    </w:p>
    <w:p w:rsidR="00DC21A8" w:rsidRPr="00DC21A8" w:rsidRDefault="00DC21A8" w:rsidP="00DC21A8">
      <w:pPr>
        <w:pStyle w:val="Odsekzoznamu"/>
        <w:numPr>
          <w:ilvl w:val="0"/>
          <w:numId w:val="64"/>
        </w:numPr>
        <w:spacing w:after="0"/>
        <w:ind w:left="714" w:hanging="357"/>
        <w:rPr>
          <w:rFonts w:asciiTheme="minorHAnsi" w:hAnsiTheme="minorHAnsi"/>
          <w:sz w:val="24"/>
          <w:szCs w:val="24"/>
        </w:rPr>
      </w:pPr>
      <w:r w:rsidRPr="00DC21A8">
        <w:rPr>
          <w:rFonts w:asciiTheme="minorHAnsi" w:hAnsiTheme="minorHAnsi"/>
          <w:sz w:val="24"/>
          <w:szCs w:val="24"/>
        </w:rPr>
        <w:t>STU si udržala svoju pozíciu v publikačnej aktivite a získavaní finančných prostriedkov z domácich a zahraničných grantových agentúr v rámci verejných vysokých škôl SR.</w:t>
      </w:r>
    </w:p>
    <w:p w:rsidR="00DC21A8" w:rsidRPr="00DC21A8" w:rsidRDefault="00DC21A8" w:rsidP="00DC21A8">
      <w:pPr>
        <w:pStyle w:val="Odsekzoznamu"/>
        <w:numPr>
          <w:ilvl w:val="0"/>
          <w:numId w:val="64"/>
        </w:numPr>
        <w:spacing w:after="0"/>
        <w:ind w:left="714" w:hanging="357"/>
        <w:rPr>
          <w:rFonts w:asciiTheme="minorHAnsi" w:hAnsiTheme="minorHAnsi"/>
          <w:sz w:val="24"/>
          <w:szCs w:val="24"/>
        </w:rPr>
      </w:pPr>
      <w:r w:rsidRPr="00DC21A8">
        <w:rPr>
          <w:rFonts w:asciiTheme="minorHAnsi" w:hAnsiTheme="minorHAnsi"/>
          <w:sz w:val="24"/>
          <w:szCs w:val="24"/>
        </w:rPr>
        <w:t>Vysoko treba oceniť, že univerzita v uplynulom roku posilnila svoje publikačné aktivity v kategórií publikácií, ktoré sú pri delení dotácie akceptované s najvyššou váhou (Kategória B)</w:t>
      </w:r>
    </w:p>
    <w:p w:rsidR="00DC21A8" w:rsidRPr="00DC21A8" w:rsidRDefault="00DC21A8" w:rsidP="00DC21A8">
      <w:pPr>
        <w:pStyle w:val="Odsekzoznamu"/>
        <w:numPr>
          <w:ilvl w:val="0"/>
          <w:numId w:val="64"/>
        </w:numPr>
        <w:spacing w:after="0"/>
        <w:ind w:left="714" w:hanging="357"/>
        <w:rPr>
          <w:rFonts w:asciiTheme="minorHAnsi" w:hAnsiTheme="minorHAnsi"/>
          <w:sz w:val="24"/>
          <w:szCs w:val="24"/>
        </w:rPr>
      </w:pPr>
      <w:r w:rsidRPr="00DC21A8">
        <w:rPr>
          <w:rFonts w:asciiTheme="minorHAnsi" w:hAnsiTheme="minorHAnsi"/>
          <w:sz w:val="24"/>
          <w:szCs w:val="24"/>
        </w:rPr>
        <w:t>V roku 2015 vstúpili do platnosti nové kritériá na habilitačné a inauguračné konania, ktoré dajú základ pre budovanie kvalitnej personálnej infraštruktúry na jednotlivých súčastiach.</w:t>
      </w:r>
    </w:p>
    <w:p w:rsidR="00DC21A8" w:rsidRPr="00DC21A8" w:rsidRDefault="00DC21A8" w:rsidP="00DC21A8">
      <w:pPr>
        <w:pStyle w:val="Odsekzoznamu"/>
        <w:numPr>
          <w:ilvl w:val="0"/>
          <w:numId w:val="64"/>
        </w:numPr>
        <w:spacing w:after="0"/>
        <w:rPr>
          <w:rFonts w:asciiTheme="minorHAnsi" w:hAnsiTheme="minorHAnsi"/>
          <w:sz w:val="24"/>
          <w:szCs w:val="24"/>
        </w:rPr>
      </w:pPr>
      <w:r w:rsidRPr="00DC21A8">
        <w:rPr>
          <w:rFonts w:asciiTheme="minorHAnsi" w:hAnsiTheme="minorHAnsi"/>
          <w:sz w:val="24"/>
          <w:szCs w:val="24"/>
        </w:rPr>
        <w:t>V uplynulom roku STU čerpala takmer 80 mil. € zo ŠF EÚ, v troch lokalitách boli vybudované súčasti Univerzitného vedeckého parku. Významná ča</w:t>
      </w:r>
      <w:r w:rsidR="00C26261">
        <w:rPr>
          <w:rFonts w:asciiTheme="minorHAnsi" w:hAnsiTheme="minorHAnsi"/>
          <w:sz w:val="24"/>
          <w:szCs w:val="24"/>
        </w:rPr>
        <w:t>s</w:t>
      </w:r>
      <w:r w:rsidRPr="00DC21A8">
        <w:rPr>
          <w:rFonts w:asciiTheme="minorHAnsi" w:hAnsiTheme="minorHAnsi"/>
          <w:sz w:val="24"/>
          <w:szCs w:val="24"/>
        </w:rPr>
        <w:t xml:space="preserve">ť finančných prostriedkov sa využila na skvalitnenie infraštruktúry nevyhnutnej pre kvalitný konkurencieschopný výskum (zateplenie budov a nákup špičkovej modernej prístrojovej techniky). </w:t>
      </w:r>
    </w:p>
    <w:p w:rsidR="00DC21A8" w:rsidRPr="00DC21A8" w:rsidRDefault="00DC21A8" w:rsidP="00DC21A8">
      <w:pPr>
        <w:pStyle w:val="Odsekzoznamu"/>
        <w:numPr>
          <w:ilvl w:val="0"/>
          <w:numId w:val="64"/>
        </w:numPr>
        <w:spacing w:after="0"/>
        <w:rPr>
          <w:rFonts w:asciiTheme="minorHAnsi" w:hAnsiTheme="minorHAnsi"/>
          <w:sz w:val="24"/>
          <w:szCs w:val="24"/>
        </w:rPr>
      </w:pPr>
      <w:r w:rsidRPr="00DC21A8">
        <w:rPr>
          <w:rFonts w:asciiTheme="minorHAnsi" w:hAnsiTheme="minorHAnsi"/>
          <w:sz w:val="24"/>
          <w:szCs w:val="24"/>
        </w:rPr>
        <w:t>STU naďalej uplatňovala viaceré motivačné prvky ako dôležitý nástroj na zvýšenie úrovne vedecko-výskumnej činnosti pracovníkov univerzity, medzi najdôležitejšie treba považovať pokračovanie v podpore mladých výskumníkov a projekty pre tímy mladých výskumníkov.</w:t>
      </w:r>
    </w:p>
    <w:p w:rsidR="00DC21A8" w:rsidRPr="00DC21A8" w:rsidRDefault="00DC21A8" w:rsidP="00DC21A8">
      <w:pPr>
        <w:pStyle w:val="Odsekzoznamu"/>
        <w:numPr>
          <w:ilvl w:val="0"/>
          <w:numId w:val="64"/>
        </w:numPr>
        <w:spacing w:after="0"/>
        <w:rPr>
          <w:rFonts w:asciiTheme="minorHAnsi" w:hAnsiTheme="minorHAnsi"/>
          <w:sz w:val="24"/>
          <w:szCs w:val="24"/>
        </w:rPr>
      </w:pPr>
      <w:r w:rsidRPr="00DC21A8">
        <w:rPr>
          <w:rFonts w:asciiTheme="minorHAnsi" w:hAnsiTheme="minorHAnsi"/>
          <w:sz w:val="24"/>
          <w:szCs w:val="24"/>
        </w:rPr>
        <w:t xml:space="preserve">V uplynulom roku univerzita pokračovala v schéme </w:t>
      </w:r>
      <w:proofErr w:type="spellStart"/>
      <w:r w:rsidRPr="00DC21A8">
        <w:rPr>
          <w:rFonts w:asciiTheme="minorHAnsi" w:hAnsiTheme="minorHAnsi"/>
          <w:sz w:val="24"/>
          <w:szCs w:val="24"/>
        </w:rPr>
        <w:t>postdo</w:t>
      </w:r>
      <w:r>
        <w:rPr>
          <w:rFonts w:asciiTheme="minorHAnsi" w:hAnsiTheme="minorHAnsi"/>
          <w:sz w:val="24"/>
          <w:szCs w:val="24"/>
        </w:rPr>
        <w:t>ktorandských</w:t>
      </w:r>
      <w:proofErr w:type="spellEnd"/>
      <w:r>
        <w:rPr>
          <w:rFonts w:asciiTheme="minorHAnsi" w:hAnsiTheme="minorHAnsi"/>
          <w:sz w:val="24"/>
          <w:szCs w:val="24"/>
        </w:rPr>
        <w:t xml:space="preserve"> pracovných pobytov.</w:t>
      </w:r>
    </w:p>
    <w:p w:rsidR="00B51749" w:rsidRPr="00DC21A8" w:rsidRDefault="00DC21A8" w:rsidP="00DC21A8">
      <w:pPr>
        <w:pStyle w:val="Odsekzoznamu"/>
        <w:numPr>
          <w:ilvl w:val="0"/>
          <w:numId w:val="64"/>
        </w:numPr>
        <w:spacing w:after="0"/>
        <w:rPr>
          <w:rFonts w:asciiTheme="minorHAnsi" w:hAnsiTheme="minorHAnsi"/>
          <w:sz w:val="24"/>
          <w:szCs w:val="24"/>
        </w:rPr>
      </w:pPr>
      <w:r w:rsidRPr="00DC21A8">
        <w:rPr>
          <w:rFonts w:asciiTheme="minorHAnsi" w:hAnsiTheme="minorHAnsi"/>
          <w:sz w:val="24"/>
          <w:szCs w:val="24"/>
        </w:rPr>
        <w:lastRenderedPageBreak/>
        <w:t xml:space="preserve">Pracovníci univerzity podali 110 žiadostí o účasť v konzorciách projektov v rámci H2020, pričom 10 z nich  bolo doteraz bruselskou administratívou posúdené pozitívne a ďalších 30 sa pri ich </w:t>
      </w:r>
      <w:proofErr w:type="spellStart"/>
      <w:r w:rsidRPr="00DC21A8">
        <w:rPr>
          <w:rFonts w:asciiTheme="minorHAnsi" w:hAnsiTheme="minorHAnsi"/>
          <w:sz w:val="24"/>
          <w:szCs w:val="24"/>
        </w:rPr>
        <w:t>evaluácii</w:t>
      </w:r>
      <w:proofErr w:type="spellEnd"/>
      <w:r w:rsidRPr="00DC21A8">
        <w:rPr>
          <w:rFonts w:asciiTheme="minorHAnsi" w:hAnsiTheme="minorHAnsi"/>
          <w:sz w:val="24"/>
          <w:szCs w:val="24"/>
        </w:rPr>
        <w:t xml:space="preserve"> dostalo nad prahové bodové hodnotenie. </w:t>
      </w:r>
    </w:p>
    <w:p w:rsidR="00B51749" w:rsidRPr="002D7A10" w:rsidRDefault="00B51749" w:rsidP="00B51749">
      <w:pPr>
        <w:rPr>
          <w:rFonts w:asciiTheme="minorHAnsi" w:hAnsiTheme="minorHAnsi"/>
          <w:color w:val="FF0000"/>
        </w:rPr>
      </w:pPr>
    </w:p>
    <w:p w:rsidR="00B51749" w:rsidRPr="002D7A10" w:rsidRDefault="00B51749" w:rsidP="00B51749">
      <w:pPr>
        <w:pStyle w:val="Nadpis2"/>
        <w:rPr>
          <w:rFonts w:asciiTheme="minorHAnsi" w:hAnsiTheme="minorHAnsi"/>
          <w:color w:val="auto"/>
          <w:sz w:val="24"/>
          <w:szCs w:val="24"/>
        </w:rPr>
      </w:pPr>
      <w:bookmarkStart w:id="29" w:name="_Toc448261571"/>
      <w:r w:rsidRPr="002D7A10">
        <w:rPr>
          <w:rFonts w:asciiTheme="minorHAnsi" w:hAnsiTheme="minorHAnsi"/>
          <w:color w:val="auto"/>
          <w:sz w:val="24"/>
          <w:szCs w:val="24"/>
        </w:rPr>
        <w:t>Východiská a vedecko-výskumná výkonnosť STU</w:t>
      </w:r>
      <w:bookmarkEnd w:id="29"/>
    </w:p>
    <w:p w:rsidR="00B51749" w:rsidRPr="00EF5E74" w:rsidRDefault="00B51749" w:rsidP="00B51749">
      <w:pPr>
        <w:rPr>
          <w:rFonts w:asciiTheme="minorHAnsi" w:hAnsiTheme="minorHAnsi"/>
          <w:color w:val="FF0000"/>
        </w:rPr>
      </w:pPr>
    </w:p>
    <w:p w:rsidR="00EF5E74" w:rsidRPr="00EF5E74" w:rsidRDefault="00EF5E74" w:rsidP="00EF5E74">
      <w:pPr>
        <w:rPr>
          <w:rFonts w:asciiTheme="minorHAnsi" w:hAnsiTheme="minorHAnsi"/>
        </w:rPr>
      </w:pPr>
      <w:r w:rsidRPr="00EF5E74">
        <w:rPr>
          <w:rFonts w:asciiTheme="minorHAnsi" w:hAnsiTheme="minorHAnsi"/>
        </w:rPr>
        <w:t>Základnými východiskami pre uskutočňovanie vedecko-výskumnej činnosti univerzity sú získané finančné prostriedky z rozpočtu odvíjajúce sa od externých faktorov daných hodnotením univerzity, či už v rámci ostatnej Komplexnej akreditácie, alebo podiel univerzity na ukazovateľoch ktorými vstupuje do rozdelenia dotácie na bežný kalendárny rok</w:t>
      </w:r>
      <w:r w:rsidR="00C26261">
        <w:rPr>
          <w:rFonts w:asciiTheme="minorHAnsi" w:hAnsiTheme="minorHAnsi"/>
        </w:rPr>
        <w:t>. Rovnako tiež i</w:t>
      </w:r>
      <w:r w:rsidRPr="00EF5E74">
        <w:rPr>
          <w:rFonts w:asciiTheme="minorHAnsi" w:hAnsiTheme="minorHAnsi"/>
        </w:rPr>
        <w:t>nterné faktory, reprezentované predovšetkým existujúcou výskumnou kapacitou a jej štruktúrou a v neposlednom rade prístrojo</w:t>
      </w:r>
      <w:r w:rsidR="00C26261">
        <w:rPr>
          <w:rFonts w:asciiTheme="minorHAnsi" w:hAnsiTheme="minorHAnsi"/>
        </w:rPr>
        <w:t>vá a informačná infraštruktúra</w:t>
      </w:r>
      <w:r w:rsidRPr="00EF5E74">
        <w:rPr>
          <w:rFonts w:asciiTheme="minorHAnsi" w:hAnsiTheme="minorHAnsi"/>
        </w:rPr>
        <w:t xml:space="preserve"> pracovísk.</w:t>
      </w:r>
    </w:p>
    <w:p w:rsidR="00EF5E74" w:rsidRPr="00EF5E74" w:rsidRDefault="00EF5E74" w:rsidP="00EF5E74">
      <w:pPr>
        <w:rPr>
          <w:rFonts w:asciiTheme="minorHAnsi" w:hAnsiTheme="minorHAnsi"/>
        </w:rPr>
      </w:pPr>
      <w:r w:rsidRPr="00EF5E74">
        <w:rPr>
          <w:rFonts w:asciiTheme="minorHAnsi" w:hAnsiTheme="minorHAnsi"/>
        </w:rPr>
        <w:t>V uplynulom roku sa uskutočnila komplexná akreditácia slovenských vysokých škôl. Napriek tomu, že si Slovenská technická univerzita, ako stabilná a konsolidovaná výchovno-vzdelávacia a vedecko-výskumná inštitúcia</w:t>
      </w:r>
      <w:r w:rsidR="00C26261">
        <w:rPr>
          <w:rFonts w:asciiTheme="minorHAnsi" w:hAnsiTheme="minorHAnsi"/>
        </w:rPr>
        <w:t>,</w:t>
      </w:r>
      <w:r w:rsidRPr="00EF5E74">
        <w:rPr>
          <w:rFonts w:asciiTheme="minorHAnsi" w:hAnsiTheme="minorHAnsi"/>
        </w:rPr>
        <w:t xml:space="preserve"> udržala svoju úroveň, dokonca mierne vylepšila svoje kvantitatívne hodnotenie (</w:t>
      </w:r>
      <w:r w:rsidR="00CC1450">
        <w:rPr>
          <w:rFonts w:asciiTheme="minorHAnsi" w:hAnsiTheme="minorHAnsi"/>
        </w:rPr>
        <w:t>graf 5.</w:t>
      </w:r>
      <w:r w:rsidRPr="00EF5E74">
        <w:rPr>
          <w:rFonts w:asciiTheme="minorHAnsi" w:hAnsiTheme="minorHAnsi"/>
        </w:rPr>
        <w:t xml:space="preserve">1), vo finálnom rozdelení </w:t>
      </w:r>
      <w:r w:rsidR="00C26261">
        <w:rPr>
          <w:rFonts w:asciiTheme="minorHAnsi" w:hAnsiTheme="minorHAnsi"/>
        </w:rPr>
        <w:t xml:space="preserve">dotácie na rok 2016 zaznamenala, </w:t>
      </w:r>
      <w:r w:rsidRPr="00EF5E74">
        <w:rPr>
          <w:rFonts w:asciiTheme="minorHAnsi" w:hAnsiTheme="minorHAnsi"/>
        </w:rPr>
        <w:t>aj keď</w:t>
      </w:r>
      <w:r w:rsidR="00C26261">
        <w:rPr>
          <w:rFonts w:asciiTheme="minorHAnsi" w:hAnsiTheme="minorHAnsi"/>
        </w:rPr>
        <w:t xml:space="preserve"> minimálny, predsa len pokles. </w:t>
      </w:r>
      <w:r w:rsidRPr="00EF5E74">
        <w:rPr>
          <w:rFonts w:asciiTheme="minorHAnsi" w:hAnsiTheme="minorHAnsi"/>
        </w:rPr>
        <w:t xml:space="preserve">Dôsledok reálneho dopadu komplexnej akreditácie </w:t>
      </w:r>
      <w:r w:rsidR="00C26261">
        <w:rPr>
          <w:rFonts w:asciiTheme="minorHAnsi" w:hAnsiTheme="minorHAnsi"/>
        </w:rPr>
        <w:t xml:space="preserve">pre našu univerzitu si vyžiada </w:t>
      </w:r>
      <w:r w:rsidRPr="00EF5E74">
        <w:rPr>
          <w:rFonts w:asciiTheme="minorHAnsi" w:hAnsiTheme="minorHAnsi"/>
        </w:rPr>
        <w:t>dôkladnejšiu analýzu.</w:t>
      </w:r>
    </w:p>
    <w:p w:rsidR="00D7160C" w:rsidRDefault="00D7160C" w:rsidP="00EF5E74">
      <w:pPr>
        <w:rPr>
          <w:rFonts w:asciiTheme="minorHAnsi" w:hAnsiTheme="minorHAnsi"/>
        </w:rPr>
      </w:pPr>
    </w:p>
    <w:p w:rsidR="00B00BE9" w:rsidRPr="00D7160C" w:rsidRDefault="00D7160C" w:rsidP="00C26261">
      <w:pPr>
        <w:autoSpaceDE w:val="0"/>
        <w:autoSpaceDN w:val="0"/>
        <w:adjustRightInd w:val="0"/>
        <w:rPr>
          <w:rFonts w:asciiTheme="minorHAnsi" w:hAnsiTheme="minorHAnsi"/>
          <w:sz w:val="20"/>
          <w:szCs w:val="20"/>
        </w:rPr>
      </w:pPr>
      <w:r w:rsidRPr="00D7160C">
        <w:rPr>
          <w:rFonts w:asciiTheme="minorHAnsi" w:hAnsiTheme="minorHAnsi"/>
          <w:b/>
          <w:sz w:val="20"/>
          <w:szCs w:val="20"/>
        </w:rPr>
        <w:t>Graf 5.1: Porovnanie hodnotenia výskumnej činnosti slovenských verejných vysokých škôl (v stupnici 0-4) v rámci komplexnej akreditácie v roku 2015 s hodnotením podľa predošlej KA v roku 2009</w:t>
      </w:r>
    </w:p>
    <w:p w:rsidR="00EF5E74" w:rsidRPr="00D7160C" w:rsidRDefault="00EF5E74" w:rsidP="00EF5E74">
      <w:pPr>
        <w:rPr>
          <w:rFonts w:asciiTheme="minorHAnsi" w:hAnsiTheme="minorHAnsi"/>
          <w:sz w:val="20"/>
          <w:szCs w:val="20"/>
        </w:rPr>
      </w:pPr>
      <w:r w:rsidRPr="00D7160C">
        <w:rPr>
          <w:rFonts w:asciiTheme="minorHAnsi" w:hAnsiTheme="minorHAnsi"/>
          <w:noProof/>
          <w:sz w:val="20"/>
          <w:szCs w:val="20"/>
          <w:lang w:eastAsia="sk-SK"/>
        </w:rPr>
        <w:drawing>
          <wp:inline distT="0" distB="0" distL="0" distR="0" wp14:anchorId="471347DB" wp14:editId="49B864F0">
            <wp:extent cx="5789007" cy="2802406"/>
            <wp:effectExtent l="0" t="0" r="254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F5E74" w:rsidRPr="00D7160C" w:rsidRDefault="00EF5E74" w:rsidP="00EF5E74">
      <w:pPr>
        <w:rPr>
          <w:rFonts w:asciiTheme="minorHAnsi" w:hAnsiTheme="minorHAnsi"/>
          <w:color w:val="BFBFBF" w:themeColor="background1" w:themeShade="BF"/>
          <w:sz w:val="20"/>
          <w:szCs w:val="20"/>
        </w:rPr>
      </w:pPr>
    </w:p>
    <w:p w:rsidR="00EF5E74" w:rsidRDefault="00D7160C" w:rsidP="00EF5E74">
      <w:pPr>
        <w:rPr>
          <w:rFonts w:asciiTheme="minorHAnsi" w:hAnsiTheme="minorHAnsi"/>
        </w:rPr>
      </w:pPr>
      <w:r>
        <w:rPr>
          <w:rFonts w:asciiTheme="minorHAnsi" w:hAnsiTheme="minorHAnsi"/>
        </w:rPr>
        <w:t>Graf 5.</w:t>
      </w:r>
      <w:r w:rsidR="00EF5E74" w:rsidRPr="00EF5E74">
        <w:rPr>
          <w:rFonts w:asciiTheme="minorHAnsi" w:hAnsiTheme="minorHAnsi"/>
        </w:rPr>
        <w:t>2 dokumentu</w:t>
      </w:r>
      <w:r>
        <w:rPr>
          <w:rFonts w:asciiTheme="minorHAnsi" w:hAnsiTheme="minorHAnsi"/>
        </w:rPr>
        <w:t>je</w:t>
      </w:r>
      <w:r w:rsidR="00EF5E74" w:rsidRPr="00EF5E74">
        <w:rPr>
          <w:rFonts w:asciiTheme="minorHAnsi" w:hAnsiTheme="minorHAnsi"/>
        </w:rPr>
        <w:t xml:space="preserve"> podiel STU a vybraných verejných vysokých škôl na Slovensku pri získavaní domácich výskumných grantov, zahraničných výskumných grantov (výskumných aj nevýskumných) a získavaní finančných prostriedkov na projektoch od </w:t>
      </w:r>
      <w:r w:rsidR="00EF5E74" w:rsidRPr="00EF5E74">
        <w:rPr>
          <w:rFonts w:asciiTheme="minorHAnsi" w:hAnsiTheme="minorHAnsi"/>
        </w:rPr>
        <w:lastRenderedPageBreak/>
        <w:t xml:space="preserve">iných subjektov (ZOD) podľa informácií MŠVVŠ SR, ktoré boli použité ako podklad pri </w:t>
      </w:r>
      <w:r w:rsidR="00CC7087">
        <w:rPr>
          <w:rFonts w:asciiTheme="minorHAnsi" w:hAnsiTheme="minorHAnsi"/>
        </w:rPr>
        <w:t>určení</w:t>
      </w:r>
      <w:r w:rsidR="00EF5E74" w:rsidRPr="00EF5E74">
        <w:rPr>
          <w:rFonts w:asciiTheme="minorHAnsi" w:hAnsiTheme="minorHAnsi"/>
        </w:rPr>
        <w:t xml:space="preserve"> dotácie na rok 2016 (ide teda v súlade s metodikou delenia dotácia o údaje z rokov 2013 a 2014). Diagramy jasne dokumentujú skutočnosť, že 5 vybraných slovenských verejných vysokých škôl (UK, STU, TUKE, UPJŠ a ŽU) predstavuje v uvedených ukazovateľoch majoritný podiel  v porovnaní so zvyšnými univerzitami. Pri získavaní finančných prostriedkov participuje STU približne 20 % a v publikačnej aktivite 13 % v rámci všetkých verejných vysokých škôl na Slovensku.</w:t>
      </w:r>
    </w:p>
    <w:p w:rsidR="000B7C89" w:rsidRDefault="000B7C89" w:rsidP="00EF5E74">
      <w:pPr>
        <w:rPr>
          <w:rFonts w:asciiTheme="minorHAnsi" w:hAnsiTheme="minorHAnsi"/>
        </w:rPr>
      </w:pPr>
    </w:p>
    <w:p w:rsidR="000B7C89" w:rsidRPr="000B7C89" w:rsidRDefault="000B7C89" w:rsidP="00EF5E74">
      <w:pPr>
        <w:rPr>
          <w:rFonts w:asciiTheme="minorHAnsi" w:hAnsiTheme="minorHAnsi"/>
          <w:sz w:val="20"/>
          <w:szCs w:val="20"/>
        </w:rPr>
      </w:pPr>
    </w:p>
    <w:p w:rsidR="00CC1450" w:rsidRDefault="000B7C89" w:rsidP="00CC1450">
      <w:pPr>
        <w:rPr>
          <w:rFonts w:asciiTheme="minorHAnsi" w:hAnsiTheme="minorHAnsi"/>
          <w:b/>
          <w:sz w:val="20"/>
          <w:szCs w:val="20"/>
        </w:rPr>
      </w:pPr>
      <w:r w:rsidRPr="000B7C89">
        <w:rPr>
          <w:rFonts w:asciiTheme="minorHAnsi" w:hAnsiTheme="minorHAnsi"/>
          <w:b/>
          <w:sz w:val="20"/>
          <w:szCs w:val="20"/>
        </w:rPr>
        <w:t>Graf 5.2: Podiel vybraných slovenských verejných vysokých škôl na finančných prostriedkoch získaných z domácich a zahraničných grantov a výskumných projektov od iných subjektov pri delení dotácie na rok 2016 (v súlade s metodikou MŠVVŠ SR ide teda o údaje z rokov 2013 a 2014).</w:t>
      </w:r>
    </w:p>
    <w:p w:rsidR="00A32923" w:rsidRPr="00A32923" w:rsidRDefault="00A32923" w:rsidP="00CC1450">
      <w:pPr>
        <w:rPr>
          <w:rFonts w:asciiTheme="minorHAnsi" w:hAnsiTheme="minorHAnsi"/>
          <w:b/>
          <w:sz w:val="20"/>
          <w:szCs w:val="20"/>
        </w:rPr>
      </w:pPr>
    </w:p>
    <w:p w:rsidR="00CC1450" w:rsidRPr="000B7C89" w:rsidRDefault="00CC1450" w:rsidP="00CC1450">
      <w:pPr>
        <w:jc w:val="center"/>
        <w:rPr>
          <w:rFonts w:asciiTheme="minorHAnsi" w:hAnsiTheme="minorHAnsi"/>
          <w:sz w:val="20"/>
          <w:szCs w:val="20"/>
        </w:rPr>
      </w:pPr>
      <w:r w:rsidRPr="000B7C89">
        <w:rPr>
          <w:rFonts w:asciiTheme="minorHAnsi" w:hAnsiTheme="minorHAnsi"/>
          <w:noProof/>
          <w:sz w:val="20"/>
          <w:szCs w:val="20"/>
          <w:lang w:eastAsia="sk-SK"/>
        </w:rPr>
        <w:drawing>
          <wp:inline distT="0" distB="0" distL="0" distR="0" wp14:anchorId="420536DC" wp14:editId="5D16706F">
            <wp:extent cx="4572000" cy="274320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C1450" w:rsidRPr="000B7C89" w:rsidRDefault="00CC1450" w:rsidP="00CC1450">
      <w:pPr>
        <w:jc w:val="center"/>
        <w:rPr>
          <w:rFonts w:asciiTheme="minorHAnsi" w:hAnsiTheme="minorHAnsi"/>
          <w:sz w:val="20"/>
          <w:szCs w:val="20"/>
        </w:rPr>
      </w:pPr>
      <w:r w:rsidRPr="000B7C89">
        <w:rPr>
          <w:rFonts w:asciiTheme="minorHAnsi" w:hAnsiTheme="minorHAnsi"/>
          <w:noProof/>
          <w:sz w:val="20"/>
          <w:szCs w:val="20"/>
          <w:lang w:eastAsia="sk-SK"/>
        </w:rPr>
        <w:drawing>
          <wp:inline distT="0" distB="0" distL="0" distR="0" wp14:anchorId="40E43C59" wp14:editId="0EEBFD00">
            <wp:extent cx="4572000" cy="274320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C1450" w:rsidRPr="000B7C89" w:rsidRDefault="00CC1450" w:rsidP="00CC1450">
      <w:pPr>
        <w:jc w:val="center"/>
        <w:rPr>
          <w:rFonts w:asciiTheme="minorHAnsi" w:hAnsiTheme="minorHAnsi"/>
          <w:sz w:val="20"/>
          <w:szCs w:val="20"/>
        </w:rPr>
      </w:pPr>
      <w:r w:rsidRPr="000B7C89">
        <w:rPr>
          <w:rFonts w:asciiTheme="minorHAnsi" w:hAnsiTheme="minorHAnsi"/>
          <w:noProof/>
          <w:sz w:val="20"/>
          <w:szCs w:val="20"/>
          <w:lang w:eastAsia="sk-SK"/>
        </w:rPr>
        <w:lastRenderedPageBreak/>
        <w:drawing>
          <wp:inline distT="0" distB="0" distL="0" distR="0" wp14:anchorId="0E55943D" wp14:editId="04249439">
            <wp:extent cx="4572000" cy="2743200"/>
            <wp:effectExtent l="0" t="0" r="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C1450" w:rsidRPr="000B7C89" w:rsidRDefault="00CC1450" w:rsidP="00CC1450">
      <w:pPr>
        <w:jc w:val="center"/>
        <w:rPr>
          <w:rFonts w:asciiTheme="minorHAnsi" w:hAnsiTheme="minorHAnsi"/>
          <w:sz w:val="20"/>
          <w:szCs w:val="20"/>
        </w:rPr>
      </w:pPr>
    </w:p>
    <w:p w:rsidR="000B7C89" w:rsidRPr="00A32923" w:rsidRDefault="000B7C89" w:rsidP="00CC1450">
      <w:pPr>
        <w:jc w:val="center"/>
        <w:rPr>
          <w:rFonts w:asciiTheme="minorHAnsi" w:hAnsiTheme="minorHAnsi"/>
        </w:rPr>
      </w:pPr>
    </w:p>
    <w:p w:rsidR="00CC1450" w:rsidRDefault="00CC1450" w:rsidP="00CC1450">
      <w:pPr>
        <w:rPr>
          <w:rFonts w:asciiTheme="minorHAnsi" w:hAnsiTheme="minorHAnsi"/>
        </w:rPr>
      </w:pPr>
      <w:r w:rsidRPr="00A32923">
        <w:rPr>
          <w:rFonts w:asciiTheme="minorHAnsi" w:hAnsiTheme="minorHAnsi"/>
        </w:rPr>
        <w:t xml:space="preserve">Podobná situácia je aj v oblasti publikačnej činnosti. Päť vybraných verejných vysokých škôl, vrátane Slovenskej technickej univerzity, produkujú spolu viac ako 60 % všetkých publikácií. Dokumentuje to nasledovný </w:t>
      </w:r>
      <w:r w:rsidR="006158B5">
        <w:rPr>
          <w:rFonts w:asciiTheme="minorHAnsi" w:hAnsiTheme="minorHAnsi"/>
        </w:rPr>
        <w:t>graf</w:t>
      </w:r>
      <w:r w:rsidRPr="00A32923">
        <w:rPr>
          <w:rFonts w:asciiTheme="minorHAnsi" w:hAnsiTheme="minorHAnsi"/>
        </w:rPr>
        <w:t>, ktorý vychádza z údajov MŠVVŠ z údajov  za rok 2013 a 2014.</w:t>
      </w:r>
    </w:p>
    <w:p w:rsidR="00650BC6" w:rsidRDefault="00650BC6" w:rsidP="00CC1450">
      <w:pPr>
        <w:rPr>
          <w:rFonts w:asciiTheme="minorHAnsi" w:hAnsiTheme="minorHAnsi"/>
        </w:rPr>
      </w:pPr>
    </w:p>
    <w:p w:rsidR="00650BC6" w:rsidRPr="00650BC6" w:rsidRDefault="00650BC6" w:rsidP="00CC1450">
      <w:pPr>
        <w:rPr>
          <w:rFonts w:asciiTheme="minorHAnsi" w:hAnsiTheme="minorHAnsi"/>
          <w:sz w:val="20"/>
          <w:szCs w:val="20"/>
        </w:rPr>
      </w:pPr>
    </w:p>
    <w:p w:rsidR="00CC1450" w:rsidRPr="00650BC6" w:rsidRDefault="00650BC6" w:rsidP="000676E9">
      <w:pPr>
        <w:rPr>
          <w:sz w:val="20"/>
          <w:szCs w:val="20"/>
        </w:rPr>
      </w:pPr>
      <w:r w:rsidRPr="00650BC6">
        <w:rPr>
          <w:rFonts w:asciiTheme="minorHAnsi" w:hAnsiTheme="minorHAnsi"/>
          <w:b/>
          <w:sz w:val="20"/>
          <w:szCs w:val="20"/>
        </w:rPr>
        <w:t>Graf 5.3: Podiel vybraných slovenských verejných vysokých škôl na celkovej publikačnej činnosti pri delení dotácie na rok 2016 (v súlade s metodikou MŠVVŠ SR ide te</w:t>
      </w:r>
      <w:r>
        <w:rPr>
          <w:rFonts w:asciiTheme="minorHAnsi" w:hAnsiTheme="minorHAnsi"/>
          <w:b/>
          <w:sz w:val="20"/>
          <w:szCs w:val="20"/>
        </w:rPr>
        <w:t>da o údaje z rokov 2013 a 2014)</w:t>
      </w:r>
      <w:r w:rsidR="00CC1450" w:rsidRPr="00650BC6">
        <w:rPr>
          <w:noProof/>
          <w:sz w:val="20"/>
          <w:szCs w:val="20"/>
          <w:lang w:eastAsia="sk-SK"/>
        </w:rPr>
        <w:drawing>
          <wp:inline distT="0" distB="0" distL="0" distR="0" wp14:anchorId="0A56FAB2" wp14:editId="45DC23AE">
            <wp:extent cx="4572000" cy="2743200"/>
            <wp:effectExtent l="0" t="0" r="0"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158B5" w:rsidRDefault="006158B5" w:rsidP="00CC1450">
      <w:pPr>
        <w:rPr>
          <w:sz w:val="20"/>
          <w:szCs w:val="20"/>
        </w:rPr>
      </w:pPr>
    </w:p>
    <w:p w:rsidR="00CC1450" w:rsidRPr="006158B5" w:rsidRDefault="00CC1450" w:rsidP="00CC1450">
      <w:pPr>
        <w:rPr>
          <w:rFonts w:asciiTheme="minorHAnsi" w:hAnsiTheme="minorHAnsi"/>
        </w:rPr>
      </w:pPr>
      <w:r w:rsidRPr="00650BC6">
        <w:rPr>
          <w:rFonts w:asciiTheme="minorHAnsi" w:hAnsiTheme="minorHAnsi"/>
        </w:rPr>
        <w:t xml:space="preserve">Pozíciu Slovenskej technickej univerzity od roku 2009 v  získavaní finančných prostriedkov z domácich a zahraničných grantových agentúr dokumentuje </w:t>
      </w:r>
      <w:r w:rsidR="006158B5">
        <w:rPr>
          <w:rFonts w:asciiTheme="minorHAnsi" w:hAnsiTheme="minorHAnsi"/>
        </w:rPr>
        <w:t>graf 5.4</w:t>
      </w:r>
      <w:r w:rsidRPr="00650BC6">
        <w:rPr>
          <w:rFonts w:asciiTheme="minorHAnsi" w:hAnsiTheme="minorHAnsi"/>
        </w:rPr>
        <w:t xml:space="preserve"> (</w:t>
      </w:r>
      <w:r w:rsidR="006158B5" w:rsidRPr="00650BC6">
        <w:rPr>
          <w:rFonts w:asciiTheme="minorHAnsi" w:hAnsiTheme="minorHAnsi"/>
        </w:rPr>
        <w:t>uvedené</w:t>
      </w:r>
      <w:r w:rsidRPr="00650BC6">
        <w:rPr>
          <w:rFonts w:asciiTheme="minorHAnsi" w:hAnsiTheme="minorHAnsi"/>
        </w:rPr>
        <w:t xml:space="preserve"> sú údaje podľa MŠVVŠ SR použité pri delení dotácie na príslušný rok) a postavenie STU v publikačných aktivitách v rámci slovenských verejných vysokých škôl </w:t>
      </w:r>
      <w:r w:rsidR="006158B5">
        <w:rPr>
          <w:rFonts w:asciiTheme="minorHAnsi" w:hAnsiTheme="minorHAnsi"/>
        </w:rPr>
        <w:t>zase graf 5.</w:t>
      </w:r>
      <w:r w:rsidRPr="00650BC6">
        <w:rPr>
          <w:rFonts w:asciiTheme="minorHAnsi" w:hAnsiTheme="minorHAnsi"/>
        </w:rPr>
        <w:t xml:space="preserve">5, v ktorom sú uvedené počty publikácií podľa databázy SCOPUS (u </w:t>
      </w:r>
      <w:r w:rsidRPr="00650BC6">
        <w:rPr>
          <w:rFonts w:asciiTheme="minorHAnsi" w:hAnsiTheme="minorHAnsi"/>
        </w:rPr>
        <w:lastRenderedPageBreak/>
        <w:t>všetkých vysokých škôl pozorovať za rok 2015 pokles, pretože rok 2015 z hľadiska napĺňania publikačných databáz ešte nie je celkom uzavretý).</w:t>
      </w:r>
    </w:p>
    <w:p w:rsidR="006158B5" w:rsidRDefault="006158B5" w:rsidP="00CC1450">
      <w:pPr>
        <w:rPr>
          <w:rFonts w:ascii="Times New Roman" w:hAnsi="Times New Roman"/>
        </w:rPr>
      </w:pPr>
    </w:p>
    <w:p w:rsidR="000676E9" w:rsidRDefault="000676E9" w:rsidP="00CC1450">
      <w:pPr>
        <w:rPr>
          <w:rFonts w:ascii="Times New Roman" w:hAnsi="Times New Roman"/>
        </w:rPr>
      </w:pPr>
    </w:p>
    <w:p w:rsidR="006158B5" w:rsidRPr="006158B5" w:rsidRDefault="006158B5" w:rsidP="00CC1450">
      <w:pPr>
        <w:rPr>
          <w:rFonts w:asciiTheme="minorHAnsi" w:hAnsiTheme="minorHAnsi"/>
          <w:b/>
          <w:sz w:val="20"/>
          <w:szCs w:val="20"/>
        </w:rPr>
      </w:pPr>
      <w:r w:rsidRPr="006158B5">
        <w:rPr>
          <w:rFonts w:asciiTheme="minorHAnsi" w:hAnsiTheme="minorHAnsi"/>
          <w:b/>
          <w:sz w:val="20"/>
          <w:szCs w:val="20"/>
        </w:rPr>
        <w:t>Graf 5.4: Postavenie vybraných slovenských verejných vysokých škôl pri získavaní financií z domácich a zahraničných grantových agentúr (podľa verejne dostupných informácií MŠVVŠ pri delení dotácie na príslušný rok</w:t>
      </w:r>
      <w:r w:rsidR="00B26015">
        <w:rPr>
          <w:rFonts w:asciiTheme="minorHAnsi" w:hAnsiTheme="minorHAnsi"/>
          <w:b/>
          <w:sz w:val="20"/>
          <w:szCs w:val="20"/>
        </w:rPr>
        <w:t xml:space="preserve">, v súlade s metodikou MŠVVŠ SR, </w:t>
      </w:r>
      <w:r w:rsidRPr="006158B5">
        <w:rPr>
          <w:rFonts w:asciiTheme="minorHAnsi" w:hAnsiTheme="minorHAnsi"/>
          <w:b/>
          <w:sz w:val="20"/>
          <w:szCs w:val="20"/>
        </w:rPr>
        <w:t>údaje z rokov 2013 a 2014)</w:t>
      </w:r>
    </w:p>
    <w:p w:rsidR="00CC1450" w:rsidRPr="000676E9" w:rsidRDefault="00CC1450" w:rsidP="00CC1450">
      <w:pPr>
        <w:rPr>
          <w:rFonts w:asciiTheme="minorHAnsi" w:hAnsiTheme="minorHAnsi"/>
          <w:sz w:val="20"/>
          <w:szCs w:val="20"/>
        </w:rPr>
      </w:pPr>
      <w:r w:rsidRPr="000676E9">
        <w:rPr>
          <w:rFonts w:asciiTheme="minorHAnsi" w:hAnsiTheme="minorHAnsi"/>
          <w:noProof/>
          <w:sz w:val="20"/>
          <w:szCs w:val="20"/>
          <w:lang w:eastAsia="sk-SK"/>
        </w:rPr>
        <w:drawing>
          <wp:inline distT="0" distB="0" distL="0" distR="0" wp14:anchorId="295199B6" wp14:editId="3A82AA3E">
            <wp:extent cx="5478780" cy="3394710"/>
            <wp:effectExtent l="0" t="0" r="762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C1450" w:rsidRPr="000676E9" w:rsidRDefault="00CC1450" w:rsidP="00CC1450">
      <w:pPr>
        <w:rPr>
          <w:rFonts w:asciiTheme="minorHAnsi" w:hAnsiTheme="minorHAnsi"/>
          <w:sz w:val="20"/>
          <w:szCs w:val="20"/>
        </w:rPr>
      </w:pPr>
      <w:r w:rsidRPr="000676E9">
        <w:rPr>
          <w:rFonts w:asciiTheme="minorHAnsi" w:hAnsiTheme="minorHAnsi"/>
          <w:noProof/>
          <w:sz w:val="20"/>
          <w:szCs w:val="20"/>
          <w:lang w:eastAsia="sk-SK"/>
        </w:rPr>
        <w:drawing>
          <wp:inline distT="0" distB="0" distL="0" distR="0" wp14:anchorId="41C9DF2B" wp14:editId="78835BDF">
            <wp:extent cx="5760720" cy="3938233"/>
            <wp:effectExtent l="0" t="0" r="0" b="5715"/>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C1450" w:rsidRPr="000676E9" w:rsidRDefault="00CC1450" w:rsidP="00CC1450">
      <w:pPr>
        <w:jc w:val="center"/>
        <w:rPr>
          <w:rFonts w:asciiTheme="minorHAnsi" w:hAnsiTheme="minorHAnsi"/>
          <w:sz w:val="20"/>
          <w:szCs w:val="20"/>
        </w:rPr>
      </w:pPr>
      <w:r w:rsidRPr="000676E9">
        <w:rPr>
          <w:rFonts w:asciiTheme="minorHAnsi" w:hAnsiTheme="minorHAnsi"/>
          <w:sz w:val="20"/>
          <w:szCs w:val="20"/>
        </w:rPr>
        <w:lastRenderedPageBreak/>
        <w:t>.</w:t>
      </w:r>
    </w:p>
    <w:p w:rsidR="000676E9" w:rsidRDefault="000676E9" w:rsidP="006158B5">
      <w:pPr>
        <w:jc w:val="left"/>
        <w:rPr>
          <w:rFonts w:asciiTheme="minorHAnsi" w:hAnsiTheme="minorHAnsi"/>
          <w:b/>
          <w:sz w:val="20"/>
          <w:szCs w:val="20"/>
        </w:rPr>
      </w:pPr>
    </w:p>
    <w:p w:rsidR="00CC1450" w:rsidRPr="006158B5" w:rsidRDefault="006158B5" w:rsidP="006158B5">
      <w:pPr>
        <w:jc w:val="left"/>
        <w:rPr>
          <w:rFonts w:asciiTheme="minorHAnsi" w:hAnsiTheme="minorHAnsi"/>
          <w:b/>
          <w:sz w:val="20"/>
          <w:szCs w:val="20"/>
        </w:rPr>
      </w:pPr>
      <w:r w:rsidRPr="006158B5">
        <w:rPr>
          <w:rFonts w:asciiTheme="minorHAnsi" w:hAnsiTheme="minorHAnsi"/>
          <w:b/>
          <w:sz w:val="20"/>
          <w:szCs w:val="20"/>
        </w:rPr>
        <w:t>Graf 5.5: Počty publikácií vybraných verejných vysokých škôl za obdobie rokov 2009-2015 podľa databázy SCOPUS</w:t>
      </w:r>
    </w:p>
    <w:p w:rsidR="006158B5" w:rsidRPr="006158B5" w:rsidRDefault="006158B5" w:rsidP="00CC1450">
      <w:pPr>
        <w:rPr>
          <w:rFonts w:asciiTheme="minorHAnsi" w:hAnsiTheme="minorHAnsi"/>
          <w:sz w:val="20"/>
          <w:szCs w:val="20"/>
        </w:rPr>
      </w:pPr>
    </w:p>
    <w:p w:rsidR="00CC1450" w:rsidRPr="006158B5" w:rsidRDefault="00CC1450" w:rsidP="00CC1450">
      <w:pPr>
        <w:jc w:val="center"/>
        <w:rPr>
          <w:rFonts w:asciiTheme="minorHAnsi" w:hAnsiTheme="minorHAnsi"/>
          <w:sz w:val="20"/>
          <w:szCs w:val="20"/>
        </w:rPr>
      </w:pPr>
      <w:r w:rsidRPr="006158B5">
        <w:rPr>
          <w:rFonts w:asciiTheme="minorHAnsi" w:hAnsiTheme="minorHAnsi"/>
          <w:noProof/>
          <w:sz w:val="20"/>
          <w:szCs w:val="20"/>
          <w:lang w:eastAsia="sk-SK"/>
        </w:rPr>
        <w:drawing>
          <wp:inline distT="0" distB="0" distL="0" distR="0" wp14:anchorId="62685F63" wp14:editId="59205006">
            <wp:extent cx="5344160" cy="2915920"/>
            <wp:effectExtent l="0" t="0" r="889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C1450" w:rsidRPr="00B459B5" w:rsidRDefault="00CC1450" w:rsidP="00CC1450">
      <w:pPr>
        <w:rPr>
          <w:rFonts w:asciiTheme="minorHAnsi" w:hAnsiTheme="minorHAnsi"/>
        </w:rPr>
      </w:pPr>
    </w:p>
    <w:p w:rsidR="00CC1450" w:rsidRDefault="00CC1450" w:rsidP="00CC1450">
      <w:pPr>
        <w:rPr>
          <w:rFonts w:asciiTheme="minorHAnsi" w:hAnsiTheme="minorHAnsi"/>
        </w:rPr>
      </w:pPr>
      <w:r w:rsidRPr="00B459B5">
        <w:rPr>
          <w:rFonts w:asciiTheme="minorHAnsi" w:hAnsiTheme="minorHAnsi"/>
        </w:rPr>
        <w:t xml:space="preserve">Tabuľka </w:t>
      </w:r>
      <w:r w:rsidR="005729D2">
        <w:rPr>
          <w:rFonts w:asciiTheme="minorHAnsi" w:hAnsiTheme="minorHAnsi"/>
        </w:rPr>
        <w:t>5.</w:t>
      </w:r>
      <w:r w:rsidRPr="00B459B5">
        <w:rPr>
          <w:rFonts w:asciiTheme="minorHAnsi" w:hAnsiTheme="minorHAnsi"/>
        </w:rPr>
        <w:t xml:space="preserve">1 uvádza prepočítané počty tvorivých výskumných a umeleckých pracovníkov (učiteľov a výskumných a umeleckých  pracovníkov s vysokoškolským vzdelaním) k 31.12.2015. </w:t>
      </w:r>
    </w:p>
    <w:p w:rsidR="00F1231F" w:rsidRPr="005729D2" w:rsidRDefault="00F1231F" w:rsidP="00CC1450">
      <w:pPr>
        <w:rPr>
          <w:rFonts w:asciiTheme="minorHAnsi" w:hAnsiTheme="minorHAnsi"/>
          <w:sz w:val="20"/>
          <w:szCs w:val="20"/>
        </w:rPr>
      </w:pPr>
    </w:p>
    <w:p w:rsidR="00CC1450" w:rsidRPr="000676E9" w:rsidRDefault="00CC1450" w:rsidP="000676E9">
      <w:pPr>
        <w:jc w:val="left"/>
        <w:rPr>
          <w:rFonts w:asciiTheme="minorHAnsi" w:hAnsiTheme="minorHAnsi"/>
          <w:b/>
          <w:sz w:val="20"/>
          <w:szCs w:val="20"/>
        </w:rPr>
      </w:pPr>
      <w:r w:rsidRPr="000676E9">
        <w:rPr>
          <w:rFonts w:asciiTheme="minorHAnsi" w:hAnsiTheme="minorHAnsi"/>
          <w:b/>
          <w:sz w:val="20"/>
          <w:szCs w:val="20"/>
        </w:rPr>
        <w:t xml:space="preserve">Tabuľka </w:t>
      </w:r>
      <w:r w:rsidR="005729D2" w:rsidRPr="000676E9">
        <w:rPr>
          <w:rFonts w:asciiTheme="minorHAnsi" w:hAnsiTheme="minorHAnsi"/>
          <w:b/>
          <w:sz w:val="20"/>
          <w:szCs w:val="20"/>
        </w:rPr>
        <w:t>5.1:</w:t>
      </w:r>
      <w:r w:rsidRPr="000676E9">
        <w:rPr>
          <w:rFonts w:asciiTheme="minorHAnsi" w:hAnsiTheme="minorHAnsi"/>
          <w:b/>
          <w:sz w:val="20"/>
          <w:szCs w:val="20"/>
        </w:rPr>
        <w:t xml:space="preserve"> Prepočítané počty tvorivých pracovníkov súčastí STU k 31. 12. 2015</w:t>
      </w:r>
    </w:p>
    <w:tbl>
      <w:tblPr>
        <w:tblW w:w="9371"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422"/>
        <w:gridCol w:w="1428"/>
        <w:gridCol w:w="1276"/>
        <w:gridCol w:w="1134"/>
        <w:gridCol w:w="1018"/>
        <w:gridCol w:w="1290"/>
        <w:gridCol w:w="1803"/>
      </w:tblGrid>
      <w:tr w:rsidR="00CC1450" w:rsidRPr="000676E9" w:rsidTr="00520814">
        <w:trPr>
          <w:trHeight w:val="1134"/>
        </w:trPr>
        <w:tc>
          <w:tcPr>
            <w:tcW w:w="1422" w:type="dxa"/>
            <w:vMerge w:val="restart"/>
            <w:tcBorders>
              <w:top w:val="nil"/>
              <w:left w:val="nil"/>
            </w:tcBorders>
            <w:shd w:val="clear" w:color="auto" w:fill="auto"/>
            <w:vAlign w:val="center"/>
            <w:hideMark/>
          </w:tcPr>
          <w:p w:rsidR="00CC1450" w:rsidRPr="000676E9" w:rsidRDefault="00CC1450" w:rsidP="000676E9">
            <w:pPr>
              <w:jc w:val="left"/>
              <w:rPr>
                <w:rFonts w:asciiTheme="minorHAnsi" w:hAnsiTheme="minorHAnsi"/>
                <w:sz w:val="20"/>
                <w:szCs w:val="20"/>
              </w:rPr>
            </w:pPr>
            <w:r w:rsidRPr="000676E9">
              <w:rPr>
                <w:rFonts w:asciiTheme="minorHAnsi" w:hAnsiTheme="minorHAnsi"/>
                <w:sz w:val="20"/>
                <w:szCs w:val="20"/>
              </w:rPr>
              <w:t> </w:t>
            </w:r>
          </w:p>
        </w:tc>
        <w:tc>
          <w:tcPr>
            <w:tcW w:w="4856" w:type="dxa"/>
            <w:gridSpan w:val="4"/>
            <w:shd w:val="clear" w:color="auto" w:fill="FDE9D9" w:themeFill="accent6" w:themeFillTint="33"/>
            <w:vAlign w:val="center"/>
            <w:hideMark/>
          </w:tcPr>
          <w:p w:rsidR="00CC1450" w:rsidRPr="000676E9" w:rsidRDefault="00CC1450" w:rsidP="000676E9">
            <w:pPr>
              <w:jc w:val="left"/>
              <w:rPr>
                <w:rFonts w:asciiTheme="minorHAnsi" w:hAnsiTheme="minorHAnsi"/>
                <w:sz w:val="20"/>
                <w:szCs w:val="20"/>
              </w:rPr>
            </w:pPr>
            <w:r w:rsidRPr="000676E9">
              <w:rPr>
                <w:rFonts w:asciiTheme="minorHAnsi" w:hAnsiTheme="minorHAnsi"/>
                <w:sz w:val="20"/>
                <w:szCs w:val="20"/>
              </w:rPr>
              <w:t>VŠ učitelia</w:t>
            </w:r>
          </w:p>
        </w:tc>
        <w:tc>
          <w:tcPr>
            <w:tcW w:w="1290" w:type="dxa"/>
            <w:vMerge w:val="restart"/>
            <w:shd w:val="clear" w:color="auto" w:fill="FDE9D9" w:themeFill="accent6" w:themeFillTint="33"/>
            <w:vAlign w:val="center"/>
            <w:hideMark/>
          </w:tcPr>
          <w:p w:rsidR="00CC1450" w:rsidRPr="000676E9" w:rsidRDefault="00CC1450" w:rsidP="000676E9">
            <w:pPr>
              <w:jc w:val="left"/>
              <w:rPr>
                <w:rFonts w:asciiTheme="minorHAnsi" w:hAnsiTheme="minorHAnsi"/>
                <w:b/>
                <w:sz w:val="20"/>
                <w:szCs w:val="20"/>
              </w:rPr>
            </w:pPr>
            <w:r w:rsidRPr="000676E9">
              <w:rPr>
                <w:rFonts w:asciiTheme="minorHAnsi" w:hAnsiTheme="minorHAnsi"/>
                <w:b/>
                <w:sz w:val="20"/>
                <w:szCs w:val="20"/>
              </w:rPr>
              <w:t>Výsk. prac. s VŠ vzdelaním</w:t>
            </w:r>
          </w:p>
        </w:tc>
        <w:tc>
          <w:tcPr>
            <w:tcW w:w="1803" w:type="dxa"/>
            <w:vMerge w:val="restart"/>
            <w:shd w:val="clear" w:color="auto" w:fill="FDE9D9" w:themeFill="accent6" w:themeFillTint="33"/>
            <w:vAlign w:val="center"/>
          </w:tcPr>
          <w:p w:rsidR="00CC1450" w:rsidRPr="000676E9" w:rsidRDefault="00CC1450" w:rsidP="000676E9">
            <w:pPr>
              <w:jc w:val="left"/>
              <w:rPr>
                <w:rFonts w:asciiTheme="minorHAnsi" w:hAnsiTheme="minorHAnsi"/>
                <w:sz w:val="20"/>
                <w:szCs w:val="20"/>
              </w:rPr>
            </w:pPr>
            <w:r w:rsidRPr="000676E9">
              <w:rPr>
                <w:rFonts w:asciiTheme="minorHAnsi" w:hAnsiTheme="minorHAnsi"/>
                <w:sz w:val="20"/>
                <w:szCs w:val="20"/>
              </w:rPr>
              <w:t>Výskumná kapacita</w:t>
            </w:r>
            <w:r w:rsidRPr="000676E9">
              <w:rPr>
                <w:rStyle w:val="Odkaznapoznmkupodiarou"/>
                <w:rFonts w:asciiTheme="minorHAnsi" w:hAnsiTheme="minorHAnsi"/>
                <w:sz w:val="20"/>
                <w:szCs w:val="20"/>
              </w:rPr>
              <w:footnoteReference w:id="1"/>
            </w:r>
            <w:r w:rsidRPr="000676E9">
              <w:rPr>
                <w:rFonts w:asciiTheme="minorHAnsi" w:hAnsiTheme="minorHAnsi"/>
                <w:sz w:val="20"/>
                <w:szCs w:val="20"/>
              </w:rPr>
              <w:t> </w:t>
            </w:r>
          </w:p>
          <w:p w:rsidR="00CC1450" w:rsidRPr="000676E9" w:rsidRDefault="00CC1450" w:rsidP="000676E9">
            <w:pPr>
              <w:jc w:val="left"/>
              <w:rPr>
                <w:rFonts w:asciiTheme="minorHAnsi" w:hAnsiTheme="minorHAnsi"/>
                <w:sz w:val="20"/>
                <w:szCs w:val="20"/>
              </w:rPr>
            </w:pPr>
            <w:r w:rsidRPr="000676E9">
              <w:rPr>
                <w:rFonts w:asciiTheme="minorHAnsi" w:hAnsiTheme="minorHAnsi"/>
                <w:sz w:val="20"/>
                <w:szCs w:val="20"/>
              </w:rPr>
              <w:t> </w:t>
            </w:r>
          </w:p>
        </w:tc>
      </w:tr>
      <w:tr w:rsidR="00CC1450" w:rsidRPr="000676E9" w:rsidTr="00520814">
        <w:trPr>
          <w:trHeight w:val="326"/>
        </w:trPr>
        <w:tc>
          <w:tcPr>
            <w:tcW w:w="1422" w:type="dxa"/>
            <w:vMerge/>
            <w:tcBorders>
              <w:top w:val="nil"/>
              <w:left w:val="nil"/>
            </w:tcBorders>
            <w:vAlign w:val="center"/>
            <w:hideMark/>
          </w:tcPr>
          <w:p w:rsidR="00CC1450" w:rsidRPr="000676E9" w:rsidRDefault="00CC1450" w:rsidP="000676E9">
            <w:pPr>
              <w:jc w:val="left"/>
              <w:rPr>
                <w:rFonts w:asciiTheme="minorHAnsi" w:hAnsiTheme="minorHAnsi"/>
                <w:sz w:val="20"/>
                <w:szCs w:val="20"/>
              </w:rPr>
            </w:pPr>
          </w:p>
        </w:tc>
        <w:tc>
          <w:tcPr>
            <w:tcW w:w="1428" w:type="dxa"/>
            <w:shd w:val="clear" w:color="auto" w:fill="FDE9D9" w:themeFill="accent6" w:themeFillTint="33"/>
            <w:vAlign w:val="center"/>
            <w:hideMark/>
          </w:tcPr>
          <w:p w:rsidR="00CC1450" w:rsidRPr="000676E9" w:rsidRDefault="00CC1450" w:rsidP="000676E9">
            <w:pPr>
              <w:jc w:val="left"/>
              <w:rPr>
                <w:rFonts w:asciiTheme="minorHAnsi" w:hAnsiTheme="minorHAnsi"/>
                <w:b/>
                <w:sz w:val="20"/>
                <w:szCs w:val="20"/>
              </w:rPr>
            </w:pPr>
            <w:r w:rsidRPr="000676E9">
              <w:rPr>
                <w:rFonts w:asciiTheme="minorHAnsi" w:hAnsiTheme="minorHAnsi"/>
                <w:b/>
                <w:sz w:val="20"/>
                <w:szCs w:val="20"/>
              </w:rPr>
              <w:t>Prof.</w:t>
            </w:r>
          </w:p>
        </w:tc>
        <w:tc>
          <w:tcPr>
            <w:tcW w:w="1276" w:type="dxa"/>
            <w:shd w:val="clear" w:color="auto" w:fill="FDE9D9" w:themeFill="accent6" w:themeFillTint="33"/>
            <w:vAlign w:val="center"/>
            <w:hideMark/>
          </w:tcPr>
          <w:p w:rsidR="00CC1450" w:rsidRPr="000676E9" w:rsidRDefault="00CC1450" w:rsidP="000676E9">
            <w:pPr>
              <w:jc w:val="left"/>
              <w:rPr>
                <w:rFonts w:asciiTheme="minorHAnsi" w:hAnsiTheme="minorHAnsi"/>
                <w:b/>
                <w:sz w:val="20"/>
                <w:szCs w:val="20"/>
              </w:rPr>
            </w:pPr>
            <w:r w:rsidRPr="000676E9">
              <w:rPr>
                <w:rFonts w:asciiTheme="minorHAnsi" w:hAnsiTheme="minorHAnsi"/>
                <w:b/>
                <w:sz w:val="20"/>
                <w:szCs w:val="20"/>
              </w:rPr>
              <w:t>Doc.</w:t>
            </w:r>
          </w:p>
        </w:tc>
        <w:tc>
          <w:tcPr>
            <w:tcW w:w="1134" w:type="dxa"/>
            <w:shd w:val="clear" w:color="auto" w:fill="FDE9D9" w:themeFill="accent6" w:themeFillTint="33"/>
            <w:vAlign w:val="center"/>
            <w:hideMark/>
          </w:tcPr>
          <w:p w:rsidR="00CC1450" w:rsidRPr="000676E9" w:rsidRDefault="00CC1450" w:rsidP="000676E9">
            <w:pPr>
              <w:jc w:val="left"/>
              <w:rPr>
                <w:rFonts w:asciiTheme="minorHAnsi" w:hAnsiTheme="minorHAnsi"/>
                <w:b/>
                <w:sz w:val="20"/>
                <w:szCs w:val="20"/>
              </w:rPr>
            </w:pPr>
            <w:r w:rsidRPr="000676E9">
              <w:rPr>
                <w:rFonts w:asciiTheme="minorHAnsi" w:hAnsiTheme="minorHAnsi"/>
                <w:b/>
                <w:sz w:val="20"/>
                <w:szCs w:val="20"/>
              </w:rPr>
              <w:t>asistenti</w:t>
            </w:r>
          </w:p>
        </w:tc>
        <w:tc>
          <w:tcPr>
            <w:tcW w:w="1018" w:type="dxa"/>
            <w:shd w:val="clear" w:color="auto" w:fill="FDE9D9" w:themeFill="accent6" w:themeFillTint="33"/>
            <w:vAlign w:val="center"/>
            <w:hideMark/>
          </w:tcPr>
          <w:p w:rsidR="00CC1450" w:rsidRPr="000676E9" w:rsidRDefault="00CC1450" w:rsidP="000676E9">
            <w:pPr>
              <w:jc w:val="left"/>
              <w:rPr>
                <w:rFonts w:asciiTheme="minorHAnsi" w:hAnsiTheme="minorHAnsi"/>
                <w:b/>
                <w:sz w:val="20"/>
                <w:szCs w:val="20"/>
              </w:rPr>
            </w:pPr>
            <w:r w:rsidRPr="000676E9">
              <w:rPr>
                <w:rFonts w:asciiTheme="minorHAnsi" w:hAnsiTheme="minorHAnsi"/>
                <w:b/>
                <w:sz w:val="20"/>
                <w:szCs w:val="20"/>
              </w:rPr>
              <w:t>spolu</w:t>
            </w:r>
          </w:p>
        </w:tc>
        <w:tc>
          <w:tcPr>
            <w:tcW w:w="1290" w:type="dxa"/>
            <w:vMerge/>
            <w:vAlign w:val="center"/>
            <w:hideMark/>
          </w:tcPr>
          <w:p w:rsidR="00CC1450" w:rsidRPr="000676E9" w:rsidRDefault="00CC1450" w:rsidP="000676E9">
            <w:pPr>
              <w:jc w:val="left"/>
              <w:rPr>
                <w:rFonts w:asciiTheme="minorHAnsi" w:hAnsiTheme="minorHAnsi"/>
                <w:sz w:val="20"/>
                <w:szCs w:val="20"/>
              </w:rPr>
            </w:pPr>
          </w:p>
        </w:tc>
        <w:tc>
          <w:tcPr>
            <w:tcW w:w="1803" w:type="dxa"/>
            <w:vMerge/>
            <w:shd w:val="clear" w:color="auto" w:fill="auto"/>
            <w:vAlign w:val="center"/>
            <w:hideMark/>
          </w:tcPr>
          <w:p w:rsidR="00CC1450" w:rsidRPr="000676E9" w:rsidRDefault="00CC1450" w:rsidP="000676E9">
            <w:pPr>
              <w:jc w:val="left"/>
              <w:rPr>
                <w:rFonts w:asciiTheme="minorHAnsi" w:hAnsiTheme="minorHAnsi"/>
                <w:sz w:val="20"/>
                <w:szCs w:val="20"/>
              </w:rPr>
            </w:pPr>
          </w:p>
        </w:tc>
      </w:tr>
      <w:tr w:rsidR="00CC1450" w:rsidRPr="000676E9" w:rsidTr="00520814">
        <w:trPr>
          <w:trHeight w:val="314"/>
        </w:trPr>
        <w:tc>
          <w:tcPr>
            <w:tcW w:w="1422" w:type="dxa"/>
            <w:shd w:val="clear" w:color="auto" w:fill="FDE9D9" w:themeFill="accent6" w:themeFillTint="33"/>
            <w:vAlign w:val="center"/>
            <w:hideMark/>
          </w:tcPr>
          <w:p w:rsidR="00CC1450" w:rsidRPr="000676E9" w:rsidRDefault="00CC1450" w:rsidP="000676E9">
            <w:pPr>
              <w:jc w:val="left"/>
              <w:rPr>
                <w:rFonts w:asciiTheme="minorHAnsi" w:hAnsiTheme="minorHAnsi" w:cs="Arial"/>
                <w:b/>
                <w:bCs/>
                <w:sz w:val="20"/>
                <w:szCs w:val="20"/>
              </w:rPr>
            </w:pPr>
            <w:r w:rsidRPr="000676E9">
              <w:rPr>
                <w:rFonts w:asciiTheme="minorHAnsi" w:hAnsiTheme="minorHAnsi" w:cs="Arial"/>
                <w:b/>
                <w:bCs/>
                <w:sz w:val="20"/>
                <w:szCs w:val="20"/>
              </w:rPr>
              <w:t>SvF</w:t>
            </w:r>
          </w:p>
        </w:tc>
        <w:tc>
          <w:tcPr>
            <w:tcW w:w="1428"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38,84</w:t>
            </w:r>
          </w:p>
        </w:tc>
        <w:tc>
          <w:tcPr>
            <w:tcW w:w="1276"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69,53</w:t>
            </w:r>
          </w:p>
        </w:tc>
        <w:tc>
          <w:tcPr>
            <w:tcW w:w="1134"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122,17</w:t>
            </w:r>
          </w:p>
        </w:tc>
        <w:tc>
          <w:tcPr>
            <w:tcW w:w="1018" w:type="dxa"/>
            <w:shd w:val="clear" w:color="auto" w:fill="DAEEF3" w:themeFill="accent5" w:themeFillTint="33"/>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230,54</w:t>
            </w:r>
          </w:p>
        </w:tc>
        <w:tc>
          <w:tcPr>
            <w:tcW w:w="1290"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35,8</w:t>
            </w:r>
          </w:p>
        </w:tc>
        <w:tc>
          <w:tcPr>
            <w:tcW w:w="1803" w:type="dxa"/>
            <w:shd w:val="clear" w:color="auto" w:fill="DAEEF3" w:themeFill="accent5" w:themeFillTint="33"/>
            <w:vAlign w:val="bottom"/>
          </w:tcPr>
          <w:p w:rsidR="00CC1450" w:rsidRPr="000676E9" w:rsidRDefault="00CC1450" w:rsidP="000676E9">
            <w:pPr>
              <w:jc w:val="left"/>
              <w:rPr>
                <w:rFonts w:asciiTheme="minorHAnsi" w:hAnsiTheme="minorHAnsi"/>
                <w:color w:val="000000"/>
                <w:sz w:val="20"/>
                <w:szCs w:val="20"/>
              </w:rPr>
            </w:pPr>
            <w:r w:rsidRPr="000676E9">
              <w:rPr>
                <w:rFonts w:asciiTheme="minorHAnsi" w:hAnsiTheme="minorHAnsi"/>
                <w:color w:val="000000"/>
                <w:sz w:val="20"/>
                <w:szCs w:val="20"/>
              </w:rPr>
              <w:t xml:space="preserve">266,34 </w:t>
            </w:r>
            <w:r w:rsidRPr="000676E9">
              <w:rPr>
                <w:rFonts w:asciiTheme="minorHAnsi" w:hAnsiTheme="minorHAnsi"/>
                <w:color w:val="FF0000"/>
                <w:sz w:val="20"/>
                <w:szCs w:val="20"/>
              </w:rPr>
              <w:t>(-10,54)</w:t>
            </w:r>
          </w:p>
        </w:tc>
      </w:tr>
      <w:tr w:rsidR="00CC1450" w:rsidRPr="000676E9" w:rsidTr="00520814">
        <w:trPr>
          <w:trHeight w:val="314"/>
        </w:trPr>
        <w:tc>
          <w:tcPr>
            <w:tcW w:w="1422" w:type="dxa"/>
            <w:shd w:val="clear" w:color="auto" w:fill="FDE9D9" w:themeFill="accent6" w:themeFillTint="33"/>
            <w:vAlign w:val="center"/>
            <w:hideMark/>
          </w:tcPr>
          <w:p w:rsidR="00CC1450" w:rsidRPr="000676E9" w:rsidRDefault="00CC1450" w:rsidP="000676E9">
            <w:pPr>
              <w:jc w:val="left"/>
              <w:rPr>
                <w:rFonts w:asciiTheme="minorHAnsi" w:hAnsiTheme="minorHAnsi" w:cs="Arial"/>
                <w:b/>
                <w:bCs/>
                <w:sz w:val="20"/>
                <w:szCs w:val="20"/>
              </w:rPr>
            </w:pPr>
            <w:r w:rsidRPr="000676E9">
              <w:rPr>
                <w:rFonts w:asciiTheme="minorHAnsi" w:hAnsiTheme="minorHAnsi" w:cs="Arial"/>
                <w:b/>
                <w:bCs/>
                <w:sz w:val="20"/>
                <w:szCs w:val="20"/>
              </w:rPr>
              <w:t>SjF</w:t>
            </w:r>
          </w:p>
        </w:tc>
        <w:tc>
          <w:tcPr>
            <w:tcW w:w="1428"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20,63</w:t>
            </w:r>
          </w:p>
        </w:tc>
        <w:tc>
          <w:tcPr>
            <w:tcW w:w="1276"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31,58</w:t>
            </w:r>
          </w:p>
        </w:tc>
        <w:tc>
          <w:tcPr>
            <w:tcW w:w="1134"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58,22</w:t>
            </w:r>
          </w:p>
        </w:tc>
        <w:tc>
          <w:tcPr>
            <w:tcW w:w="1018" w:type="dxa"/>
            <w:shd w:val="clear" w:color="auto" w:fill="DAEEF3" w:themeFill="accent5" w:themeFillTint="33"/>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110,43</w:t>
            </w:r>
          </w:p>
        </w:tc>
        <w:tc>
          <w:tcPr>
            <w:tcW w:w="1290"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35,59</w:t>
            </w:r>
          </w:p>
        </w:tc>
        <w:tc>
          <w:tcPr>
            <w:tcW w:w="1803" w:type="dxa"/>
            <w:shd w:val="clear" w:color="auto" w:fill="DAEEF3" w:themeFill="accent5" w:themeFillTint="33"/>
            <w:vAlign w:val="bottom"/>
          </w:tcPr>
          <w:p w:rsidR="00CC1450" w:rsidRPr="000676E9" w:rsidRDefault="00CC1450" w:rsidP="000676E9">
            <w:pPr>
              <w:jc w:val="left"/>
              <w:rPr>
                <w:rFonts w:asciiTheme="minorHAnsi" w:hAnsiTheme="minorHAnsi"/>
                <w:color w:val="000000"/>
                <w:sz w:val="20"/>
                <w:szCs w:val="20"/>
              </w:rPr>
            </w:pPr>
            <w:r w:rsidRPr="000676E9">
              <w:rPr>
                <w:rFonts w:asciiTheme="minorHAnsi" w:hAnsiTheme="minorHAnsi"/>
                <w:color w:val="000000"/>
                <w:sz w:val="20"/>
                <w:szCs w:val="20"/>
              </w:rPr>
              <w:t xml:space="preserve">146,02 </w:t>
            </w:r>
            <w:r w:rsidRPr="000676E9">
              <w:rPr>
                <w:rFonts w:asciiTheme="minorHAnsi" w:hAnsiTheme="minorHAnsi"/>
                <w:color w:val="FF0000"/>
                <w:sz w:val="20"/>
                <w:szCs w:val="20"/>
              </w:rPr>
              <w:t>(-9,61)</w:t>
            </w:r>
          </w:p>
        </w:tc>
      </w:tr>
      <w:tr w:rsidR="00CC1450" w:rsidRPr="000676E9" w:rsidTr="00520814">
        <w:trPr>
          <w:trHeight w:val="314"/>
        </w:trPr>
        <w:tc>
          <w:tcPr>
            <w:tcW w:w="1422" w:type="dxa"/>
            <w:shd w:val="clear" w:color="auto" w:fill="FDE9D9" w:themeFill="accent6" w:themeFillTint="33"/>
            <w:vAlign w:val="center"/>
            <w:hideMark/>
          </w:tcPr>
          <w:p w:rsidR="00CC1450" w:rsidRPr="000676E9" w:rsidRDefault="00CC1450" w:rsidP="000676E9">
            <w:pPr>
              <w:jc w:val="left"/>
              <w:rPr>
                <w:rFonts w:asciiTheme="minorHAnsi" w:hAnsiTheme="minorHAnsi" w:cs="Arial"/>
                <w:b/>
                <w:bCs/>
                <w:sz w:val="20"/>
                <w:szCs w:val="20"/>
              </w:rPr>
            </w:pPr>
            <w:r w:rsidRPr="000676E9">
              <w:rPr>
                <w:rFonts w:asciiTheme="minorHAnsi" w:hAnsiTheme="minorHAnsi" w:cs="Arial"/>
                <w:b/>
                <w:bCs/>
                <w:sz w:val="20"/>
                <w:szCs w:val="20"/>
              </w:rPr>
              <w:t>FEI</w:t>
            </w:r>
          </w:p>
        </w:tc>
        <w:tc>
          <w:tcPr>
            <w:tcW w:w="1428"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35,58</w:t>
            </w:r>
          </w:p>
        </w:tc>
        <w:tc>
          <w:tcPr>
            <w:tcW w:w="1276"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53,98</w:t>
            </w:r>
          </w:p>
        </w:tc>
        <w:tc>
          <w:tcPr>
            <w:tcW w:w="1134"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91,51</w:t>
            </w:r>
          </w:p>
        </w:tc>
        <w:tc>
          <w:tcPr>
            <w:tcW w:w="1018" w:type="dxa"/>
            <w:shd w:val="clear" w:color="auto" w:fill="DAEEF3" w:themeFill="accent5" w:themeFillTint="33"/>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181,07</w:t>
            </w:r>
          </w:p>
        </w:tc>
        <w:tc>
          <w:tcPr>
            <w:tcW w:w="1290"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85,6</w:t>
            </w:r>
          </w:p>
        </w:tc>
        <w:tc>
          <w:tcPr>
            <w:tcW w:w="1803" w:type="dxa"/>
            <w:shd w:val="clear" w:color="auto" w:fill="DAEEF3" w:themeFill="accent5" w:themeFillTint="33"/>
            <w:vAlign w:val="bottom"/>
          </w:tcPr>
          <w:p w:rsidR="00CC1450" w:rsidRPr="000676E9" w:rsidRDefault="00CC1450" w:rsidP="000676E9">
            <w:pPr>
              <w:jc w:val="left"/>
              <w:rPr>
                <w:rFonts w:asciiTheme="minorHAnsi" w:hAnsiTheme="minorHAnsi"/>
                <w:color w:val="000000"/>
                <w:sz w:val="20"/>
                <w:szCs w:val="20"/>
              </w:rPr>
            </w:pPr>
            <w:r w:rsidRPr="000676E9">
              <w:rPr>
                <w:rFonts w:asciiTheme="minorHAnsi" w:hAnsiTheme="minorHAnsi"/>
                <w:color w:val="000000"/>
                <w:sz w:val="20"/>
                <w:szCs w:val="20"/>
              </w:rPr>
              <w:t xml:space="preserve">266,67 </w:t>
            </w:r>
            <w:r w:rsidRPr="000676E9">
              <w:rPr>
                <w:rFonts w:asciiTheme="minorHAnsi" w:hAnsiTheme="minorHAnsi"/>
                <w:color w:val="FF0000"/>
                <w:sz w:val="20"/>
                <w:szCs w:val="20"/>
              </w:rPr>
              <w:t>(-14,55)</w:t>
            </w:r>
          </w:p>
        </w:tc>
      </w:tr>
      <w:tr w:rsidR="00CC1450" w:rsidRPr="000676E9" w:rsidTr="00520814">
        <w:trPr>
          <w:trHeight w:val="314"/>
        </w:trPr>
        <w:tc>
          <w:tcPr>
            <w:tcW w:w="1422" w:type="dxa"/>
            <w:shd w:val="clear" w:color="auto" w:fill="FDE9D9" w:themeFill="accent6" w:themeFillTint="33"/>
            <w:vAlign w:val="center"/>
            <w:hideMark/>
          </w:tcPr>
          <w:p w:rsidR="00CC1450" w:rsidRPr="000676E9" w:rsidRDefault="00CC1450" w:rsidP="000676E9">
            <w:pPr>
              <w:jc w:val="left"/>
              <w:rPr>
                <w:rFonts w:asciiTheme="minorHAnsi" w:hAnsiTheme="minorHAnsi" w:cs="Arial"/>
                <w:b/>
                <w:bCs/>
                <w:sz w:val="20"/>
                <w:szCs w:val="20"/>
              </w:rPr>
            </w:pPr>
            <w:r w:rsidRPr="000676E9">
              <w:rPr>
                <w:rFonts w:asciiTheme="minorHAnsi" w:hAnsiTheme="minorHAnsi" w:cs="Arial"/>
                <w:b/>
                <w:bCs/>
                <w:sz w:val="20"/>
                <w:szCs w:val="20"/>
              </w:rPr>
              <w:t>FCHPT</w:t>
            </w:r>
          </w:p>
        </w:tc>
        <w:tc>
          <w:tcPr>
            <w:tcW w:w="1428"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38,93</w:t>
            </w:r>
          </w:p>
        </w:tc>
        <w:tc>
          <w:tcPr>
            <w:tcW w:w="1276"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71,99</w:t>
            </w:r>
          </w:p>
        </w:tc>
        <w:tc>
          <w:tcPr>
            <w:tcW w:w="1134"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69,48</w:t>
            </w:r>
          </w:p>
        </w:tc>
        <w:tc>
          <w:tcPr>
            <w:tcW w:w="1018" w:type="dxa"/>
            <w:shd w:val="clear" w:color="auto" w:fill="DAEEF3" w:themeFill="accent5" w:themeFillTint="33"/>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180,4</w:t>
            </w:r>
          </w:p>
        </w:tc>
        <w:tc>
          <w:tcPr>
            <w:tcW w:w="1290"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75,88</w:t>
            </w:r>
          </w:p>
        </w:tc>
        <w:tc>
          <w:tcPr>
            <w:tcW w:w="1803" w:type="dxa"/>
            <w:shd w:val="clear" w:color="auto" w:fill="DAEEF3" w:themeFill="accent5" w:themeFillTint="33"/>
            <w:vAlign w:val="bottom"/>
          </w:tcPr>
          <w:p w:rsidR="00CC1450" w:rsidRPr="000676E9" w:rsidRDefault="00CC1450" w:rsidP="000676E9">
            <w:pPr>
              <w:jc w:val="left"/>
              <w:rPr>
                <w:rFonts w:asciiTheme="minorHAnsi" w:hAnsiTheme="minorHAnsi"/>
                <w:color w:val="000000"/>
                <w:sz w:val="20"/>
                <w:szCs w:val="20"/>
              </w:rPr>
            </w:pPr>
            <w:r w:rsidRPr="000676E9">
              <w:rPr>
                <w:rFonts w:asciiTheme="minorHAnsi" w:hAnsiTheme="minorHAnsi"/>
                <w:color w:val="000000"/>
                <w:sz w:val="20"/>
                <w:szCs w:val="20"/>
              </w:rPr>
              <w:t xml:space="preserve">256,28 </w:t>
            </w:r>
            <w:r w:rsidRPr="000676E9">
              <w:rPr>
                <w:rFonts w:asciiTheme="minorHAnsi" w:hAnsiTheme="minorHAnsi"/>
                <w:color w:val="00B050"/>
                <w:sz w:val="20"/>
                <w:szCs w:val="20"/>
              </w:rPr>
              <w:t>(+0,54)</w:t>
            </w:r>
          </w:p>
        </w:tc>
      </w:tr>
      <w:tr w:rsidR="00CC1450" w:rsidRPr="000676E9" w:rsidTr="00520814">
        <w:trPr>
          <w:trHeight w:val="314"/>
        </w:trPr>
        <w:tc>
          <w:tcPr>
            <w:tcW w:w="1422" w:type="dxa"/>
            <w:shd w:val="clear" w:color="auto" w:fill="FDE9D9" w:themeFill="accent6" w:themeFillTint="33"/>
            <w:vAlign w:val="center"/>
            <w:hideMark/>
          </w:tcPr>
          <w:p w:rsidR="00CC1450" w:rsidRPr="000676E9" w:rsidRDefault="00CC1450" w:rsidP="000676E9">
            <w:pPr>
              <w:jc w:val="left"/>
              <w:rPr>
                <w:rFonts w:asciiTheme="minorHAnsi" w:hAnsiTheme="minorHAnsi" w:cs="Arial"/>
                <w:b/>
                <w:bCs/>
                <w:sz w:val="20"/>
                <w:szCs w:val="20"/>
              </w:rPr>
            </w:pPr>
            <w:r w:rsidRPr="000676E9">
              <w:rPr>
                <w:rFonts w:asciiTheme="minorHAnsi" w:hAnsiTheme="minorHAnsi" w:cs="Arial"/>
                <w:b/>
                <w:bCs/>
                <w:sz w:val="20"/>
                <w:szCs w:val="20"/>
              </w:rPr>
              <w:t>FA</w:t>
            </w:r>
          </w:p>
        </w:tc>
        <w:tc>
          <w:tcPr>
            <w:tcW w:w="1428"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12,29</w:t>
            </w:r>
          </w:p>
        </w:tc>
        <w:tc>
          <w:tcPr>
            <w:tcW w:w="1276"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34,46</w:t>
            </w:r>
          </w:p>
        </w:tc>
        <w:tc>
          <w:tcPr>
            <w:tcW w:w="1134"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58,33</w:t>
            </w:r>
          </w:p>
        </w:tc>
        <w:tc>
          <w:tcPr>
            <w:tcW w:w="1018" w:type="dxa"/>
            <w:shd w:val="clear" w:color="auto" w:fill="DAEEF3" w:themeFill="accent5" w:themeFillTint="33"/>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105,08</w:t>
            </w:r>
          </w:p>
        </w:tc>
        <w:tc>
          <w:tcPr>
            <w:tcW w:w="1290"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16,55</w:t>
            </w:r>
          </w:p>
        </w:tc>
        <w:tc>
          <w:tcPr>
            <w:tcW w:w="1803" w:type="dxa"/>
            <w:shd w:val="clear" w:color="auto" w:fill="DAEEF3" w:themeFill="accent5" w:themeFillTint="33"/>
            <w:vAlign w:val="bottom"/>
          </w:tcPr>
          <w:p w:rsidR="00CC1450" w:rsidRPr="000676E9" w:rsidRDefault="00CC1450" w:rsidP="000676E9">
            <w:pPr>
              <w:jc w:val="left"/>
              <w:rPr>
                <w:rFonts w:asciiTheme="minorHAnsi" w:hAnsiTheme="minorHAnsi"/>
                <w:color w:val="000000"/>
                <w:sz w:val="20"/>
                <w:szCs w:val="20"/>
              </w:rPr>
            </w:pPr>
            <w:r w:rsidRPr="000676E9">
              <w:rPr>
                <w:rFonts w:asciiTheme="minorHAnsi" w:hAnsiTheme="minorHAnsi"/>
                <w:color w:val="000000"/>
                <w:sz w:val="20"/>
                <w:szCs w:val="20"/>
              </w:rPr>
              <w:t xml:space="preserve">121,63 </w:t>
            </w:r>
            <w:r w:rsidRPr="000676E9">
              <w:rPr>
                <w:rFonts w:asciiTheme="minorHAnsi" w:hAnsiTheme="minorHAnsi"/>
                <w:color w:val="FF0000"/>
                <w:sz w:val="20"/>
                <w:szCs w:val="20"/>
              </w:rPr>
              <w:t>(-7,72)</w:t>
            </w:r>
          </w:p>
        </w:tc>
      </w:tr>
      <w:tr w:rsidR="00CC1450" w:rsidRPr="000676E9" w:rsidTr="00520814">
        <w:trPr>
          <w:trHeight w:val="314"/>
        </w:trPr>
        <w:tc>
          <w:tcPr>
            <w:tcW w:w="1422" w:type="dxa"/>
            <w:shd w:val="clear" w:color="auto" w:fill="FDE9D9" w:themeFill="accent6" w:themeFillTint="33"/>
            <w:vAlign w:val="center"/>
            <w:hideMark/>
          </w:tcPr>
          <w:p w:rsidR="00CC1450" w:rsidRPr="000676E9" w:rsidRDefault="00CC1450" w:rsidP="000676E9">
            <w:pPr>
              <w:jc w:val="left"/>
              <w:rPr>
                <w:rFonts w:asciiTheme="minorHAnsi" w:hAnsiTheme="minorHAnsi" w:cs="Arial"/>
                <w:b/>
                <w:bCs/>
                <w:sz w:val="20"/>
                <w:szCs w:val="20"/>
              </w:rPr>
            </w:pPr>
            <w:r w:rsidRPr="000676E9">
              <w:rPr>
                <w:rFonts w:asciiTheme="minorHAnsi" w:hAnsiTheme="minorHAnsi" w:cs="Arial"/>
                <w:b/>
                <w:bCs/>
                <w:sz w:val="20"/>
                <w:szCs w:val="20"/>
              </w:rPr>
              <w:t>MTF</w:t>
            </w:r>
          </w:p>
        </w:tc>
        <w:tc>
          <w:tcPr>
            <w:tcW w:w="1428"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22,71</w:t>
            </w:r>
          </w:p>
        </w:tc>
        <w:tc>
          <w:tcPr>
            <w:tcW w:w="1276"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43,64</w:t>
            </w:r>
          </w:p>
        </w:tc>
        <w:tc>
          <w:tcPr>
            <w:tcW w:w="1134"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87,13</w:t>
            </w:r>
          </w:p>
        </w:tc>
        <w:tc>
          <w:tcPr>
            <w:tcW w:w="1018" w:type="dxa"/>
            <w:shd w:val="clear" w:color="auto" w:fill="DAEEF3" w:themeFill="accent5" w:themeFillTint="33"/>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153,48</w:t>
            </w:r>
          </w:p>
        </w:tc>
        <w:tc>
          <w:tcPr>
            <w:tcW w:w="1290"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50,1</w:t>
            </w:r>
          </w:p>
        </w:tc>
        <w:tc>
          <w:tcPr>
            <w:tcW w:w="1803" w:type="dxa"/>
            <w:shd w:val="clear" w:color="auto" w:fill="DAEEF3" w:themeFill="accent5" w:themeFillTint="33"/>
            <w:vAlign w:val="bottom"/>
          </w:tcPr>
          <w:p w:rsidR="00CC1450" w:rsidRPr="000676E9" w:rsidRDefault="00CC1450" w:rsidP="000676E9">
            <w:pPr>
              <w:jc w:val="left"/>
              <w:rPr>
                <w:rFonts w:asciiTheme="minorHAnsi" w:hAnsiTheme="minorHAnsi"/>
                <w:color w:val="000000"/>
                <w:sz w:val="20"/>
                <w:szCs w:val="20"/>
              </w:rPr>
            </w:pPr>
            <w:r w:rsidRPr="000676E9">
              <w:rPr>
                <w:rFonts w:asciiTheme="minorHAnsi" w:hAnsiTheme="minorHAnsi"/>
                <w:color w:val="000000"/>
                <w:sz w:val="20"/>
                <w:szCs w:val="20"/>
              </w:rPr>
              <w:t xml:space="preserve">203,58 </w:t>
            </w:r>
            <w:r w:rsidRPr="000676E9">
              <w:rPr>
                <w:rFonts w:asciiTheme="minorHAnsi" w:hAnsiTheme="minorHAnsi"/>
                <w:color w:val="FF0000"/>
                <w:sz w:val="20"/>
                <w:szCs w:val="20"/>
              </w:rPr>
              <w:t>(-11,11)</w:t>
            </w:r>
          </w:p>
        </w:tc>
      </w:tr>
      <w:tr w:rsidR="00CC1450" w:rsidRPr="000676E9" w:rsidTr="00520814">
        <w:trPr>
          <w:trHeight w:val="314"/>
        </w:trPr>
        <w:tc>
          <w:tcPr>
            <w:tcW w:w="1422" w:type="dxa"/>
            <w:shd w:val="clear" w:color="auto" w:fill="FDE9D9" w:themeFill="accent6" w:themeFillTint="33"/>
            <w:vAlign w:val="center"/>
            <w:hideMark/>
          </w:tcPr>
          <w:p w:rsidR="00CC1450" w:rsidRPr="000676E9" w:rsidRDefault="00CC1450" w:rsidP="000676E9">
            <w:pPr>
              <w:jc w:val="left"/>
              <w:rPr>
                <w:rFonts w:asciiTheme="minorHAnsi" w:hAnsiTheme="minorHAnsi" w:cs="Arial"/>
                <w:b/>
                <w:bCs/>
                <w:sz w:val="20"/>
                <w:szCs w:val="20"/>
              </w:rPr>
            </w:pPr>
            <w:r w:rsidRPr="000676E9">
              <w:rPr>
                <w:rFonts w:asciiTheme="minorHAnsi" w:hAnsiTheme="minorHAnsi" w:cs="Arial"/>
                <w:b/>
                <w:bCs/>
                <w:sz w:val="20"/>
                <w:szCs w:val="20"/>
              </w:rPr>
              <w:t>FIIT</w:t>
            </w:r>
          </w:p>
        </w:tc>
        <w:tc>
          <w:tcPr>
            <w:tcW w:w="1428"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2,45</w:t>
            </w:r>
          </w:p>
        </w:tc>
        <w:tc>
          <w:tcPr>
            <w:tcW w:w="1276"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8,78</w:t>
            </w:r>
          </w:p>
        </w:tc>
        <w:tc>
          <w:tcPr>
            <w:tcW w:w="1134"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25,13</w:t>
            </w:r>
          </w:p>
        </w:tc>
        <w:tc>
          <w:tcPr>
            <w:tcW w:w="1018" w:type="dxa"/>
            <w:shd w:val="clear" w:color="auto" w:fill="DAEEF3" w:themeFill="accent5" w:themeFillTint="33"/>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36,36</w:t>
            </w:r>
          </w:p>
        </w:tc>
        <w:tc>
          <w:tcPr>
            <w:tcW w:w="1290"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7,57</w:t>
            </w:r>
          </w:p>
        </w:tc>
        <w:tc>
          <w:tcPr>
            <w:tcW w:w="1803" w:type="dxa"/>
            <w:shd w:val="clear" w:color="auto" w:fill="DAEEF3" w:themeFill="accent5" w:themeFillTint="33"/>
            <w:vAlign w:val="bottom"/>
          </w:tcPr>
          <w:p w:rsidR="00CC1450" w:rsidRPr="000676E9" w:rsidRDefault="00CC1450" w:rsidP="000676E9">
            <w:pPr>
              <w:jc w:val="left"/>
              <w:rPr>
                <w:rFonts w:asciiTheme="minorHAnsi" w:hAnsiTheme="minorHAnsi"/>
                <w:color w:val="000000"/>
                <w:sz w:val="20"/>
                <w:szCs w:val="20"/>
              </w:rPr>
            </w:pPr>
            <w:r w:rsidRPr="000676E9">
              <w:rPr>
                <w:rFonts w:asciiTheme="minorHAnsi" w:hAnsiTheme="minorHAnsi"/>
                <w:color w:val="000000"/>
                <w:sz w:val="20"/>
                <w:szCs w:val="20"/>
              </w:rPr>
              <w:t xml:space="preserve">43,93 </w:t>
            </w:r>
            <w:r w:rsidRPr="000676E9">
              <w:rPr>
                <w:rFonts w:asciiTheme="minorHAnsi" w:hAnsiTheme="minorHAnsi"/>
                <w:color w:val="FF0000"/>
                <w:sz w:val="20"/>
                <w:szCs w:val="20"/>
              </w:rPr>
              <w:t>(-2,06)</w:t>
            </w:r>
          </w:p>
        </w:tc>
      </w:tr>
      <w:tr w:rsidR="00CC1450" w:rsidRPr="000676E9" w:rsidTr="00520814">
        <w:trPr>
          <w:trHeight w:val="314"/>
        </w:trPr>
        <w:tc>
          <w:tcPr>
            <w:tcW w:w="1422" w:type="dxa"/>
            <w:shd w:val="clear" w:color="auto" w:fill="FDE9D9" w:themeFill="accent6" w:themeFillTint="33"/>
            <w:vAlign w:val="center"/>
            <w:hideMark/>
          </w:tcPr>
          <w:p w:rsidR="00CC1450" w:rsidRPr="000676E9" w:rsidRDefault="00CC1450" w:rsidP="000676E9">
            <w:pPr>
              <w:jc w:val="left"/>
              <w:rPr>
                <w:rFonts w:asciiTheme="minorHAnsi" w:hAnsiTheme="minorHAnsi" w:cs="Arial"/>
                <w:b/>
                <w:bCs/>
                <w:sz w:val="20"/>
                <w:szCs w:val="20"/>
              </w:rPr>
            </w:pPr>
            <w:r w:rsidRPr="000676E9">
              <w:rPr>
                <w:rFonts w:asciiTheme="minorHAnsi" w:hAnsiTheme="minorHAnsi" w:cs="Arial"/>
                <w:b/>
                <w:bCs/>
                <w:sz w:val="20"/>
                <w:szCs w:val="20"/>
              </w:rPr>
              <w:t>R STU</w:t>
            </w:r>
          </w:p>
        </w:tc>
        <w:tc>
          <w:tcPr>
            <w:tcW w:w="1428" w:type="dxa"/>
            <w:shd w:val="clear" w:color="auto" w:fill="DAEEF3" w:themeFill="accent5" w:themeFillTint="33"/>
            <w:vAlign w:val="bottom"/>
          </w:tcPr>
          <w:p w:rsidR="00CC1450" w:rsidRPr="000676E9" w:rsidRDefault="00CC1450" w:rsidP="000676E9">
            <w:pPr>
              <w:jc w:val="left"/>
              <w:rPr>
                <w:rFonts w:asciiTheme="minorHAnsi" w:eastAsia="Times New Roman" w:hAnsiTheme="minorHAnsi"/>
                <w:color w:val="000000"/>
                <w:sz w:val="20"/>
                <w:szCs w:val="20"/>
                <w:lang w:eastAsia="sk-SK"/>
              </w:rPr>
            </w:pPr>
          </w:p>
        </w:tc>
        <w:tc>
          <w:tcPr>
            <w:tcW w:w="1276"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p>
        </w:tc>
        <w:tc>
          <w:tcPr>
            <w:tcW w:w="1134"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0</w:t>
            </w:r>
          </w:p>
        </w:tc>
        <w:tc>
          <w:tcPr>
            <w:tcW w:w="1018" w:type="dxa"/>
            <w:shd w:val="clear" w:color="auto" w:fill="DAEEF3" w:themeFill="accent5" w:themeFillTint="33"/>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0</w:t>
            </w:r>
          </w:p>
        </w:tc>
        <w:tc>
          <w:tcPr>
            <w:tcW w:w="1290"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4,31</w:t>
            </w:r>
          </w:p>
        </w:tc>
        <w:tc>
          <w:tcPr>
            <w:tcW w:w="1803" w:type="dxa"/>
            <w:shd w:val="clear" w:color="auto" w:fill="DAEEF3" w:themeFill="accent5" w:themeFillTint="33"/>
            <w:vAlign w:val="bottom"/>
          </w:tcPr>
          <w:p w:rsidR="00CC1450" w:rsidRPr="000676E9" w:rsidRDefault="00CC1450" w:rsidP="000676E9">
            <w:pPr>
              <w:jc w:val="left"/>
              <w:rPr>
                <w:rFonts w:asciiTheme="minorHAnsi" w:hAnsiTheme="minorHAnsi"/>
                <w:color w:val="000000"/>
                <w:sz w:val="20"/>
                <w:szCs w:val="20"/>
              </w:rPr>
            </w:pPr>
            <w:r w:rsidRPr="000676E9">
              <w:rPr>
                <w:rFonts w:asciiTheme="minorHAnsi" w:hAnsiTheme="minorHAnsi"/>
                <w:color w:val="000000"/>
                <w:sz w:val="20"/>
                <w:szCs w:val="20"/>
              </w:rPr>
              <w:t xml:space="preserve">4,31 </w:t>
            </w:r>
            <w:r w:rsidRPr="000676E9">
              <w:rPr>
                <w:rFonts w:asciiTheme="minorHAnsi" w:hAnsiTheme="minorHAnsi"/>
                <w:color w:val="FF0000"/>
                <w:sz w:val="20"/>
                <w:szCs w:val="20"/>
              </w:rPr>
              <w:t>(-1,14)</w:t>
            </w:r>
          </w:p>
        </w:tc>
      </w:tr>
      <w:tr w:rsidR="00CC1450" w:rsidRPr="000676E9" w:rsidTr="00520814">
        <w:trPr>
          <w:trHeight w:val="314"/>
        </w:trPr>
        <w:tc>
          <w:tcPr>
            <w:tcW w:w="1422" w:type="dxa"/>
            <w:shd w:val="clear" w:color="auto" w:fill="FDE9D9" w:themeFill="accent6" w:themeFillTint="33"/>
            <w:vAlign w:val="center"/>
            <w:hideMark/>
          </w:tcPr>
          <w:p w:rsidR="00CC1450" w:rsidRPr="000676E9" w:rsidRDefault="00CC1450" w:rsidP="000676E9">
            <w:pPr>
              <w:jc w:val="left"/>
              <w:rPr>
                <w:rFonts w:asciiTheme="minorHAnsi" w:hAnsiTheme="minorHAnsi" w:cs="Arial"/>
                <w:b/>
                <w:bCs/>
                <w:sz w:val="20"/>
                <w:szCs w:val="20"/>
              </w:rPr>
            </w:pPr>
            <w:r w:rsidRPr="000676E9">
              <w:rPr>
                <w:rFonts w:asciiTheme="minorHAnsi" w:hAnsiTheme="minorHAnsi" w:cs="Arial"/>
                <w:b/>
                <w:bCs/>
                <w:sz w:val="20"/>
                <w:szCs w:val="20"/>
              </w:rPr>
              <w:t>ÚM</w:t>
            </w:r>
          </w:p>
        </w:tc>
        <w:tc>
          <w:tcPr>
            <w:tcW w:w="1428" w:type="dxa"/>
            <w:shd w:val="clear" w:color="auto" w:fill="DAEEF3" w:themeFill="accent5" w:themeFillTint="33"/>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3,84</w:t>
            </w:r>
          </w:p>
        </w:tc>
        <w:tc>
          <w:tcPr>
            <w:tcW w:w="1276"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11,8</w:t>
            </w:r>
          </w:p>
        </w:tc>
        <w:tc>
          <w:tcPr>
            <w:tcW w:w="1134"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19,81</w:t>
            </w:r>
          </w:p>
        </w:tc>
        <w:tc>
          <w:tcPr>
            <w:tcW w:w="1018" w:type="dxa"/>
            <w:shd w:val="clear" w:color="auto" w:fill="DAEEF3" w:themeFill="accent5" w:themeFillTint="33"/>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35,45</w:t>
            </w:r>
          </w:p>
        </w:tc>
        <w:tc>
          <w:tcPr>
            <w:tcW w:w="1290" w:type="dxa"/>
            <w:shd w:val="clear" w:color="auto" w:fill="DAEEF3" w:themeFill="accent5" w:themeFillTint="33"/>
            <w:noWrap/>
            <w:vAlign w:val="bottom"/>
          </w:tcPr>
          <w:p w:rsidR="00CC1450" w:rsidRPr="000676E9" w:rsidRDefault="00CC1450" w:rsidP="000676E9">
            <w:pPr>
              <w:jc w:val="left"/>
              <w:rPr>
                <w:rFonts w:asciiTheme="minorHAnsi" w:eastAsia="Times New Roman" w:hAnsiTheme="minorHAnsi"/>
                <w:color w:val="000000"/>
                <w:sz w:val="20"/>
                <w:szCs w:val="20"/>
                <w:lang w:eastAsia="sk-SK"/>
              </w:rPr>
            </w:pPr>
            <w:r w:rsidRPr="000676E9">
              <w:rPr>
                <w:rFonts w:asciiTheme="minorHAnsi" w:eastAsia="Times New Roman" w:hAnsiTheme="minorHAnsi"/>
                <w:color w:val="000000"/>
                <w:sz w:val="20"/>
                <w:szCs w:val="20"/>
                <w:lang w:eastAsia="sk-SK"/>
              </w:rPr>
              <w:t>4,76</w:t>
            </w:r>
          </w:p>
        </w:tc>
        <w:tc>
          <w:tcPr>
            <w:tcW w:w="1803" w:type="dxa"/>
            <w:shd w:val="clear" w:color="auto" w:fill="DAEEF3" w:themeFill="accent5" w:themeFillTint="33"/>
            <w:vAlign w:val="bottom"/>
          </w:tcPr>
          <w:p w:rsidR="00CC1450" w:rsidRPr="000676E9" w:rsidRDefault="00CC1450" w:rsidP="000676E9">
            <w:pPr>
              <w:jc w:val="left"/>
              <w:rPr>
                <w:rFonts w:asciiTheme="minorHAnsi" w:hAnsiTheme="minorHAnsi"/>
                <w:color w:val="000000"/>
                <w:sz w:val="20"/>
                <w:szCs w:val="20"/>
              </w:rPr>
            </w:pPr>
            <w:r w:rsidRPr="000676E9">
              <w:rPr>
                <w:rFonts w:asciiTheme="minorHAnsi" w:hAnsiTheme="minorHAnsi"/>
                <w:color w:val="000000"/>
                <w:sz w:val="20"/>
                <w:szCs w:val="20"/>
              </w:rPr>
              <w:t xml:space="preserve">40,21 </w:t>
            </w:r>
            <w:r w:rsidRPr="000676E9">
              <w:rPr>
                <w:rFonts w:asciiTheme="minorHAnsi" w:hAnsiTheme="minorHAnsi"/>
                <w:color w:val="00B050"/>
                <w:sz w:val="20"/>
                <w:szCs w:val="20"/>
              </w:rPr>
              <w:t>(1,85)</w:t>
            </w:r>
          </w:p>
        </w:tc>
      </w:tr>
      <w:tr w:rsidR="00CC1450" w:rsidRPr="000676E9" w:rsidTr="00520814">
        <w:trPr>
          <w:trHeight w:val="606"/>
        </w:trPr>
        <w:tc>
          <w:tcPr>
            <w:tcW w:w="1422" w:type="dxa"/>
            <w:shd w:val="clear" w:color="auto" w:fill="D99594" w:themeFill="accent2" w:themeFillTint="99"/>
            <w:vAlign w:val="center"/>
            <w:hideMark/>
          </w:tcPr>
          <w:p w:rsidR="00CC1450" w:rsidRPr="000676E9" w:rsidRDefault="00CC1450" w:rsidP="000676E9">
            <w:pPr>
              <w:jc w:val="left"/>
              <w:rPr>
                <w:rFonts w:asciiTheme="minorHAnsi" w:hAnsiTheme="minorHAnsi" w:cs="Arial"/>
                <w:b/>
                <w:bCs/>
                <w:sz w:val="20"/>
                <w:szCs w:val="20"/>
              </w:rPr>
            </w:pPr>
            <w:r w:rsidRPr="000676E9">
              <w:rPr>
                <w:rFonts w:asciiTheme="minorHAnsi" w:hAnsiTheme="minorHAnsi" w:cs="Arial"/>
                <w:b/>
                <w:bCs/>
                <w:sz w:val="20"/>
                <w:szCs w:val="20"/>
              </w:rPr>
              <w:t>STU</w:t>
            </w:r>
          </w:p>
        </w:tc>
        <w:tc>
          <w:tcPr>
            <w:tcW w:w="1428" w:type="dxa"/>
            <w:shd w:val="clear" w:color="auto" w:fill="D99594" w:themeFill="accent2" w:themeFillTint="99"/>
            <w:vAlign w:val="bottom"/>
          </w:tcPr>
          <w:p w:rsidR="00CC1450" w:rsidRPr="000676E9" w:rsidRDefault="00CC1450" w:rsidP="000676E9">
            <w:pPr>
              <w:jc w:val="left"/>
              <w:rPr>
                <w:rFonts w:asciiTheme="minorHAnsi" w:eastAsia="Times New Roman" w:hAnsiTheme="minorHAnsi"/>
                <w:b/>
                <w:color w:val="000000"/>
                <w:sz w:val="20"/>
                <w:szCs w:val="20"/>
                <w:lang w:eastAsia="sk-SK"/>
              </w:rPr>
            </w:pPr>
            <w:r w:rsidRPr="000676E9">
              <w:rPr>
                <w:rFonts w:asciiTheme="minorHAnsi" w:eastAsia="Times New Roman" w:hAnsiTheme="minorHAnsi"/>
                <w:b/>
                <w:color w:val="000000"/>
                <w:sz w:val="20"/>
                <w:szCs w:val="20"/>
                <w:lang w:eastAsia="sk-SK"/>
              </w:rPr>
              <w:t>175,27</w:t>
            </w:r>
          </w:p>
          <w:p w:rsidR="00CC1450" w:rsidRPr="000676E9" w:rsidRDefault="00CC1450" w:rsidP="000676E9">
            <w:pPr>
              <w:jc w:val="left"/>
              <w:rPr>
                <w:rFonts w:asciiTheme="minorHAnsi" w:eastAsia="Times New Roman" w:hAnsiTheme="minorHAnsi"/>
                <w:b/>
                <w:color w:val="000000"/>
                <w:sz w:val="20"/>
                <w:szCs w:val="20"/>
                <w:lang w:eastAsia="sk-SK"/>
              </w:rPr>
            </w:pPr>
          </w:p>
        </w:tc>
        <w:tc>
          <w:tcPr>
            <w:tcW w:w="1276" w:type="dxa"/>
            <w:shd w:val="clear" w:color="auto" w:fill="D99594" w:themeFill="accent2" w:themeFillTint="99"/>
            <w:vAlign w:val="bottom"/>
          </w:tcPr>
          <w:p w:rsidR="00CC1450" w:rsidRPr="000676E9" w:rsidRDefault="00CC1450" w:rsidP="000676E9">
            <w:pPr>
              <w:jc w:val="left"/>
              <w:rPr>
                <w:rFonts w:asciiTheme="minorHAnsi" w:eastAsia="Times New Roman" w:hAnsiTheme="minorHAnsi"/>
                <w:b/>
                <w:color w:val="000000"/>
                <w:sz w:val="20"/>
                <w:szCs w:val="20"/>
                <w:lang w:eastAsia="sk-SK"/>
              </w:rPr>
            </w:pPr>
            <w:r w:rsidRPr="000676E9">
              <w:rPr>
                <w:rFonts w:asciiTheme="minorHAnsi" w:eastAsia="Times New Roman" w:hAnsiTheme="minorHAnsi"/>
                <w:b/>
                <w:color w:val="000000"/>
                <w:sz w:val="20"/>
                <w:szCs w:val="20"/>
                <w:lang w:eastAsia="sk-SK"/>
              </w:rPr>
              <w:t>325,76</w:t>
            </w:r>
          </w:p>
          <w:p w:rsidR="00CC1450" w:rsidRPr="000676E9" w:rsidRDefault="00CC1450" w:rsidP="000676E9">
            <w:pPr>
              <w:jc w:val="left"/>
              <w:rPr>
                <w:rFonts w:asciiTheme="minorHAnsi" w:eastAsia="Times New Roman" w:hAnsiTheme="minorHAnsi"/>
                <w:b/>
                <w:color w:val="000000"/>
                <w:sz w:val="20"/>
                <w:szCs w:val="20"/>
                <w:lang w:eastAsia="sk-SK"/>
              </w:rPr>
            </w:pPr>
          </w:p>
        </w:tc>
        <w:tc>
          <w:tcPr>
            <w:tcW w:w="1134" w:type="dxa"/>
            <w:shd w:val="clear" w:color="auto" w:fill="D99594" w:themeFill="accent2" w:themeFillTint="99"/>
            <w:vAlign w:val="bottom"/>
          </w:tcPr>
          <w:p w:rsidR="00CC1450" w:rsidRPr="000676E9" w:rsidRDefault="00CC1450" w:rsidP="000676E9">
            <w:pPr>
              <w:jc w:val="left"/>
              <w:rPr>
                <w:rFonts w:asciiTheme="minorHAnsi" w:eastAsia="Times New Roman" w:hAnsiTheme="minorHAnsi"/>
                <w:b/>
                <w:color w:val="000000"/>
                <w:sz w:val="20"/>
                <w:szCs w:val="20"/>
                <w:lang w:eastAsia="sk-SK"/>
              </w:rPr>
            </w:pPr>
            <w:r w:rsidRPr="000676E9">
              <w:rPr>
                <w:rFonts w:asciiTheme="minorHAnsi" w:eastAsia="Times New Roman" w:hAnsiTheme="minorHAnsi"/>
                <w:b/>
                <w:color w:val="000000"/>
                <w:sz w:val="20"/>
                <w:szCs w:val="20"/>
                <w:lang w:eastAsia="sk-SK"/>
              </w:rPr>
              <w:t>531,78</w:t>
            </w:r>
          </w:p>
          <w:p w:rsidR="00CC1450" w:rsidRPr="000676E9" w:rsidRDefault="00CC1450" w:rsidP="000676E9">
            <w:pPr>
              <w:jc w:val="left"/>
              <w:rPr>
                <w:rFonts w:asciiTheme="minorHAnsi" w:eastAsia="Times New Roman" w:hAnsiTheme="minorHAnsi"/>
                <w:b/>
                <w:color w:val="000000"/>
                <w:sz w:val="20"/>
                <w:szCs w:val="20"/>
                <w:lang w:eastAsia="sk-SK"/>
              </w:rPr>
            </w:pPr>
          </w:p>
        </w:tc>
        <w:tc>
          <w:tcPr>
            <w:tcW w:w="1018" w:type="dxa"/>
            <w:shd w:val="clear" w:color="auto" w:fill="D99594" w:themeFill="accent2" w:themeFillTint="99"/>
            <w:vAlign w:val="bottom"/>
          </w:tcPr>
          <w:p w:rsidR="00CC1450" w:rsidRPr="000676E9" w:rsidRDefault="00CC1450" w:rsidP="000676E9">
            <w:pPr>
              <w:jc w:val="left"/>
              <w:rPr>
                <w:rFonts w:asciiTheme="minorHAnsi" w:eastAsia="Times New Roman" w:hAnsiTheme="minorHAnsi"/>
                <w:b/>
                <w:color w:val="000000"/>
                <w:sz w:val="20"/>
                <w:szCs w:val="20"/>
                <w:lang w:eastAsia="sk-SK"/>
              </w:rPr>
            </w:pPr>
            <w:r w:rsidRPr="000676E9">
              <w:rPr>
                <w:rFonts w:asciiTheme="minorHAnsi" w:eastAsia="Times New Roman" w:hAnsiTheme="minorHAnsi"/>
                <w:b/>
                <w:color w:val="000000"/>
                <w:sz w:val="20"/>
                <w:szCs w:val="20"/>
                <w:lang w:eastAsia="sk-SK"/>
              </w:rPr>
              <w:t>1032,81</w:t>
            </w:r>
          </w:p>
          <w:p w:rsidR="00CC1450" w:rsidRPr="000676E9" w:rsidRDefault="00CC1450" w:rsidP="000676E9">
            <w:pPr>
              <w:jc w:val="left"/>
              <w:rPr>
                <w:rFonts w:asciiTheme="minorHAnsi" w:eastAsia="Times New Roman" w:hAnsiTheme="minorHAnsi"/>
                <w:b/>
                <w:color w:val="000000"/>
                <w:sz w:val="20"/>
                <w:szCs w:val="20"/>
                <w:lang w:eastAsia="sk-SK"/>
              </w:rPr>
            </w:pPr>
          </w:p>
        </w:tc>
        <w:tc>
          <w:tcPr>
            <w:tcW w:w="1290" w:type="dxa"/>
            <w:shd w:val="clear" w:color="auto" w:fill="D99594" w:themeFill="accent2" w:themeFillTint="99"/>
            <w:vAlign w:val="bottom"/>
          </w:tcPr>
          <w:p w:rsidR="00CC1450" w:rsidRPr="000676E9" w:rsidRDefault="00CC1450" w:rsidP="000676E9">
            <w:pPr>
              <w:jc w:val="left"/>
              <w:rPr>
                <w:rFonts w:asciiTheme="minorHAnsi" w:eastAsia="Times New Roman" w:hAnsiTheme="minorHAnsi"/>
                <w:b/>
                <w:color w:val="000000"/>
                <w:sz w:val="20"/>
                <w:szCs w:val="20"/>
                <w:lang w:eastAsia="sk-SK"/>
              </w:rPr>
            </w:pPr>
            <w:r w:rsidRPr="000676E9">
              <w:rPr>
                <w:rFonts w:asciiTheme="minorHAnsi" w:eastAsia="Times New Roman" w:hAnsiTheme="minorHAnsi"/>
                <w:b/>
                <w:color w:val="000000"/>
                <w:sz w:val="20"/>
                <w:szCs w:val="20"/>
                <w:lang w:eastAsia="sk-SK"/>
              </w:rPr>
              <w:t>316,16</w:t>
            </w:r>
          </w:p>
          <w:p w:rsidR="00CC1450" w:rsidRPr="000676E9" w:rsidRDefault="00CC1450" w:rsidP="000676E9">
            <w:pPr>
              <w:jc w:val="left"/>
              <w:rPr>
                <w:rFonts w:asciiTheme="minorHAnsi" w:eastAsia="Times New Roman" w:hAnsiTheme="minorHAnsi"/>
                <w:b/>
                <w:color w:val="000000"/>
                <w:sz w:val="20"/>
                <w:szCs w:val="20"/>
                <w:lang w:eastAsia="sk-SK"/>
              </w:rPr>
            </w:pPr>
          </w:p>
        </w:tc>
        <w:tc>
          <w:tcPr>
            <w:tcW w:w="1803" w:type="dxa"/>
            <w:shd w:val="clear" w:color="auto" w:fill="D99594" w:themeFill="accent2" w:themeFillTint="99"/>
            <w:vAlign w:val="bottom"/>
          </w:tcPr>
          <w:p w:rsidR="00CC1450" w:rsidRPr="000676E9" w:rsidRDefault="00CC1450" w:rsidP="000676E9">
            <w:pPr>
              <w:jc w:val="left"/>
              <w:rPr>
                <w:rFonts w:asciiTheme="minorHAnsi" w:hAnsiTheme="minorHAnsi"/>
                <w:b/>
                <w:color w:val="FF0000"/>
                <w:sz w:val="20"/>
                <w:szCs w:val="20"/>
              </w:rPr>
            </w:pPr>
            <w:r w:rsidRPr="000676E9">
              <w:rPr>
                <w:rFonts w:asciiTheme="minorHAnsi" w:hAnsiTheme="minorHAnsi"/>
                <w:b/>
                <w:color w:val="000000"/>
                <w:sz w:val="20"/>
                <w:szCs w:val="20"/>
              </w:rPr>
              <w:t xml:space="preserve">1348,97 </w:t>
            </w:r>
            <w:r w:rsidRPr="000676E9">
              <w:rPr>
                <w:rFonts w:asciiTheme="minorHAnsi" w:hAnsiTheme="minorHAnsi"/>
                <w:b/>
                <w:color w:val="FF0000"/>
                <w:sz w:val="20"/>
                <w:szCs w:val="20"/>
              </w:rPr>
              <w:t>(-54,34)</w:t>
            </w:r>
          </w:p>
          <w:p w:rsidR="00CC1450" w:rsidRPr="000676E9" w:rsidRDefault="00CC1450" w:rsidP="000676E9">
            <w:pPr>
              <w:jc w:val="left"/>
              <w:rPr>
                <w:rFonts w:asciiTheme="minorHAnsi" w:hAnsiTheme="minorHAnsi"/>
                <w:b/>
                <w:color w:val="000000"/>
                <w:sz w:val="20"/>
                <w:szCs w:val="20"/>
              </w:rPr>
            </w:pPr>
          </w:p>
        </w:tc>
      </w:tr>
    </w:tbl>
    <w:p w:rsidR="00B26015" w:rsidRPr="00B459B5" w:rsidRDefault="00B26015" w:rsidP="00B26015">
      <w:pPr>
        <w:rPr>
          <w:rFonts w:asciiTheme="minorHAnsi" w:hAnsiTheme="minorHAnsi"/>
        </w:rPr>
      </w:pPr>
      <w:r w:rsidRPr="00B459B5">
        <w:rPr>
          <w:rFonts w:asciiTheme="minorHAnsi" w:hAnsiTheme="minorHAnsi"/>
        </w:rPr>
        <w:lastRenderedPageBreak/>
        <w:t>Počet tvorivých pracovníkov je medziročne vyrovnaný, v kategórii učiteľov došlo medziročne k  poklesu</w:t>
      </w:r>
      <w:r>
        <w:rPr>
          <w:rFonts w:asciiTheme="minorHAnsi" w:hAnsiTheme="minorHAnsi"/>
        </w:rPr>
        <w:t>,</w:t>
      </w:r>
      <w:r w:rsidRPr="00B459B5">
        <w:rPr>
          <w:rFonts w:asciiTheme="minorHAnsi" w:hAnsiTheme="minorHAnsi"/>
        </w:rPr>
        <w:t xml:space="preserve"> v kategórii výskumných pracovníkov k nárastu. Univerzita ako celok vykázala asi 4 % pokles výskumnej kapacity v porovnaní s rokom 2014. Zmeny oproti predošlému roku sú v poslednom stĺpci vyznačené červenou farbou. Najvýraznejší pokles</w:t>
      </w:r>
      <w:r>
        <w:rPr>
          <w:rFonts w:asciiTheme="minorHAnsi" w:hAnsiTheme="minorHAnsi"/>
        </w:rPr>
        <w:t xml:space="preserve"> (takmer 15 %) zaznamenala FEI.</w:t>
      </w:r>
    </w:p>
    <w:p w:rsidR="00CC1450" w:rsidRDefault="00CC1450" w:rsidP="000676E9">
      <w:pPr>
        <w:jc w:val="left"/>
        <w:rPr>
          <w:rFonts w:asciiTheme="minorHAnsi" w:hAnsiTheme="minorHAnsi"/>
          <w:sz w:val="20"/>
          <w:szCs w:val="20"/>
        </w:rPr>
      </w:pPr>
    </w:p>
    <w:p w:rsidR="000676E9" w:rsidRPr="000676E9" w:rsidRDefault="000676E9" w:rsidP="000676E9">
      <w:pPr>
        <w:ind w:firstLine="360"/>
        <w:jc w:val="left"/>
        <w:rPr>
          <w:rFonts w:asciiTheme="minorHAnsi" w:hAnsiTheme="minorHAnsi"/>
          <w:sz w:val="20"/>
          <w:szCs w:val="20"/>
        </w:rPr>
      </w:pPr>
    </w:p>
    <w:p w:rsidR="000676E9" w:rsidRPr="000676E9" w:rsidRDefault="000676E9" w:rsidP="000676E9">
      <w:pPr>
        <w:ind w:firstLine="360"/>
        <w:jc w:val="left"/>
        <w:rPr>
          <w:rFonts w:asciiTheme="minorHAnsi" w:hAnsiTheme="minorHAnsi"/>
          <w:b/>
          <w:sz w:val="20"/>
          <w:szCs w:val="20"/>
        </w:rPr>
      </w:pPr>
      <w:r w:rsidRPr="000676E9">
        <w:rPr>
          <w:rFonts w:asciiTheme="minorHAnsi" w:hAnsiTheme="minorHAnsi"/>
          <w:b/>
          <w:sz w:val="20"/>
          <w:szCs w:val="20"/>
        </w:rPr>
        <w:t>Graf 5.6 Percentuálny podiel súčastí STU na celkovej výskumnej kapacite v roku 2014</w:t>
      </w:r>
    </w:p>
    <w:p w:rsidR="00CC1450" w:rsidRPr="000676E9" w:rsidRDefault="00CC1450" w:rsidP="000676E9">
      <w:pPr>
        <w:jc w:val="left"/>
        <w:rPr>
          <w:rFonts w:asciiTheme="minorHAnsi" w:hAnsiTheme="minorHAnsi"/>
          <w:b/>
          <w:sz w:val="20"/>
          <w:szCs w:val="20"/>
        </w:rPr>
      </w:pPr>
      <w:r w:rsidRPr="000676E9">
        <w:rPr>
          <w:rFonts w:asciiTheme="minorHAnsi" w:hAnsiTheme="minorHAnsi"/>
          <w:noProof/>
          <w:sz w:val="20"/>
          <w:szCs w:val="20"/>
          <w:lang w:eastAsia="sk-SK"/>
        </w:rPr>
        <w:drawing>
          <wp:inline distT="0" distB="0" distL="0" distR="0" wp14:anchorId="6C6804D4" wp14:editId="6D8E2403">
            <wp:extent cx="4572000" cy="2743200"/>
            <wp:effectExtent l="0" t="0" r="0"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51749" w:rsidRPr="002D7A10" w:rsidRDefault="00B51749" w:rsidP="00D7160C">
      <w:pPr>
        <w:rPr>
          <w:rFonts w:asciiTheme="minorHAnsi" w:hAnsiTheme="minorHAnsi"/>
        </w:rPr>
      </w:pPr>
    </w:p>
    <w:p w:rsidR="00B51749" w:rsidRPr="00D7160C" w:rsidRDefault="00B51749" w:rsidP="00B51749">
      <w:pPr>
        <w:pStyle w:val="Nadpis2"/>
        <w:numPr>
          <w:ilvl w:val="1"/>
          <w:numId w:val="11"/>
        </w:numPr>
        <w:rPr>
          <w:rFonts w:asciiTheme="minorHAnsi" w:hAnsiTheme="minorHAnsi"/>
          <w:color w:val="auto"/>
          <w:sz w:val="24"/>
          <w:szCs w:val="24"/>
        </w:rPr>
      </w:pPr>
      <w:bookmarkStart w:id="30" w:name="_Toc448261572"/>
      <w:r w:rsidRPr="002D7A10">
        <w:rPr>
          <w:rFonts w:asciiTheme="minorHAnsi" w:hAnsiTheme="minorHAnsi"/>
          <w:color w:val="auto"/>
          <w:sz w:val="24"/>
          <w:szCs w:val="24"/>
        </w:rPr>
        <w:t>Financovanie výskumných aktivít na STU</w:t>
      </w:r>
      <w:bookmarkEnd w:id="30"/>
      <w:r w:rsidRPr="002D7A10">
        <w:rPr>
          <w:rFonts w:asciiTheme="minorHAnsi" w:hAnsiTheme="minorHAnsi"/>
          <w:color w:val="auto"/>
          <w:sz w:val="24"/>
          <w:szCs w:val="24"/>
        </w:rPr>
        <w:t xml:space="preserve"> </w:t>
      </w:r>
    </w:p>
    <w:p w:rsidR="00D7160C" w:rsidRPr="00D7160C" w:rsidRDefault="00D7160C" w:rsidP="00D7160C">
      <w:pPr>
        <w:rPr>
          <w:rFonts w:asciiTheme="minorHAnsi" w:hAnsiTheme="minorHAnsi"/>
        </w:rPr>
      </w:pPr>
      <w:r w:rsidRPr="00D7160C">
        <w:rPr>
          <w:rFonts w:asciiTheme="minorHAnsi" w:hAnsiTheme="minorHAnsi"/>
        </w:rPr>
        <w:t xml:space="preserve">Financovanie výskumných aktivít sa podobne ako v predchádzajúcich obdobiach uskutočňovalo prostredníctvom viacerých zdrojov, kde popri základnej dotácii z rozpočtu mali významné miesto domáce a zahraničné granty, štrukturálne fondy, zmluvy o dielo, prípadne iné vlastné zdroje. </w:t>
      </w:r>
      <w:r w:rsidRPr="00C7402A">
        <w:rPr>
          <w:rFonts w:asciiTheme="minorHAnsi" w:hAnsiTheme="minorHAnsi"/>
        </w:rPr>
        <w:t>Z</w:t>
      </w:r>
      <w:r w:rsidR="00C7402A" w:rsidRPr="00C7402A">
        <w:rPr>
          <w:rFonts w:asciiTheme="minorHAnsi" w:hAnsiTheme="minorHAnsi"/>
        </w:rPr>
        <w:t> grafu 57</w:t>
      </w:r>
      <w:r w:rsidRPr="00C7402A">
        <w:rPr>
          <w:rFonts w:asciiTheme="minorHAnsi" w:hAnsiTheme="minorHAnsi"/>
        </w:rPr>
        <w:t xml:space="preserve"> je zrejmé rozvrstvenie jednotlivých zdrojov </w:t>
      </w:r>
      <w:r w:rsidR="00655211">
        <w:rPr>
          <w:rFonts w:asciiTheme="minorHAnsi" w:hAnsiTheme="minorHAnsi"/>
        </w:rPr>
        <w:t>financovania</w:t>
      </w:r>
      <w:r w:rsidRPr="00D7160C">
        <w:rPr>
          <w:rFonts w:asciiTheme="minorHAnsi" w:hAnsiTheme="minorHAnsi"/>
        </w:rPr>
        <w:t xml:space="preserve"> (nie sú uvedené finančné zdroje zo ŠF EÚ, ktoré v roku 2015 predstavovali takmer 80 mil. </w:t>
      </w:r>
      <w:r>
        <w:rPr>
          <w:rFonts w:asciiTheme="minorHAnsi" w:hAnsiTheme="minorHAnsi"/>
        </w:rPr>
        <w:t>eur</w:t>
      </w:r>
      <w:r w:rsidRPr="00D7160C">
        <w:rPr>
          <w:rFonts w:asciiTheme="minorHAnsi" w:hAnsiTheme="minorHAnsi"/>
        </w:rPr>
        <w:t>).</w:t>
      </w:r>
    </w:p>
    <w:p w:rsidR="00B26015" w:rsidRDefault="00B26015" w:rsidP="00B26015">
      <w:pPr>
        <w:rPr>
          <w:rFonts w:asciiTheme="minorHAnsi" w:hAnsiTheme="minorHAnsi"/>
          <w:b/>
        </w:rPr>
      </w:pPr>
      <w:r w:rsidRPr="00D7160C">
        <w:rPr>
          <w:rFonts w:asciiTheme="minorHAnsi" w:hAnsiTheme="minorHAnsi"/>
          <w:b/>
        </w:rPr>
        <w:t xml:space="preserve">V porovnaní s predchádzajúcim rokom došlo k výraznému nárastu finančných prostriedkov získaných zo štrukturálnych fondov EÚ, v roku 2015 tieto prostriedky tvorili takmer polovicu univerzitného rozpočtu. </w:t>
      </w:r>
    </w:p>
    <w:p w:rsidR="00F175F8" w:rsidRDefault="00F175F8" w:rsidP="00B26015">
      <w:pPr>
        <w:rPr>
          <w:rFonts w:asciiTheme="minorHAnsi" w:hAnsiTheme="minorHAnsi"/>
        </w:rPr>
      </w:pPr>
      <w:r w:rsidRPr="00F175F8">
        <w:rPr>
          <w:rFonts w:asciiTheme="minorHAnsi" w:hAnsiTheme="minorHAnsi"/>
        </w:rPr>
        <w:t xml:space="preserve">Presný rozpis </w:t>
      </w:r>
      <w:r>
        <w:rPr>
          <w:rFonts w:asciiTheme="minorHAnsi" w:hAnsiTheme="minorHAnsi"/>
        </w:rPr>
        <w:t xml:space="preserve">príjmov Slovenskej technickej univerzity v Bratislave, a to </w:t>
      </w:r>
      <w:r w:rsidR="00F1231F">
        <w:rPr>
          <w:rFonts w:asciiTheme="minorHAnsi" w:hAnsiTheme="minorHAnsi"/>
        </w:rPr>
        <w:t xml:space="preserve">v rámci </w:t>
      </w:r>
      <w:r>
        <w:rPr>
          <w:rFonts w:asciiTheme="minorHAnsi" w:hAnsiTheme="minorHAnsi"/>
        </w:rPr>
        <w:t xml:space="preserve">dotácie </w:t>
      </w:r>
      <w:r w:rsidR="00F1231F">
        <w:rPr>
          <w:rFonts w:asciiTheme="minorHAnsi" w:hAnsiTheme="minorHAnsi"/>
        </w:rPr>
        <w:t xml:space="preserve">a tiež </w:t>
      </w:r>
      <w:r>
        <w:rPr>
          <w:rFonts w:asciiTheme="minorHAnsi" w:hAnsiTheme="minorHAnsi"/>
        </w:rPr>
        <w:t>zo štruktur</w:t>
      </w:r>
      <w:r w:rsidR="00F1231F">
        <w:rPr>
          <w:rFonts w:asciiTheme="minorHAnsi" w:hAnsiTheme="minorHAnsi"/>
        </w:rPr>
        <w:t>á</w:t>
      </w:r>
      <w:r>
        <w:rPr>
          <w:rFonts w:asciiTheme="minorHAnsi" w:hAnsiTheme="minorHAnsi"/>
        </w:rPr>
        <w:t>lnych fondov podľa fakúlt uvádza tabuľka 5.2.</w:t>
      </w:r>
    </w:p>
    <w:p w:rsidR="00F175F8" w:rsidRDefault="00F175F8" w:rsidP="00B26015">
      <w:pPr>
        <w:rPr>
          <w:rFonts w:asciiTheme="minorHAnsi" w:hAnsiTheme="minorHAnsi"/>
        </w:rPr>
      </w:pPr>
    </w:p>
    <w:p w:rsidR="00E2187A" w:rsidRDefault="00E2187A" w:rsidP="00B26015">
      <w:pPr>
        <w:rPr>
          <w:rFonts w:asciiTheme="minorHAnsi" w:hAnsiTheme="minorHAnsi"/>
        </w:rPr>
      </w:pPr>
    </w:p>
    <w:p w:rsidR="00E2187A" w:rsidRDefault="00E2187A" w:rsidP="00B26015">
      <w:pPr>
        <w:rPr>
          <w:rFonts w:asciiTheme="minorHAnsi" w:hAnsiTheme="minorHAnsi"/>
        </w:rPr>
      </w:pPr>
    </w:p>
    <w:p w:rsidR="00E2187A" w:rsidRDefault="00E2187A" w:rsidP="00B26015">
      <w:pPr>
        <w:rPr>
          <w:rFonts w:asciiTheme="minorHAnsi" w:hAnsiTheme="minorHAnsi"/>
        </w:rPr>
      </w:pPr>
    </w:p>
    <w:p w:rsidR="00B63321" w:rsidRDefault="00B63321" w:rsidP="00B26015">
      <w:pPr>
        <w:rPr>
          <w:rFonts w:asciiTheme="minorHAnsi" w:hAnsiTheme="minorHAnsi"/>
        </w:rPr>
        <w:sectPr w:rsidR="00B63321" w:rsidSect="00024C6B">
          <w:pgSz w:w="11900" w:h="16840"/>
          <w:pgMar w:top="2127" w:right="1797" w:bottom="1276" w:left="1797" w:header="709" w:footer="709" w:gutter="0"/>
          <w:cols w:space="708"/>
          <w:docGrid w:linePitch="360"/>
        </w:sectPr>
      </w:pPr>
    </w:p>
    <w:p w:rsidR="00B63321" w:rsidRDefault="00B63321" w:rsidP="00B26015">
      <w:pPr>
        <w:rPr>
          <w:rFonts w:asciiTheme="minorHAnsi" w:hAnsiTheme="minorHAnsi"/>
        </w:rPr>
        <w:sectPr w:rsidR="00B63321" w:rsidSect="00B63321">
          <w:type w:val="continuous"/>
          <w:pgSz w:w="11900" w:h="16840"/>
          <w:pgMar w:top="2127" w:right="1797" w:bottom="1276" w:left="1797" w:header="709" w:footer="709" w:gutter="0"/>
          <w:cols w:space="708"/>
          <w:docGrid w:linePitch="360"/>
        </w:sectPr>
      </w:pPr>
    </w:p>
    <w:p w:rsidR="00E2187A" w:rsidRDefault="00E2187A" w:rsidP="00B26015">
      <w:pPr>
        <w:rPr>
          <w:rFonts w:asciiTheme="minorHAnsi" w:hAnsiTheme="minorHAnsi"/>
        </w:rPr>
      </w:pPr>
    </w:p>
    <w:p w:rsidR="007A33CB" w:rsidRDefault="007A33CB" w:rsidP="00FC767B">
      <w:pPr>
        <w:jc w:val="left"/>
        <w:rPr>
          <w:rFonts w:eastAsia="Times New Roman"/>
          <w:b/>
          <w:color w:val="000000"/>
          <w:sz w:val="22"/>
          <w:szCs w:val="22"/>
          <w:lang w:eastAsia="sk-SK"/>
        </w:rPr>
        <w:sectPr w:rsidR="007A33CB" w:rsidSect="00B63321">
          <w:type w:val="continuous"/>
          <w:pgSz w:w="11900" w:h="16840"/>
          <w:pgMar w:top="2127" w:right="1797" w:bottom="1276" w:left="1797" w:header="709" w:footer="709" w:gutter="0"/>
          <w:cols w:space="708"/>
          <w:docGrid w:linePitch="360"/>
        </w:sectPr>
      </w:pPr>
    </w:p>
    <w:tbl>
      <w:tblPr>
        <w:tblW w:w="17010" w:type="dxa"/>
        <w:tblInd w:w="70" w:type="dxa"/>
        <w:tblCellMar>
          <w:left w:w="70" w:type="dxa"/>
          <w:right w:w="70" w:type="dxa"/>
        </w:tblCellMar>
        <w:tblLook w:val="04A0" w:firstRow="1" w:lastRow="0" w:firstColumn="1" w:lastColumn="0" w:noHBand="0" w:noVBand="1"/>
      </w:tblPr>
      <w:tblGrid>
        <w:gridCol w:w="2127"/>
        <w:gridCol w:w="1067"/>
        <w:gridCol w:w="1275"/>
        <w:gridCol w:w="1276"/>
        <w:gridCol w:w="1276"/>
        <w:gridCol w:w="992"/>
        <w:gridCol w:w="1418"/>
        <w:gridCol w:w="1134"/>
        <w:gridCol w:w="917"/>
        <w:gridCol w:w="992"/>
        <w:gridCol w:w="1418"/>
        <w:gridCol w:w="1417"/>
        <w:gridCol w:w="1701"/>
      </w:tblGrid>
      <w:tr w:rsidR="00690B89" w:rsidRPr="004577CC" w:rsidTr="00FC767B">
        <w:trPr>
          <w:trHeight w:val="582"/>
        </w:trPr>
        <w:tc>
          <w:tcPr>
            <w:tcW w:w="15309" w:type="dxa"/>
            <w:gridSpan w:val="12"/>
            <w:tcBorders>
              <w:top w:val="nil"/>
              <w:left w:val="nil"/>
              <w:bottom w:val="single" w:sz="4" w:space="0" w:color="auto"/>
              <w:right w:val="nil"/>
            </w:tcBorders>
            <w:shd w:val="clear" w:color="auto" w:fill="auto"/>
            <w:vAlign w:val="center"/>
            <w:hideMark/>
          </w:tcPr>
          <w:p w:rsidR="00690B89" w:rsidRPr="004577CC" w:rsidRDefault="00690B89" w:rsidP="00F1231F">
            <w:pPr>
              <w:jc w:val="left"/>
              <w:rPr>
                <w:rFonts w:asciiTheme="minorHAnsi" w:eastAsia="Times New Roman" w:hAnsiTheme="minorHAnsi"/>
                <w:b/>
                <w:color w:val="000000"/>
                <w:sz w:val="20"/>
                <w:szCs w:val="20"/>
                <w:lang w:eastAsia="sk-SK"/>
              </w:rPr>
            </w:pPr>
            <w:r w:rsidRPr="00690B89">
              <w:rPr>
                <w:rFonts w:asciiTheme="minorHAnsi" w:eastAsia="Times New Roman" w:hAnsiTheme="minorHAnsi"/>
                <w:b/>
                <w:color w:val="000000"/>
                <w:sz w:val="20"/>
                <w:szCs w:val="20"/>
                <w:lang w:eastAsia="sk-SK"/>
              </w:rPr>
              <w:lastRenderedPageBreak/>
              <w:t xml:space="preserve">Tabuľka 5.2: </w:t>
            </w:r>
            <w:r w:rsidRPr="004577CC">
              <w:rPr>
                <w:rFonts w:asciiTheme="minorHAnsi" w:eastAsia="Times New Roman" w:hAnsiTheme="minorHAnsi"/>
                <w:b/>
                <w:color w:val="000000"/>
                <w:sz w:val="20"/>
                <w:szCs w:val="20"/>
                <w:lang w:eastAsia="sk-SK"/>
              </w:rPr>
              <w:t xml:space="preserve">Objem </w:t>
            </w:r>
            <w:r w:rsidR="00F1231F">
              <w:rPr>
                <w:rFonts w:asciiTheme="minorHAnsi" w:eastAsia="Times New Roman" w:hAnsiTheme="minorHAnsi"/>
                <w:b/>
                <w:color w:val="000000"/>
                <w:sz w:val="20"/>
                <w:szCs w:val="20"/>
                <w:lang w:eastAsia="sk-SK"/>
              </w:rPr>
              <w:t>dotácie a štrukturálnych fondov</w:t>
            </w:r>
            <w:r w:rsidRPr="004577CC">
              <w:rPr>
                <w:rFonts w:asciiTheme="minorHAnsi" w:eastAsia="Times New Roman" w:hAnsiTheme="minorHAnsi"/>
                <w:b/>
                <w:color w:val="000000"/>
                <w:sz w:val="20"/>
                <w:szCs w:val="20"/>
                <w:lang w:eastAsia="sk-SK"/>
              </w:rPr>
              <w:t xml:space="preserve"> v roku 2015</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22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90B89" w:rsidRPr="004577CC" w:rsidRDefault="00690B89" w:rsidP="00FC767B">
            <w:pPr>
              <w:jc w:val="center"/>
              <w:rPr>
                <w:rFonts w:asciiTheme="minorHAnsi" w:eastAsia="Times New Roman" w:hAnsiTheme="minorHAnsi"/>
                <w:b/>
                <w:color w:val="000000"/>
                <w:sz w:val="18"/>
                <w:szCs w:val="18"/>
                <w:lang w:eastAsia="sk-SK"/>
              </w:rPr>
            </w:pPr>
            <w:r w:rsidRPr="004577CC">
              <w:rPr>
                <w:rFonts w:asciiTheme="minorHAnsi" w:eastAsia="Times New Roman" w:hAnsiTheme="minorHAnsi"/>
                <w:b/>
                <w:color w:val="000000"/>
                <w:sz w:val="18"/>
                <w:szCs w:val="18"/>
                <w:lang w:eastAsia="sk-SK"/>
              </w:rPr>
              <w:t>PRÍJMY</w:t>
            </w:r>
          </w:p>
        </w:tc>
        <w:tc>
          <w:tcPr>
            <w:tcW w:w="1067" w:type="dxa"/>
            <w:tcBorders>
              <w:top w:val="nil"/>
              <w:left w:val="nil"/>
              <w:bottom w:val="single" w:sz="4" w:space="0" w:color="auto"/>
              <w:right w:val="single" w:sz="4" w:space="0" w:color="auto"/>
            </w:tcBorders>
            <w:shd w:val="clear" w:color="auto" w:fill="auto"/>
            <w:noWrap/>
            <w:vAlign w:val="center"/>
            <w:hideMark/>
          </w:tcPr>
          <w:p w:rsidR="00690B89" w:rsidRPr="004577CC" w:rsidRDefault="00690B89" w:rsidP="00FC767B">
            <w:pPr>
              <w:jc w:val="center"/>
              <w:rPr>
                <w:rFonts w:asciiTheme="minorHAnsi" w:eastAsia="Times New Roman" w:hAnsiTheme="minorHAnsi"/>
                <w:b/>
                <w:color w:val="000000"/>
                <w:sz w:val="18"/>
                <w:szCs w:val="18"/>
                <w:lang w:eastAsia="sk-SK"/>
              </w:rPr>
            </w:pPr>
            <w:r w:rsidRPr="004577CC">
              <w:rPr>
                <w:rFonts w:asciiTheme="minorHAnsi" w:eastAsia="Times New Roman" w:hAnsiTheme="minorHAnsi"/>
                <w:b/>
                <w:color w:val="000000"/>
                <w:sz w:val="18"/>
                <w:szCs w:val="18"/>
                <w:lang w:eastAsia="sk-SK"/>
              </w:rPr>
              <w:t>SvF</w:t>
            </w:r>
          </w:p>
        </w:tc>
        <w:tc>
          <w:tcPr>
            <w:tcW w:w="1275" w:type="dxa"/>
            <w:tcBorders>
              <w:top w:val="nil"/>
              <w:left w:val="nil"/>
              <w:bottom w:val="single" w:sz="4" w:space="0" w:color="auto"/>
              <w:right w:val="single" w:sz="4" w:space="0" w:color="auto"/>
            </w:tcBorders>
            <w:shd w:val="clear" w:color="auto" w:fill="auto"/>
            <w:noWrap/>
            <w:vAlign w:val="center"/>
            <w:hideMark/>
          </w:tcPr>
          <w:p w:rsidR="00690B89" w:rsidRPr="004577CC" w:rsidRDefault="00690B89" w:rsidP="00FC767B">
            <w:pPr>
              <w:jc w:val="center"/>
              <w:rPr>
                <w:rFonts w:asciiTheme="minorHAnsi" w:eastAsia="Times New Roman" w:hAnsiTheme="minorHAnsi"/>
                <w:b/>
                <w:color w:val="000000"/>
                <w:sz w:val="18"/>
                <w:szCs w:val="18"/>
                <w:lang w:eastAsia="sk-SK"/>
              </w:rPr>
            </w:pPr>
            <w:r w:rsidRPr="004577CC">
              <w:rPr>
                <w:rFonts w:asciiTheme="minorHAnsi" w:eastAsia="Times New Roman" w:hAnsiTheme="minorHAnsi"/>
                <w:b/>
                <w:color w:val="000000"/>
                <w:sz w:val="18"/>
                <w:szCs w:val="18"/>
                <w:lang w:eastAsia="sk-SK"/>
              </w:rPr>
              <w:t>SjF</w:t>
            </w:r>
          </w:p>
        </w:tc>
        <w:tc>
          <w:tcPr>
            <w:tcW w:w="1276" w:type="dxa"/>
            <w:tcBorders>
              <w:top w:val="nil"/>
              <w:left w:val="nil"/>
              <w:bottom w:val="single" w:sz="4" w:space="0" w:color="auto"/>
              <w:right w:val="single" w:sz="4" w:space="0" w:color="auto"/>
            </w:tcBorders>
            <w:shd w:val="clear" w:color="auto" w:fill="auto"/>
            <w:noWrap/>
            <w:vAlign w:val="center"/>
            <w:hideMark/>
          </w:tcPr>
          <w:p w:rsidR="00690B89" w:rsidRPr="004577CC" w:rsidRDefault="00690B89" w:rsidP="00FC767B">
            <w:pPr>
              <w:jc w:val="center"/>
              <w:rPr>
                <w:rFonts w:asciiTheme="minorHAnsi" w:eastAsia="Times New Roman" w:hAnsiTheme="minorHAnsi"/>
                <w:b/>
                <w:color w:val="000000"/>
                <w:sz w:val="18"/>
                <w:szCs w:val="18"/>
                <w:lang w:eastAsia="sk-SK"/>
              </w:rPr>
            </w:pPr>
            <w:r w:rsidRPr="004577CC">
              <w:rPr>
                <w:rFonts w:asciiTheme="minorHAnsi" w:eastAsia="Times New Roman" w:hAnsiTheme="minorHAnsi"/>
                <w:b/>
                <w:color w:val="000000"/>
                <w:sz w:val="18"/>
                <w:szCs w:val="18"/>
                <w:lang w:eastAsia="sk-SK"/>
              </w:rPr>
              <w:t>FEI</w:t>
            </w:r>
          </w:p>
        </w:tc>
        <w:tc>
          <w:tcPr>
            <w:tcW w:w="1276" w:type="dxa"/>
            <w:tcBorders>
              <w:top w:val="nil"/>
              <w:left w:val="nil"/>
              <w:bottom w:val="single" w:sz="4" w:space="0" w:color="auto"/>
              <w:right w:val="single" w:sz="4" w:space="0" w:color="auto"/>
            </w:tcBorders>
            <w:shd w:val="clear" w:color="auto" w:fill="auto"/>
            <w:noWrap/>
            <w:vAlign w:val="center"/>
            <w:hideMark/>
          </w:tcPr>
          <w:p w:rsidR="00690B89" w:rsidRPr="004577CC" w:rsidRDefault="00690B89" w:rsidP="00FC767B">
            <w:pPr>
              <w:jc w:val="center"/>
              <w:rPr>
                <w:rFonts w:asciiTheme="minorHAnsi" w:eastAsia="Times New Roman" w:hAnsiTheme="minorHAnsi"/>
                <w:b/>
                <w:color w:val="000000"/>
                <w:sz w:val="18"/>
                <w:szCs w:val="18"/>
                <w:lang w:eastAsia="sk-SK"/>
              </w:rPr>
            </w:pPr>
            <w:r w:rsidRPr="004577CC">
              <w:rPr>
                <w:rFonts w:asciiTheme="minorHAnsi" w:eastAsia="Times New Roman" w:hAnsiTheme="minorHAnsi"/>
                <w:b/>
                <w:color w:val="000000"/>
                <w:sz w:val="18"/>
                <w:szCs w:val="18"/>
                <w:lang w:eastAsia="sk-SK"/>
              </w:rPr>
              <w:t>FCHPT</w:t>
            </w:r>
          </w:p>
        </w:tc>
        <w:tc>
          <w:tcPr>
            <w:tcW w:w="992" w:type="dxa"/>
            <w:tcBorders>
              <w:top w:val="nil"/>
              <w:left w:val="nil"/>
              <w:bottom w:val="single" w:sz="4" w:space="0" w:color="auto"/>
              <w:right w:val="single" w:sz="4" w:space="0" w:color="auto"/>
            </w:tcBorders>
            <w:shd w:val="clear" w:color="auto" w:fill="auto"/>
            <w:noWrap/>
            <w:vAlign w:val="center"/>
            <w:hideMark/>
          </w:tcPr>
          <w:p w:rsidR="00690B89" w:rsidRPr="004577CC" w:rsidRDefault="00690B89" w:rsidP="00FC767B">
            <w:pPr>
              <w:jc w:val="center"/>
              <w:rPr>
                <w:rFonts w:asciiTheme="minorHAnsi" w:eastAsia="Times New Roman" w:hAnsiTheme="minorHAnsi"/>
                <w:b/>
                <w:color w:val="000000"/>
                <w:sz w:val="18"/>
                <w:szCs w:val="18"/>
                <w:lang w:eastAsia="sk-SK"/>
              </w:rPr>
            </w:pPr>
            <w:r w:rsidRPr="004577CC">
              <w:rPr>
                <w:rFonts w:asciiTheme="minorHAnsi" w:eastAsia="Times New Roman" w:hAnsiTheme="minorHAnsi"/>
                <w:b/>
                <w:color w:val="000000"/>
                <w:sz w:val="18"/>
                <w:szCs w:val="18"/>
                <w:lang w:eastAsia="sk-SK"/>
              </w:rPr>
              <w:t>FA</w:t>
            </w:r>
          </w:p>
        </w:tc>
        <w:tc>
          <w:tcPr>
            <w:tcW w:w="1418" w:type="dxa"/>
            <w:tcBorders>
              <w:top w:val="nil"/>
              <w:left w:val="nil"/>
              <w:bottom w:val="single" w:sz="4" w:space="0" w:color="auto"/>
              <w:right w:val="single" w:sz="4" w:space="0" w:color="auto"/>
            </w:tcBorders>
            <w:shd w:val="clear" w:color="auto" w:fill="auto"/>
            <w:noWrap/>
            <w:vAlign w:val="center"/>
            <w:hideMark/>
          </w:tcPr>
          <w:p w:rsidR="00690B89" w:rsidRPr="004577CC" w:rsidRDefault="00690B89" w:rsidP="00FC767B">
            <w:pPr>
              <w:jc w:val="center"/>
              <w:rPr>
                <w:rFonts w:asciiTheme="minorHAnsi" w:eastAsia="Times New Roman" w:hAnsiTheme="minorHAnsi"/>
                <w:b/>
                <w:color w:val="000000"/>
                <w:sz w:val="18"/>
                <w:szCs w:val="18"/>
                <w:lang w:eastAsia="sk-SK"/>
              </w:rPr>
            </w:pPr>
            <w:r w:rsidRPr="004577CC">
              <w:rPr>
                <w:rFonts w:asciiTheme="minorHAnsi" w:eastAsia="Times New Roman" w:hAnsiTheme="minorHAnsi"/>
                <w:b/>
                <w:color w:val="000000"/>
                <w:sz w:val="18"/>
                <w:szCs w:val="18"/>
                <w:lang w:eastAsia="sk-SK"/>
              </w:rPr>
              <w:t>MTF</w:t>
            </w:r>
          </w:p>
        </w:tc>
        <w:tc>
          <w:tcPr>
            <w:tcW w:w="1134" w:type="dxa"/>
            <w:tcBorders>
              <w:top w:val="nil"/>
              <w:left w:val="nil"/>
              <w:bottom w:val="single" w:sz="4" w:space="0" w:color="auto"/>
              <w:right w:val="single" w:sz="4" w:space="0" w:color="auto"/>
            </w:tcBorders>
            <w:shd w:val="clear" w:color="auto" w:fill="auto"/>
            <w:noWrap/>
            <w:vAlign w:val="center"/>
            <w:hideMark/>
          </w:tcPr>
          <w:p w:rsidR="00690B89" w:rsidRPr="004577CC" w:rsidRDefault="00690B89" w:rsidP="00FC767B">
            <w:pPr>
              <w:jc w:val="center"/>
              <w:rPr>
                <w:rFonts w:asciiTheme="minorHAnsi" w:eastAsia="Times New Roman" w:hAnsiTheme="minorHAnsi"/>
                <w:b/>
                <w:color w:val="000000"/>
                <w:sz w:val="18"/>
                <w:szCs w:val="18"/>
                <w:lang w:eastAsia="sk-SK"/>
              </w:rPr>
            </w:pPr>
            <w:r w:rsidRPr="004577CC">
              <w:rPr>
                <w:rFonts w:asciiTheme="minorHAnsi" w:eastAsia="Times New Roman" w:hAnsiTheme="minorHAnsi"/>
                <w:b/>
                <w:color w:val="000000"/>
                <w:sz w:val="18"/>
                <w:szCs w:val="18"/>
                <w:lang w:eastAsia="sk-SK"/>
              </w:rPr>
              <w:t>FIIT</w:t>
            </w:r>
          </w:p>
        </w:tc>
        <w:tc>
          <w:tcPr>
            <w:tcW w:w="917" w:type="dxa"/>
            <w:tcBorders>
              <w:top w:val="nil"/>
              <w:left w:val="nil"/>
              <w:bottom w:val="single" w:sz="4" w:space="0" w:color="auto"/>
              <w:right w:val="single" w:sz="4" w:space="0" w:color="auto"/>
            </w:tcBorders>
            <w:shd w:val="clear" w:color="auto" w:fill="auto"/>
            <w:noWrap/>
            <w:vAlign w:val="center"/>
            <w:hideMark/>
          </w:tcPr>
          <w:p w:rsidR="00690B89" w:rsidRPr="004577CC" w:rsidRDefault="00690B89" w:rsidP="00FC767B">
            <w:pPr>
              <w:jc w:val="center"/>
              <w:rPr>
                <w:rFonts w:asciiTheme="minorHAnsi" w:eastAsia="Times New Roman" w:hAnsiTheme="minorHAnsi"/>
                <w:b/>
                <w:color w:val="000000"/>
                <w:sz w:val="18"/>
                <w:szCs w:val="18"/>
                <w:lang w:eastAsia="sk-SK"/>
              </w:rPr>
            </w:pPr>
            <w:r w:rsidRPr="004577CC">
              <w:rPr>
                <w:rFonts w:asciiTheme="minorHAnsi" w:eastAsia="Times New Roman" w:hAnsiTheme="minorHAnsi"/>
                <w:b/>
                <w:color w:val="000000"/>
                <w:sz w:val="18"/>
                <w:szCs w:val="18"/>
                <w:lang w:eastAsia="sk-SK"/>
              </w:rPr>
              <w:t>UM</w:t>
            </w:r>
          </w:p>
        </w:tc>
        <w:tc>
          <w:tcPr>
            <w:tcW w:w="992" w:type="dxa"/>
            <w:tcBorders>
              <w:top w:val="nil"/>
              <w:left w:val="nil"/>
              <w:bottom w:val="single" w:sz="4" w:space="0" w:color="auto"/>
              <w:right w:val="single" w:sz="4" w:space="0" w:color="auto"/>
            </w:tcBorders>
            <w:shd w:val="clear" w:color="auto" w:fill="auto"/>
            <w:noWrap/>
            <w:vAlign w:val="center"/>
            <w:hideMark/>
          </w:tcPr>
          <w:p w:rsidR="00690B89" w:rsidRPr="004577CC" w:rsidRDefault="00690B89" w:rsidP="00FC767B">
            <w:pPr>
              <w:jc w:val="center"/>
              <w:rPr>
                <w:rFonts w:asciiTheme="minorHAnsi" w:eastAsia="Times New Roman" w:hAnsiTheme="minorHAnsi"/>
                <w:b/>
                <w:color w:val="000000"/>
                <w:sz w:val="18"/>
                <w:szCs w:val="18"/>
                <w:lang w:eastAsia="sk-SK"/>
              </w:rPr>
            </w:pPr>
            <w:proofErr w:type="spellStart"/>
            <w:r w:rsidRPr="004577CC">
              <w:rPr>
                <w:rFonts w:asciiTheme="minorHAnsi" w:eastAsia="Times New Roman" w:hAnsiTheme="minorHAnsi"/>
                <w:b/>
                <w:color w:val="000000"/>
                <w:sz w:val="18"/>
                <w:szCs w:val="18"/>
                <w:lang w:eastAsia="sk-SK"/>
              </w:rPr>
              <w:t>ŠDaJ</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90B89" w:rsidRPr="004577CC" w:rsidRDefault="00690B89" w:rsidP="00FC767B">
            <w:pPr>
              <w:jc w:val="center"/>
              <w:rPr>
                <w:rFonts w:asciiTheme="minorHAnsi" w:eastAsia="Times New Roman" w:hAnsiTheme="minorHAnsi"/>
                <w:b/>
                <w:color w:val="000000"/>
                <w:sz w:val="18"/>
                <w:szCs w:val="18"/>
                <w:lang w:eastAsia="sk-SK"/>
              </w:rPr>
            </w:pPr>
            <w:r w:rsidRPr="004577CC">
              <w:rPr>
                <w:rFonts w:asciiTheme="minorHAnsi" w:eastAsia="Times New Roman" w:hAnsiTheme="minorHAnsi"/>
                <w:b/>
                <w:color w:val="000000"/>
                <w:sz w:val="18"/>
                <w:szCs w:val="18"/>
                <w:lang w:eastAsia="sk-SK"/>
              </w:rPr>
              <w:t>RCUP</w:t>
            </w:r>
          </w:p>
        </w:tc>
        <w:tc>
          <w:tcPr>
            <w:tcW w:w="1417" w:type="dxa"/>
            <w:tcBorders>
              <w:top w:val="nil"/>
              <w:left w:val="nil"/>
              <w:bottom w:val="single" w:sz="4" w:space="0" w:color="auto"/>
              <w:right w:val="single" w:sz="4" w:space="0" w:color="auto"/>
            </w:tcBorders>
            <w:shd w:val="clear" w:color="auto" w:fill="auto"/>
            <w:noWrap/>
            <w:vAlign w:val="center"/>
            <w:hideMark/>
          </w:tcPr>
          <w:p w:rsidR="00690B89" w:rsidRPr="004577CC" w:rsidRDefault="00690B89" w:rsidP="00FC767B">
            <w:pPr>
              <w:jc w:val="left"/>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STU spolu</w:t>
            </w:r>
          </w:p>
        </w:tc>
        <w:tc>
          <w:tcPr>
            <w:tcW w:w="1701" w:type="dxa"/>
            <w:tcBorders>
              <w:top w:val="nil"/>
              <w:left w:val="nil"/>
              <w:bottom w:val="nil"/>
              <w:right w:val="nil"/>
            </w:tcBorders>
            <w:shd w:val="clear" w:color="auto" w:fill="auto"/>
            <w:noWrap/>
            <w:vAlign w:val="center"/>
            <w:hideMark/>
          </w:tcPr>
          <w:p w:rsidR="00690B89" w:rsidRPr="004577CC" w:rsidRDefault="00690B89" w:rsidP="00FC767B">
            <w:pPr>
              <w:jc w:val="center"/>
              <w:rPr>
                <w:rFonts w:asciiTheme="minorHAnsi" w:eastAsia="Times New Roman" w:hAnsiTheme="minorHAnsi"/>
                <w:color w:val="000000"/>
                <w:sz w:val="20"/>
                <w:szCs w:val="20"/>
                <w:lang w:eastAsia="sk-SK"/>
              </w:rPr>
            </w:pPr>
          </w:p>
        </w:tc>
      </w:tr>
      <w:tr w:rsidR="00690B89" w:rsidRPr="004524EB" w:rsidTr="001B4149">
        <w:trPr>
          <w:trHeight w:val="45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690B89" w:rsidP="00FC767B">
            <w:pP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 xml:space="preserve">077 11 - poskytovanie </w:t>
            </w:r>
            <w:r w:rsidRPr="00690B89">
              <w:rPr>
                <w:rFonts w:asciiTheme="minorHAnsi" w:eastAsia="Times New Roman" w:hAnsiTheme="minorHAnsi"/>
                <w:color w:val="000000"/>
                <w:sz w:val="18"/>
                <w:szCs w:val="18"/>
                <w:lang w:eastAsia="sk-SK"/>
              </w:rPr>
              <w:t xml:space="preserve">VŠ </w:t>
            </w:r>
            <w:r w:rsidRPr="004577CC">
              <w:rPr>
                <w:rFonts w:asciiTheme="minorHAnsi" w:eastAsia="Times New Roman" w:hAnsiTheme="minorHAnsi"/>
                <w:color w:val="000000"/>
                <w:sz w:val="18"/>
                <w:szCs w:val="18"/>
                <w:lang w:eastAsia="sk-SK"/>
              </w:rPr>
              <w:t>vzdelávania</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7 924 848</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4 100 448</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7 069 095</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5 635 940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2 2106 22</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5 773 068</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1 735 430</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 xml:space="preserve">744 </w:t>
            </w:r>
            <w:r w:rsidRPr="00690B89">
              <w:rPr>
                <w:rFonts w:asciiTheme="minorHAnsi" w:eastAsia="Times New Roman" w:hAnsiTheme="minorHAnsi"/>
                <w:color w:val="000000"/>
                <w:sz w:val="18"/>
                <w:szCs w:val="18"/>
                <w:lang w:eastAsia="sk-SK"/>
              </w:rPr>
              <w:t>087</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4 215 192</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39 408 730</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jc w:val="center"/>
              <w:rPr>
                <w:rFonts w:asciiTheme="minorHAnsi" w:eastAsia="Times New Roman" w:hAnsiTheme="minorHAnsi"/>
                <w:color w:val="000000"/>
                <w:sz w:val="20"/>
                <w:szCs w:val="20"/>
                <w:lang w:eastAsia="sk-SK"/>
              </w:rPr>
            </w:pPr>
          </w:p>
        </w:tc>
      </w:tr>
      <w:tr w:rsidR="00690B89" w:rsidRPr="004524EB" w:rsidTr="001B414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690B89" w:rsidP="00FC767B">
            <w:pP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077 13 - rozvoj VŠ</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80 000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1 12 929</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192 929</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987485" w:rsidP="00FC767B">
            <w:pPr>
              <w:rPr>
                <w:rFonts w:asciiTheme="minorHAnsi" w:eastAsia="Times New Roman" w:hAnsiTheme="minorHAnsi"/>
                <w:color w:val="000000"/>
                <w:sz w:val="18"/>
                <w:szCs w:val="18"/>
                <w:lang w:eastAsia="sk-SK"/>
              </w:rPr>
            </w:pPr>
            <w:r>
              <w:rPr>
                <w:rFonts w:asciiTheme="minorHAnsi" w:eastAsia="Times New Roman" w:hAnsiTheme="minorHAnsi"/>
                <w:color w:val="000000"/>
                <w:sz w:val="18"/>
                <w:szCs w:val="18"/>
                <w:lang w:eastAsia="sk-SK"/>
              </w:rPr>
              <w:t>0771201-</w:t>
            </w:r>
            <w:r w:rsidR="001B4149">
              <w:rPr>
                <w:rFonts w:asciiTheme="minorHAnsi" w:eastAsia="Times New Roman" w:hAnsiTheme="minorHAnsi"/>
                <w:color w:val="000000"/>
                <w:sz w:val="18"/>
                <w:szCs w:val="18"/>
                <w:lang w:eastAsia="sk-SK"/>
              </w:rPr>
              <w:t>inštituc</w:t>
            </w:r>
            <w:r w:rsidR="00D12F6A">
              <w:rPr>
                <w:rFonts w:asciiTheme="minorHAnsi" w:eastAsia="Times New Roman" w:hAnsiTheme="minorHAnsi"/>
                <w:color w:val="000000"/>
                <w:sz w:val="18"/>
                <w:szCs w:val="18"/>
                <w:lang w:eastAsia="sk-SK"/>
              </w:rPr>
              <w:t>ionálna</w:t>
            </w:r>
            <w:r w:rsidR="001B4149">
              <w:rPr>
                <w:rFonts w:asciiTheme="minorHAnsi" w:eastAsia="Times New Roman" w:hAnsiTheme="minorHAnsi"/>
                <w:color w:val="000000"/>
                <w:sz w:val="18"/>
                <w:szCs w:val="18"/>
                <w:lang w:eastAsia="sk-SK"/>
              </w:rPr>
              <w:t xml:space="preserve"> </w:t>
            </w:r>
            <w:r w:rsidR="00690B89" w:rsidRPr="004577CC">
              <w:rPr>
                <w:rFonts w:asciiTheme="minorHAnsi" w:eastAsia="Times New Roman" w:hAnsiTheme="minorHAnsi"/>
                <w:color w:val="000000"/>
                <w:sz w:val="18"/>
                <w:szCs w:val="18"/>
                <w:lang w:eastAsia="sk-SK"/>
              </w:rPr>
              <w:t>veda</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1 595 634</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852 962</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1 779 457</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3 110 503</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1 347 890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1 379 187,13</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284 050</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174 343</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1 350 825,87</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11 874 852</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289"/>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690B89" w:rsidP="00FC767B">
            <w:pP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077 12 05 - VEGA</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372 621</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112 886</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499 985</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526 641</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14 880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194 481</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63 567</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5 322</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8 968</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1 799 351</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B63321" w:rsidP="00FC767B">
            <w:pPr>
              <w:rPr>
                <w:rFonts w:asciiTheme="minorHAnsi" w:eastAsia="Times New Roman" w:hAnsiTheme="minorHAnsi"/>
                <w:color w:val="000000"/>
                <w:sz w:val="18"/>
                <w:szCs w:val="18"/>
                <w:lang w:eastAsia="sk-SK"/>
              </w:rPr>
            </w:pPr>
            <w:r>
              <w:rPr>
                <w:rFonts w:asciiTheme="minorHAnsi" w:eastAsia="Times New Roman" w:hAnsiTheme="minorHAnsi"/>
                <w:color w:val="000000"/>
                <w:sz w:val="18"/>
                <w:szCs w:val="18"/>
                <w:lang w:eastAsia="sk-SK"/>
              </w:rPr>
              <w:t>077</w:t>
            </w:r>
            <w:r w:rsidR="00DE6876">
              <w:rPr>
                <w:rFonts w:asciiTheme="minorHAnsi" w:eastAsia="Times New Roman" w:hAnsiTheme="minorHAnsi"/>
                <w:color w:val="000000"/>
                <w:sz w:val="18"/>
                <w:szCs w:val="18"/>
                <w:lang w:eastAsia="sk-SK"/>
              </w:rPr>
              <w:t xml:space="preserve"> </w:t>
            </w:r>
            <w:r>
              <w:rPr>
                <w:rFonts w:asciiTheme="minorHAnsi" w:eastAsia="Times New Roman" w:hAnsiTheme="minorHAnsi"/>
                <w:color w:val="000000"/>
                <w:sz w:val="18"/>
                <w:szCs w:val="18"/>
                <w:lang w:eastAsia="sk-SK"/>
              </w:rPr>
              <w:t>12</w:t>
            </w:r>
            <w:r w:rsidR="00DE6876">
              <w:rPr>
                <w:rFonts w:asciiTheme="minorHAnsi" w:eastAsia="Times New Roman" w:hAnsiTheme="minorHAnsi"/>
                <w:color w:val="000000"/>
                <w:sz w:val="18"/>
                <w:szCs w:val="18"/>
                <w:lang w:eastAsia="sk-SK"/>
              </w:rPr>
              <w:t xml:space="preserve"> </w:t>
            </w:r>
            <w:r>
              <w:rPr>
                <w:rFonts w:asciiTheme="minorHAnsi" w:eastAsia="Times New Roman" w:hAnsiTheme="minorHAnsi"/>
                <w:color w:val="000000"/>
                <w:sz w:val="18"/>
                <w:szCs w:val="18"/>
                <w:lang w:eastAsia="sk-SK"/>
              </w:rPr>
              <w:t>03</w:t>
            </w:r>
            <w:r w:rsidR="00DE6876">
              <w:rPr>
                <w:rFonts w:asciiTheme="minorHAnsi" w:eastAsia="Times New Roman" w:hAnsiTheme="minorHAnsi"/>
                <w:color w:val="000000"/>
                <w:sz w:val="18"/>
                <w:szCs w:val="18"/>
                <w:lang w:eastAsia="sk-SK"/>
              </w:rPr>
              <w:t xml:space="preserve"> - aplikovaný </w:t>
            </w:r>
            <w:r w:rsidR="00690B89" w:rsidRPr="004577CC">
              <w:rPr>
                <w:rFonts w:asciiTheme="minorHAnsi" w:eastAsia="Times New Roman" w:hAnsiTheme="minorHAnsi"/>
                <w:color w:val="000000"/>
                <w:sz w:val="18"/>
                <w:szCs w:val="18"/>
                <w:lang w:eastAsia="sk-SK"/>
              </w:rPr>
              <w:t>výskum</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DD6297" w:rsidP="00690B89">
            <w:pPr>
              <w:jc w:val="center"/>
              <w:rPr>
                <w:rFonts w:asciiTheme="minorHAnsi" w:eastAsia="Times New Roman" w:hAnsiTheme="minorHAnsi"/>
                <w:color w:val="000000"/>
                <w:sz w:val="18"/>
                <w:szCs w:val="18"/>
                <w:lang w:eastAsia="sk-SK"/>
              </w:rPr>
            </w:pPr>
            <w:r>
              <w:rPr>
                <w:rFonts w:asciiTheme="minorHAnsi" w:eastAsia="Times New Roman" w:hAnsiTheme="minorHAnsi"/>
                <w:color w:val="000000"/>
                <w:sz w:val="18"/>
                <w:szCs w:val="18"/>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DD6297" w:rsidP="00690B89">
            <w:pPr>
              <w:jc w:val="center"/>
              <w:rPr>
                <w:rFonts w:asciiTheme="minorHAnsi" w:eastAsia="Times New Roman" w:hAnsiTheme="minorHAnsi"/>
                <w:color w:val="000000"/>
                <w:sz w:val="18"/>
                <w:szCs w:val="18"/>
                <w:lang w:eastAsia="sk-SK"/>
              </w:rPr>
            </w:pPr>
            <w:r>
              <w:rPr>
                <w:rFonts w:asciiTheme="minorHAnsi" w:eastAsia="Times New Roman" w:hAnsiTheme="minorHAnsi"/>
                <w:color w:val="000000"/>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DD6297" w:rsidP="00690B89">
            <w:pPr>
              <w:jc w:val="center"/>
              <w:rPr>
                <w:rFonts w:asciiTheme="minorHAnsi" w:eastAsia="Times New Roman" w:hAnsiTheme="minorHAnsi"/>
                <w:color w:val="000000"/>
                <w:sz w:val="18"/>
                <w:szCs w:val="18"/>
                <w:lang w:eastAsia="sk-SK"/>
              </w:rPr>
            </w:pPr>
            <w:r>
              <w:rPr>
                <w:rFonts w:asciiTheme="minorHAnsi" w:eastAsia="Times New Roman" w:hAnsiTheme="minorHAnsi"/>
                <w:color w:val="000000"/>
                <w:sz w:val="18"/>
                <w:szCs w:val="18"/>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0</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289"/>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690B89" w:rsidP="00FC767B">
            <w:pP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077 12 04 - MTVS</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DD6297" w:rsidP="00690B89">
            <w:pPr>
              <w:jc w:val="center"/>
              <w:rPr>
                <w:rFonts w:asciiTheme="minorHAnsi" w:eastAsia="Times New Roman" w:hAnsiTheme="minorHAnsi"/>
                <w:color w:val="000000"/>
                <w:sz w:val="18"/>
                <w:szCs w:val="18"/>
                <w:lang w:eastAsia="sk-SK"/>
              </w:rPr>
            </w:pPr>
            <w:r>
              <w:rPr>
                <w:rFonts w:asciiTheme="minorHAnsi" w:eastAsia="Times New Roman" w:hAnsiTheme="minorHAnsi"/>
                <w:color w:val="000000"/>
                <w:sz w:val="18"/>
                <w:szCs w:val="18"/>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DD6297" w:rsidP="00690B89">
            <w:pPr>
              <w:jc w:val="center"/>
              <w:rPr>
                <w:rFonts w:asciiTheme="minorHAnsi" w:eastAsia="Times New Roman" w:hAnsiTheme="minorHAnsi"/>
                <w:color w:val="000000"/>
                <w:sz w:val="18"/>
                <w:szCs w:val="18"/>
                <w:lang w:eastAsia="sk-SK"/>
              </w:rPr>
            </w:pPr>
            <w:r>
              <w:rPr>
                <w:rFonts w:asciiTheme="minorHAnsi" w:eastAsia="Times New Roman" w:hAnsiTheme="minorHAnsi"/>
                <w:color w:val="000000"/>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DD6297" w:rsidP="00690B89">
            <w:pPr>
              <w:jc w:val="center"/>
              <w:rPr>
                <w:rFonts w:asciiTheme="minorHAnsi" w:eastAsia="Times New Roman" w:hAnsiTheme="minorHAnsi"/>
                <w:color w:val="000000"/>
                <w:sz w:val="18"/>
                <w:szCs w:val="18"/>
                <w:lang w:eastAsia="sk-SK"/>
              </w:rPr>
            </w:pPr>
            <w:r>
              <w:rPr>
                <w:rFonts w:asciiTheme="minorHAnsi" w:eastAsia="Times New Roman" w:hAnsiTheme="minorHAnsi"/>
                <w:color w:val="000000"/>
                <w:sz w:val="18"/>
                <w:szCs w:val="18"/>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0</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289"/>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690B89" w:rsidP="00FC767B">
            <w:pP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077 12 05 - KEGA</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32 343</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111 086</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3 224</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23 759</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39 341</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16 844</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226 597</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690B89" w:rsidP="00FC767B">
            <w:pP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077 13 - rozvoj VŠ</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0,00</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0</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28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690B89" w:rsidP="00FC767B">
            <w:pP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 xml:space="preserve">077 15 – </w:t>
            </w:r>
            <w:proofErr w:type="spellStart"/>
            <w:r w:rsidRPr="00690B89">
              <w:rPr>
                <w:rFonts w:asciiTheme="minorHAnsi" w:eastAsia="Times New Roman" w:hAnsiTheme="minorHAnsi"/>
                <w:color w:val="000000"/>
                <w:sz w:val="18"/>
                <w:szCs w:val="18"/>
                <w:lang w:eastAsia="sk-SK"/>
              </w:rPr>
              <w:t>sociál</w:t>
            </w:r>
            <w:proofErr w:type="spellEnd"/>
            <w:r w:rsidRPr="00690B89">
              <w:rPr>
                <w:rFonts w:asciiTheme="minorHAnsi" w:eastAsia="Times New Roman" w:hAnsiTheme="minorHAnsi"/>
                <w:color w:val="000000"/>
                <w:sz w:val="18"/>
                <w:szCs w:val="18"/>
                <w:lang w:eastAsia="sk-SK"/>
              </w:rPr>
              <w:t xml:space="preserve">. </w:t>
            </w:r>
            <w:r w:rsidRPr="004577CC">
              <w:rPr>
                <w:rFonts w:asciiTheme="minorHAnsi" w:eastAsia="Times New Roman" w:hAnsiTheme="minorHAnsi"/>
                <w:color w:val="000000"/>
                <w:sz w:val="18"/>
                <w:szCs w:val="18"/>
                <w:lang w:eastAsia="sk-SK"/>
              </w:rPr>
              <w:t xml:space="preserve">podpora </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604 516</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226 424</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668 324</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744 441</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208 792</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1 084 261</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386 347</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20 687</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2 486 560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181 973</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6 612 325</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690B89" w:rsidP="00FC767B">
            <w:pP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 xml:space="preserve">z toho: sociálne </w:t>
            </w:r>
            <w:proofErr w:type="spellStart"/>
            <w:r w:rsidRPr="00690B89">
              <w:rPr>
                <w:rFonts w:asciiTheme="minorHAnsi" w:eastAsia="Times New Roman" w:hAnsiTheme="minorHAnsi"/>
                <w:color w:val="000000"/>
                <w:sz w:val="18"/>
                <w:szCs w:val="18"/>
                <w:lang w:eastAsia="sk-SK"/>
              </w:rPr>
              <w:t>štipend</w:t>
            </w:r>
            <w:proofErr w:type="spellEnd"/>
            <w:r w:rsidRPr="00690B89">
              <w:rPr>
                <w:rFonts w:asciiTheme="minorHAnsi" w:eastAsia="Times New Roman" w:hAnsiTheme="minorHAnsi"/>
                <w:color w:val="000000"/>
                <w:sz w:val="18"/>
                <w:szCs w:val="18"/>
                <w:lang w:eastAsia="sk-SK"/>
              </w:rPr>
              <w:t>.</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402 863</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54 071</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262 358</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361 586</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168 961</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158 537</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140 334</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14 059</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1 562 769</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690B89" w:rsidP="00FC767B">
            <w:pPr>
              <w:jc w:val="left"/>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motivačné štipendiá</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 xml:space="preserve">201 </w:t>
            </w:r>
            <w:r w:rsidRPr="00690B89">
              <w:rPr>
                <w:rFonts w:asciiTheme="minorHAnsi" w:eastAsia="Times New Roman" w:hAnsiTheme="minorHAnsi"/>
                <w:color w:val="000000"/>
                <w:sz w:val="18"/>
                <w:szCs w:val="18"/>
                <w:lang w:eastAsia="sk-SK"/>
              </w:rPr>
              <w:t>653</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167 488</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402 106</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382 855</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39 831</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384 892</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246 013</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6 628</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14 583</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1 846 049</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34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690B89" w:rsidP="00FC767B">
            <w:pP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strava, ubytovanie</w:t>
            </w:r>
            <w:r w:rsidRPr="004577CC">
              <w:rPr>
                <w:rFonts w:asciiTheme="minorHAnsi" w:eastAsia="Times New Roman" w:hAnsiTheme="minorHAnsi"/>
                <w:color w:val="000000"/>
                <w:sz w:val="18"/>
                <w:szCs w:val="18"/>
                <w:lang w:eastAsia="sk-SK"/>
              </w:rPr>
              <w:t>, šport</w:t>
            </w:r>
            <w:r w:rsidRPr="00690B89">
              <w:rPr>
                <w:rFonts w:asciiTheme="minorHAnsi" w:eastAsia="Times New Roman" w:hAnsiTheme="minorHAnsi"/>
                <w:color w:val="000000"/>
                <w:sz w:val="18"/>
                <w:szCs w:val="18"/>
                <w:lang w:eastAsia="sk-SK"/>
              </w:rPr>
              <w:t>, kultúra</w:t>
            </w:r>
            <w:r w:rsidRPr="004577CC">
              <w:rPr>
                <w:rFonts w:asciiTheme="minorHAnsi" w:eastAsia="Times New Roman" w:hAnsiTheme="minorHAnsi"/>
                <w:color w:val="000000"/>
                <w:sz w:val="18"/>
                <w:szCs w:val="18"/>
                <w:lang w:eastAsia="sk-SK"/>
              </w:rPr>
              <w:t xml:space="preserve"> </w:t>
            </w:r>
            <w:r w:rsidRPr="00690B89">
              <w:rPr>
                <w:rFonts w:asciiTheme="minorHAnsi" w:eastAsia="Times New Roman" w:hAnsiTheme="minorHAnsi"/>
                <w:color w:val="000000"/>
                <w:sz w:val="18"/>
                <w:szCs w:val="18"/>
                <w:lang w:eastAsia="sk-SK"/>
              </w:rPr>
              <w:t>študentov</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4 865</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3 860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 xml:space="preserve">579 </w:t>
            </w:r>
            <w:r w:rsidRPr="00690B89">
              <w:rPr>
                <w:rFonts w:asciiTheme="minorHAnsi" w:eastAsia="Times New Roman" w:hAnsiTheme="minorHAnsi"/>
                <w:color w:val="000000"/>
                <w:sz w:val="18"/>
                <w:szCs w:val="18"/>
                <w:lang w:eastAsia="sk-SK"/>
              </w:rPr>
              <w:t>805</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2 486 560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167 390</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3 242 480</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289"/>
        </w:trPr>
        <w:tc>
          <w:tcPr>
            <w:tcW w:w="2127" w:type="dxa"/>
            <w:tcBorders>
              <w:top w:val="nil"/>
              <w:left w:val="single" w:sz="4" w:space="0" w:color="auto"/>
              <w:bottom w:val="single" w:sz="4" w:space="0" w:color="auto"/>
              <w:right w:val="single" w:sz="4" w:space="0" w:color="auto"/>
            </w:tcBorders>
            <w:shd w:val="clear" w:color="000000" w:fill="FFFF00"/>
            <w:vAlign w:val="bottom"/>
            <w:hideMark/>
          </w:tcPr>
          <w:p w:rsidR="00690B89" w:rsidRPr="004577CC" w:rsidRDefault="00690B89" w:rsidP="00FC767B">
            <w:pPr>
              <w:jc w:val="left"/>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na 077 spolu</w:t>
            </w:r>
          </w:p>
        </w:tc>
        <w:tc>
          <w:tcPr>
            <w:tcW w:w="1067" w:type="dxa"/>
            <w:tcBorders>
              <w:top w:val="nil"/>
              <w:left w:val="nil"/>
              <w:bottom w:val="single" w:sz="4" w:space="0" w:color="auto"/>
              <w:right w:val="single" w:sz="4" w:space="0" w:color="auto"/>
            </w:tcBorders>
            <w:shd w:val="clear" w:color="000000" w:fill="FFFF00"/>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10 497 619</w:t>
            </w:r>
          </w:p>
        </w:tc>
        <w:tc>
          <w:tcPr>
            <w:tcW w:w="1275" w:type="dxa"/>
            <w:tcBorders>
              <w:top w:val="nil"/>
              <w:left w:val="nil"/>
              <w:bottom w:val="single" w:sz="4" w:space="0" w:color="auto"/>
              <w:right w:val="single" w:sz="4" w:space="0" w:color="auto"/>
            </w:tcBorders>
            <w:shd w:val="clear" w:color="000000" w:fill="FFFF00"/>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5</w:t>
            </w:r>
            <w:r w:rsidR="00DD6297">
              <w:rPr>
                <w:rFonts w:asciiTheme="minorHAnsi" w:eastAsia="Times New Roman" w:hAnsiTheme="minorHAnsi"/>
                <w:b/>
                <w:bCs/>
                <w:color w:val="000000"/>
                <w:sz w:val="18"/>
                <w:szCs w:val="18"/>
                <w:lang w:eastAsia="sk-SK"/>
              </w:rPr>
              <w:t> </w:t>
            </w:r>
            <w:r w:rsidRPr="00690B89">
              <w:rPr>
                <w:rFonts w:asciiTheme="minorHAnsi" w:eastAsia="Times New Roman" w:hAnsiTheme="minorHAnsi"/>
                <w:b/>
                <w:bCs/>
                <w:color w:val="000000"/>
                <w:sz w:val="18"/>
                <w:szCs w:val="18"/>
                <w:lang w:eastAsia="sk-SK"/>
              </w:rPr>
              <w:t>325</w:t>
            </w:r>
            <w:r w:rsidR="00DD6297">
              <w:rPr>
                <w:rFonts w:asciiTheme="minorHAnsi" w:eastAsia="Times New Roman" w:hAnsiTheme="minorHAnsi"/>
                <w:b/>
                <w:bCs/>
                <w:color w:val="000000"/>
                <w:sz w:val="18"/>
                <w:szCs w:val="18"/>
                <w:lang w:eastAsia="sk-SK"/>
              </w:rPr>
              <w:t xml:space="preserve"> </w:t>
            </w:r>
            <w:r w:rsidRPr="00690B89">
              <w:rPr>
                <w:rFonts w:asciiTheme="minorHAnsi" w:eastAsia="Times New Roman" w:hAnsiTheme="minorHAnsi"/>
                <w:b/>
                <w:bCs/>
                <w:color w:val="000000"/>
                <w:sz w:val="18"/>
                <w:szCs w:val="18"/>
                <w:lang w:eastAsia="sk-SK"/>
              </w:rPr>
              <w:t>063</w:t>
            </w:r>
          </w:p>
        </w:tc>
        <w:tc>
          <w:tcPr>
            <w:tcW w:w="1276" w:type="dxa"/>
            <w:tcBorders>
              <w:top w:val="nil"/>
              <w:left w:val="nil"/>
              <w:bottom w:val="single" w:sz="4" w:space="0" w:color="auto"/>
              <w:right w:val="single" w:sz="4" w:space="0" w:color="auto"/>
            </w:tcBorders>
            <w:shd w:val="clear" w:color="000000" w:fill="FFFF00"/>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10 207 947</w:t>
            </w:r>
          </w:p>
        </w:tc>
        <w:tc>
          <w:tcPr>
            <w:tcW w:w="1276" w:type="dxa"/>
            <w:tcBorders>
              <w:top w:val="nil"/>
              <w:left w:val="nil"/>
              <w:bottom w:val="single" w:sz="4" w:space="0" w:color="auto"/>
              <w:right w:val="single" w:sz="4" w:space="0" w:color="auto"/>
            </w:tcBorders>
            <w:shd w:val="clear" w:color="000000" w:fill="FFFF00"/>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10 020 749</w:t>
            </w:r>
          </w:p>
        </w:tc>
        <w:tc>
          <w:tcPr>
            <w:tcW w:w="992" w:type="dxa"/>
            <w:tcBorders>
              <w:top w:val="nil"/>
              <w:left w:val="nil"/>
              <w:bottom w:val="single" w:sz="4" w:space="0" w:color="auto"/>
              <w:right w:val="single" w:sz="4" w:space="0" w:color="auto"/>
            </w:tcBorders>
            <w:shd w:val="clear" w:color="000000" w:fill="FFFF00"/>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3 918 872</w:t>
            </w:r>
          </w:p>
        </w:tc>
        <w:tc>
          <w:tcPr>
            <w:tcW w:w="1418" w:type="dxa"/>
            <w:tcBorders>
              <w:top w:val="nil"/>
              <w:left w:val="nil"/>
              <w:bottom w:val="single" w:sz="4" w:space="0" w:color="auto"/>
              <w:right w:val="single" w:sz="4" w:space="0" w:color="auto"/>
            </w:tcBorders>
            <w:shd w:val="clear" w:color="000000" w:fill="FFFF00"/>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8 470 338,13</w:t>
            </w:r>
          </w:p>
        </w:tc>
        <w:tc>
          <w:tcPr>
            <w:tcW w:w="1134" w:type="dxa"/>
            <w:tcBorders>
              <w:top w:val="nil"/>
              <w:left w:val="nil"/>
              <w:bottom w:val="single" w:sz="4" w:space="0" w:color="auto"/>
              <w:right w:val="single" w:sz="4" w:space="0" w:color="auto"/>
            </w:tcBorders>
            <w:shd w:val="clear" w:color="000000" w:fill="FFFF00"/>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2 486 238</w:t>
            </w:r>
          </w:p>
        </w:tc>
        <w:tc>
          <w:tcPr>
            <w:tcW w:w="917" w:type="dxa"/>
            <w:tcBorders>
              <w:top w:val="nil"/>
              <w:left w:val="nil"/>
              <w:bottom w:val="single" w:sz="4" w:space="0" w:color="auto"/>
              <w:right w:val="single" w:sz="4" w:space="0" w:color="auto"/>
            </w:tcBorders>
            <w:shd w:val="clear" w:color="000000" w:fill="FFFF00"/>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944 439</w:t>
            </w:r>
          </w:p>
        </w:tc>
        <w:tc>
          <w:tcPr>
            <w:tcW w:w="992" w:type="dxa"/>
            <w:tcBorders>
              <w:top w:val="nil"/>
              <w:left w:val="nil"/>
              <w:bottom w:val="single" w:sz="4" w:space="0" w:color="auto"/>
              <w:right w:val="single" w:sz="4" w:space="0" w:color="auto"/>
            </w:tcBorders>
            <w:shd w:val="clear" w:color="000000" w:fill="FFFF00"/>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2 486 560</w:t>
            </w:r>
          </w:p>
        </w:tc>
        <w:tc>
          <w:tcPr>
            <w:tcW w:w="1418" w:type="dxa"/>
            <w:tcBorders>
              <w:top w:val="nil"/>
              <w:left w:val="nil"/>
              <w:bottom w:val="single" w:sz="4" w:space="0" w:color="auto"/>
              <w:right w:val="single" w:sz="4" w:space="0" w:color="auto"/>
            </w:tcBorders>
            <w:shd w:val="clear" w:color="000000" w:fill="FFFF00"/>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5 756 958,87</w:t>
            </w:r>
          </w:p>
        </w:tc>
        <w:tc>
          <w:tcPr>
            <w:tcW w:w="1417" w:type="dxa"/>
            <w:tcBorders>
              <w:top w:val="nil"/>
              <w:left w:val="nil"/>
              <w:bottom w:val="single" w:sz="4" w:space="0" w:color="auto"/>
              <w:right w:val="single" w:sz="4" w:space="0" w:color="auto"/>
            </w:tcBorders>
            <w:shd w:val="clear" w:color="000000" w:fill="FFFF00"/>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60 114 784</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b/>
                <w:bCs/>
                <w:color w:val="000000"/>
                <w:sz w:val="20"/>
                <w:szCs w:val="20"/>
                <w:lang w:eastAsia="sk-SK"/>
              </w:rPr>
            </w:pPr>
          </w:p>
        </w:tc>
      </w:tr>
      <w:tr w:rsidR="00690B89" w:rsidRPr="004524EB" w:rsidTr="001B4149">
        <w:trPr>
          <w:trHeight w:val="45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690B89" w:rsidP="00FC767B">
            <w:pP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06K 11 - úlohy výskumu a vývoja APVV</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435 411</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286 640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894 612,50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1 035 711</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125 500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257 179,50</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3 900</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3 038 954</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45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987485" w:rsidRDefault="00690B89" w:rsidP="00B63321">
            <w:pPr>
              <w:rPr>
                <w:rFonts w:asciiTheme="minorHAnsi" w:eastAsia="Times New Roman" w:hAnsiTheme="minorHAnsi"/>
                <w:color w:val="000000"/>
                <w:sz w:val="18"/>
                <w:szCs w:val="18"/>
                <w:lang w:eastAsia="sk-SK"/>
              </w:rPr>
            </w:pPr>
            <w:r w:rsidRPr="00987485">
              <w:rPr>
                <w:rFonts w:asciiTheme="minorHAnsi" w:eastAsia="Times New Roman" w:hAnsiTheme="minorHAnsi"/>
                <w:color w:val="000000"/>
                <w:sz w:val="18"/>
                <w:szCs w:val="18"/>
                <w:lang w:eastAsia="sk-SK"/>
              </w:rPr>
              <w:t>06</w:t>
            </w:r>
            <w:r w:rsidR="00987485" w:rsidRPr="00987485">
              <w:rPr>
                <w:rFonts w:asciiTheme="minorHAnsi" w:eastAsia="Times New Roman" w:hAnsiTheme="minorHAnsi"/>
                <w:color w:val="000000"/>
                <w:sz w:val="18"/>
                <w:szCs w:val="18"/>
                <w:lang w:eastAsia="sk-SK"/>
              </w:rPr>
              <w:t>K12-</w:t>
            </w:r>
            <w:r w:rsidR="00987485">
              <w:rPr>
                <w:rFonts w:asciiTheme="minorHAnsi" w:eastAsia="Times New Roman" w:hAnsiTheme="minorHAnsi"/>
                <w:color w:val="000000"/>
                <w:sz w:val="18"/>
                <w:szCs w:val="18"/>
                <w:lang w:eastAsia="sk-SK"/>
              </w:rPr>
              <w:t xml:space="preserve"> </w:t>
            </w:r>
            <w:r w:rsidR="00987485" w:rsidRPr="00987485">
              <w:rPr>
                <w:rFonts w:asciiTheme="minorHAnsi" w:eastAsia="Times New Roman" w:hAnsiTheme="minorHAnsi"/>
                <w:color w:val="000000"/>
                <w:sz w:val="18"/>
                <w:szCs w:val="18"/>
                <w:lang w:eastAsia="sk-SK"/>
              </w:rPr>
              <w:t>koordinácia</w:t>
            </w:r>
            <w:r w:rsidRPr="00987485">
              <w:rPr>
                <w:rFonts w:asciiTheme="minorHAnsi" w:eastAsia="Times New Roman" w:hAnsiTheme="minorHAnsi"/>
                <w:color w:val="000000"/>
                <w:sz w:val="18"/>
                <w:szCs w:val="18"/>
                <w:lang w:eastAsia="sk-SK"/>
              </w:rPr>
              <w:t xml:space="preserve"> akti</w:t>
            </w:r>
            <w:r w:rsidR="00987485" w:rsidRPr="00987485">
              <w:rPr>
                <w:rFonts w:asciiTheme="minorHAnsi" w:eastAsia="Times New Roman" w:hAnsiTheme="minorHAnsi"/>
                <w:color w:val="000000"/>
                <w:sz w:val="18"/>
                <w:szCs w:val="18"/>
                <w:lang w:eastAsia="sk-SK"/>
              </w:rPr>
              <w:t>vít št. ved</w:t>
            </w:r>
            <w:r w:rsidR="00B63321">
              <w:rPr>
                <w:rFonts w:asciiTheme="minorHAnsi" w:eastAsia="Times New Roman" w:hAnsiTheme="minorHAnsi"/>
                <w:color w:val="000000"/>
                <w:sz w:val="18"/>
                <w:szCs w:val="18"/>
                <w:lang w:eastAsia="sk-SK"/>
              </w:rPr>
              <w:t xml:space="preserve">nej </w:t>
            </w:r>
            <w:r w:rsidRPr="00987485">
              <w:rPr>
                <w:rFonts w:asciiTheme="minorHAnsi" w:eastAsia="Times New Roman" w:hAnsiTheme="minorHAnsi"/>
                <w:color w:val="000000"/>
                <w:sz w:val="18"/>
                <w:szCs w:val="18"/>
                <w:lang w:eastAsia="sk-SK"/>
              </w:rPr>
              <w:t> </w:t>
            </w:r>
            <w:proofErr w:type="spellStart"/>
            <w:r w:rsidRPr="00987485">
              <w:rPr>
                <w:rFonts w:asciiTheme="minorHAnsi" w:eastAsia="Times New Roman" w:hAnsiTheme="minorHAnsi"/>
                <w:color w:val="000000"/>
                <w:sz w:val="18"/>
                <w:szCs w:val="18"/>
                <w:lang w:eastAsia="sk-SK"/>
              </w:rPr>
              <w:t>tech</w:t>
            </w:r>
            <w:proofErr w:type="spellEnd"/>
            <w:r w:rsidRPr="00987485">
              <w:rPr>
                <w:rFonts w:asciiTheme="minorHAnsi" w:eastAsia="Times New Roman" w:hAnsiTheme="minorHAnsi"/>
                <w:color w:val="000000"/>
                <w:sz w:val="18"/>
                <w:szCs w:val="18"/>
                <w:lang w:eastAsia="sk-SK"/>
              </w:rPr>
              <w:t>. politiky</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355 800</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355 800</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300"/>
        </w:trPr>
        <w:tc>
          <w:tcPr>
            <w:tcW w:w="2127" w:type="dxa"/>
            <w:tcBorders>
              <w:top w:val="nil"/>
              <w:left w:val="single" w:sz="4" w:space="0" w:color="auto"/>
              <w:bottom w:val="single" w:sz="4" w:space="0" w:color="auto"/>
              <w:right w:val="single" w:sz="4" w:space="0" w:color="auto"/>
            </w:tcBorders>
            <w:shd w:val="clear" w:color="000000" w:fill="76933C"/>
            <w:vAlign w:val="bottom"/>
            <w:hideMark/>
          </w:tcPr>
          <w:p w:rsidR="00690B89" w:rsidRPr="004577CC" w:rsidRDefault="00690B89" w:rsidP="00CD65D6">
            <w:pPr>
              <w:jc w:val="left"/>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štrukturálne fondy</w:t>
            </w:r>
            <w:r w:rsidR="00CD65D6">
              <w:rPr>
                <w:rFonts w:asciiTheme="minorHAnsi" w:eastAsia="Times New Roman" w:hAnsiTheme="minorHAnsi"/>
                <w:b/>
                <w:bCs/>
                <w:color w:val="000000"/>
                <w:sz w:val="18"/>
                <w:szCs w:val="18"/>
                <w:lang w:eastAsia="sk-SK"/>
              </w:rPr>
              <w:t xml:space="preserve"> </w:t>
            </w:r>
          </w:p>
        </w:tc>
        <w:tc>
          <w:tcPr>
            <w:tcW w:w="1067" w:type="dxa"/>
            <w:tcBorders>
              <w:top w:val="nil"/>
              <w:left w:val="nil"/>
              <w:bottom w:val="single" w:sz="4" w:space="0" w:color="auto"/>
              <w:right w:val="single" w:sz="4" w:space="0" w:color="auto"/>
            </w:tcBorders>
            <w:shd w:val="clear" w:color="000000" w:fill="76933C"/>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102 662,19</w:t>
            </w:r>
          </w:p>
        </w:tc>
        <w:tc>
          <w:tcPr>
            <w:tcW w:w="1275" w:type="dxa"/>
            <w:tcBorders>
              <w:top w:val="nil"/>
              <w:left w:val="nil"/>
              <w:bottom w:val="single" w:sz="4" w:space="0" w:color="auto"/>
              <w:right w:val="single" w:sz="4" w:space="0" w:color="auto"/>
            </w:tcBorders>
            <w:shd w:val="clear" w:color="000000" w:fill="76933C"/>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1 635 851,70</w:t>
            </w:r>
          </w:p>
        </w:tc>
        <w:tc>
          <w:tcPr>
            <w:tcW w:w="1276" w:type="dxa"/>
            <w:tcBorders>
              <w:top w:val="nil"/>
              <w:left w:val="nil"/>
              <w:bottom w:val="single" w:sz="4" w:space="0" w:color="auto"/>
              <w:right w:val="single" w:sz="4" w:space="0" w:color="auto"/>
            </w:tcBorders>
            <w:shd w:val="clear" w:color="000000" w:fill="76933C"/>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3 645 455,87</w:t>
            </w:r>
          </w:p>
        </w:tc>
        <w:tc>
          <w:tcPr>
            <w:tcW w:w="1276" w:type="dxa"/>
            <w:tcBorders>
              <w:top w:val="nil"/>
              <w:left w:val="nil"/>
              <w:bottom w:val="single" w:sz="4" w:space="0" w:color="auto"/>
              <w:right w:val="single" w:sz="4" w:space="0" w:color="auto"/>
            </w:tcBorders>
            <w:shd w:val="clear" w:color="000000" w:fill="76933C"/>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4 487 371,38</w:t>
            </w:r>
          </w:p>
        </w:tc>
        <w:tc>
          <w:tcPr>
            <w:tcW w:w="992" w:type="dxa"/>
            <w:tcBorders>
              <w:top w:val="nil"/>
              <w:left w:val="nil"/>
              <w:bottom w:val="single" w:sz="4" w:space="0" w:color="auto"/>
              <w:right w:val="single" w:sz="4" w:space="0" w:color="auto"/>
            </w:tcBorders>
            <w:shd w:val="clear" w:color="000000" w:fill="76933C"/>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0</w:t>
            </w:r>
          </w:p>
        </w:tc>
        <w:tc>
          <w:tcPr>
            <w:tcW w:w="1418" w:type="dxa"/>
            <w:tcBorders>
              <w:top w:val="nil"/>
              <w:left w:val="nil"/>
              <w:bottom w:val="single" w:sz="4" w:space="0" w:color="auto"/>
              <w:right w:val="single" w:sz="4" w:space="0" w:color="auto"/>
            </w:tcBorders>
            <w:shd w:val="clear" w:color="000000" w:fill="76933C"/>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33 370 445,78</w:t>
            </w:r>
          </w:p>
        </w:tc>
        <w:tc>
          <w:tcPr>
            <w:tcW w:w="1134" w:type="dxa"/>
            <w:tcBorders>
              <w:top w:val="nil"/>
              <w:left w:val="nil"/>
              <w:bottom w:val="single" w:sz="4" w:space="0" w:color="auto"/>
              <w:right w:val="single" w:sz="4" w:space="0" w:color="auto"/>
            </w:tcBorders>
            <w:shd w:val="clear" w:color="000000" w:fill="76933C"/>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448 560,50</w:t>
            </w:r>
          </w:p>
        </w:tc>
        <w:tc>
          <w:tcPr>
            <w:tcW w:w="917" w:type="dxa"/>
            <w:tcBorders>
              <w:top w:val="nil"/>
              <w:left w:val="nil"/>
              <w:bottom w:val="single" w:sz="4" w:space="0" w:color="auto"/>
              <w:right w:val="single" w:sz="4" w:space="0" w:color="auto"/>
            </w:tcBorders>
            <w:shd w:val="clear" w:color="000000" w:fill="76933C"/>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0</w:t>
            </w:r>
          </w:p>
        </w:tc>
        <w:tc>
          <w:tcPr>
            <w:tcW w:w="992" w:type="dxa"/>
            <w:tcBorders>
              <w:top w:val="nil"/>
              <w:left w:val="nil"/>
              <w:bottom w:val="single" w:sz="4" w:space="0" w:color="auto"/>
              <w:right w:val="single" w:sz="4" w:space="0" w:color="auto"/>
            </w:tcBorders>
            <w:shd w:val="clear" w:color="000000" w:fill="76933C"/>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0</w:t>
            </w:r>
          </w:p>
        </w:tc>
        <w:tc>
          <w:tcPr>
            <w:tcW w:w="1418" w:type="dxa"/>
            <w:tcBorders>
              <w:top w:val="nil"/>
              <w:left w:val="nil"/>
              <w:bottom w:val="single" w:sz="4" w:space="0" w:color="auto"/>
              <w:right w:val="single" w:sz="4" w:space="0" w:color="auto"/>
            </w:tcBorders>
            <w:shd w:val="clear" w:color="000000" w:fill="76933C"/>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35 678 526,09</w:t>
            </w:r>
          </w:p>
        </w:tc>
        <w:tc>
          <w:tcPr>
            <w:tcW w:w="1417" w:type="dxa"/>
            <w:tcBorders>
              <w:top w:val="nil"/>
              <w:left w:val="nil"/>
              <w:bottom w:val="single" w:sz="4" w:space="0" w:color="auto"/>
              <w:right w:val="single" w:sz="4" w:space="0" w:color="auto"/>
            </w:tcBorders>
            <w:shd w:val="clear" w:color="000000" w:fill="76933C"/>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79 368 873,51</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b/>
                <w:bCs/>
                <w:color w:val="000000"/>
                <w:sz w:val="20"/>
                <w:szCs w:val="20"/>
                <w:lang w:eastAsia="sk-SK"/>
              </w:rPr>
            </w:pPr>
          </w:p>
        </w:tc>
      </w:tr>
      <w:tr w:rsidR="00690B89" w:rsidRPr="004524EB" w:rsidTr="001B4149">
        <w:trPr>
          <w:trHeight w:val="300"/>
        </w:trPr>
        <w:tc>
          <w:tcPr>
            <w:tcW w:w="2127" w:type="dxa"/>
            <w:tcBorders>
              <w:top w:val="nil"/>
              <w:left w:val="single" w:sz="4" w:space="0" w:color="auto"/>
              <w:bottom w:val="single" w:sz="4" w:space="0" w:color="auto"/>
              <w:right w:val="single" w:sz="4" w:space="0" w:color="auto"/>
            </w:tcBorders>
            <w:shd w:val="clear" w:color="000000" w:fill="D8E4BC"/>
            <w:vAlign w:val="bottom"/>
            <w:hideMark/>
          </w:tcPr>
          <w:p w:rsidR="00690B89" w:rsidRPr="004577CC" w:rsidRDefault="00690B89" w:rsidP="00FC767B">
            <w:pP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z toho: bežná dotácia</w:t>
            </w:r>
          </w:p>
        </w:tc>
        <w:tc>
          <w:tcPr>
            <w:tcW w:w="1067" w:type="dxa"/>
            <w:tcBorders>
              <w:top w:val="nil"/>
              <w:left w:val="nil"/>
              <w:bottom w:val="single" w:sz="4" w:space="0" w:color="auto"/>
              <w:right w:val="single" w:sz="4" w:space="0" w:color="auto"/>
            </w:tcBorders>
            <w:shd w:val="clear" w:color="000000" w:fill="D8E4BC"/>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102 662,19</w:t>
            </w:r>
          </w:p>
        </w:tc>
        <w:tc>
          <w:tcPr>
            <w:tcW w:w="1275" w:type="dxa"/>
            <w:tcBorders>
              <w:top w:val="nil"/>
              <w:left w:val="nil"/>
              <w:bottom w:val="single" w:sz="4" w:space="0" w:color="auto"/>
              <w:right w:val="single" w:sz="4" w:space="0" w:color="auto"/>
            </w:tcBorders>
            <w:shd w:val="clear" w:color="000000" w:fill="D8E4BC"/>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381 196,02</w:t>
            </w:r>
          </w:p>
        </w:tc>
        <w:tc>
          <w:tcPr>
            <w:tcW w:w="1276" w:type="dxa"/>
            <w:tcBorders>
              <w:top w:val="nil"/>
              <w:left w:val="nil"/>
              <w:bottom w:val="single" w:sz="4" w:space="0" w:color="auto"/>
              <w:right w:val="single" w:sz="4" w:space="0" w:color="auto"/>
            </w:tcBorders>
            <w:shd w:val="clear" w:color="000000" w:fill="D8E4BC"/>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1 044 843,72</w:t>
            </w:r>
          </w:p>
        </w:tc>
        <w:tc>
          <w:tcPr>
            <w:tcW w:w="1276" w:type="dxa"/>
            <w:tcBorders>
              <w:top w:val="nil"/>
              <w:left w:val="nil"/>
              <w:bottom w:val="single" w:sz="4" w:space="0" w:color="auto"/>
              <w:right w:val="single" w:sz="4" w:space="0" w:color="auto"/>
            </w:tcBorders>
            <w:shd w:val="clear" w:color="000000" w:fill="D8E4BC"/>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246 642,88</w:t>
            </w:r>
          </w:p>
        </w:tc>
        <w:tc>
          <w:tcPr>
            <w:tcW w:w="992" w:type="dxa"/>
            <w:tcBorders>
              <w:top w:val="nil"/>
              <w:left w:val="nil"/>
              <w:bottom w:val="single" w:sz="4" w:space="0" w:color="auto"/>
              <w:right w:val="single" w:sz="4" w:space="0" w:color="auto"/>
            </w:tcBorders>
            <w:shd w:val="clear" w:color="000000" w:fill="D8E4BC"/>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0,00</w:t>
            </w:r>
          </w:p>
        </w:tc>
        <w:tc>
          <w:tcPr>
            <w:tcW w:w="1418" w:type="dxa"/>
            <w:tcBorders>
              <w:top w:val="nil"/>
              <w:left w:val="nil"/>
              <w:bottom w:val="single" w:sz="4" w:space="0" w:color="auto"/>
              <w:right w:val="single" w:sz="4" w:space="0" w:color="auto"/>
            </w:tcBorders>
            <w:shd w:val="clear" w:color="000000" w:fill="D8E4BC"/>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2 750 053,93</w:t>
            </w:r>
          </w:p>
        </w:tc>
        <w:tc>
          <w:tcPr>
            <w:tcW w:w="1134" w:type="dxa"/>
            <w:tcBorders>
              <w:top w:val="nil"/>
              <w:left w:val="nil"/>
              <w:bottom w:val="single" w:sz="4" w:space="0" w:color="auto"/>
              <w:right w:val="single" w:sz="4" w:space="0" w:color="auto"/>
            </w:tcBorders>
            <w:shd w:val="clear" w:color="000000" w:fill="D8E4BC"/>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425 820,50</w:t>
            </w:r>
          </w:p>
        </w:tc>
        <w:tc>
          <w:tcPr>
            <w:tcW w:w="917" w:type="dxa"/>
            <w:tcBorders>
              <w:top w:val="nil"/>
              <w:left w:val="nil"/>
              <w:bottom w:val="single" w:sz="4" w:space="0" w:color="auto"/>
              <w:right w:val="single" w:sz="4" w:space="0" w:color="auto"/>
            </w:tcBorders>
            <w:shd w:val="clear" w:color="000000" w:fill="D8E4BC"/>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000000" w:fill="D8E4BC"/>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000000" w:fill="D8E4BC"/>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2 211 295,83</w:t>
            </w:r>
          </w:p>
        </w:tc>
        <w:tc>
          <w:tcPr>
            <w:tcW w:w="1417" w:type="dxa"/>
            <w:tcBorders>
              <w:top w:val="nil"/>
              <w:left w:val="nil"/>
              <w:bottom w:val="single" w:sz="4" w:space="0" w:color="auto"/>
              <w:right w:val="single" w:sz="4" w:space="0" w:color="auto"/>
            </w:tcBorders>
            <w:shd w:val="clear" w:color="000000" w:fill="D8E4BC"/>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7 162 515,07</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690B89" w:rsidRPr="004524EB" w:rsidTr="001B4149">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90B89" w:rsidRPr="004577CC" w:rsidRDefault="00690B89" w:rsidP="00FC767B">
            <w:pP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*z toho: mzdy a odvody</w:t>
            </w:r>
          </w:p>
        </w:tc>
        <w:tc>
          <w:tcPr>
            <w:tcW w:w="106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57 969</w:t>
            </w:r>
          </w:p>
        </w:tc>
        <w:tc>
          <w:tcPr>
            <w:tcW w:w="1275"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86 826</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685 247</w:t>
            </w:r>
          </w:p>
        </w:tc>
        <w:tc>
          <w:tcPr>
            <w:tcW w:w="1276"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0,00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212 519</w:t>
            </w:r>
          </w:p>
        </w:tc>
        <w:tc>
          <w:tcPr>
            <w:tcW w:w="1134"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243 278</w:t>
            </w:r>
          </w:p>
        </w:tc>
        <w:tc>
          <w:tcPr>
            <w:tcW w:w="9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255 423</w:t>
            </w:r>
          </w:p>
        </w:tc>
        <w:tc>
          <w:tcPr>
            <w:tcW w:w="1417" w:type="dxa"/>
            <w:tcBorders>
              <w:top w:val="nil"/>
              <w:left w:val="nil"/>
              <w:bottom w:val="single" w:sz="4" w:space="0" w:color="auto"/>
              <w:right w:val="single" w:sz="4" w:space="0" w:color="auto"/>
            </w:tcBorders>
            <w:shd w:val="clear" w:color="auto" w:fill="auto"/>
            <w:noWrap/>
            <w:vAlign w:val="bottom"/>
            <w:hideMark/>
          </w:tcPr>
          <w:p w:rsidR="00690B89" w:rsidRPr="004577CC" w:rsidRDefault="00690B89" w:rsidP="00690B89">
            <w:pPr>
              <w:jc w:val="center"/>
              <w:rPr>
                <w:rFonts w:asciiTheme="minorHAnsi" w:eastAsia="Times New Roman" w:hAnsiTheme="minorHAnsi"/>
                <w:b/>
                <w:bCs/>
                <w:color w:val="000000"/>
                <w:sz w:val="18"/>
                <w:szCs w:val="18"/>
                <w:lang w:eastAsia="sk-SK"/>
              </w:rPr>
            </w:pPr>
            <w:r w:rsidRPr="00690B89">
              <w:rPr>
                <w:rFonts w:asciiTheme="minorHAnsi" w:eastAsia="Times New Roman" w:hAnsiTheme="minorHAnsi"/>
                <w:b/>
                <w:bCs/>
                <w:color w:val="000000"/>
                <w:sz w:val="18"/>
                <w:szCs w:val="18"/>
                <w:lang w:eastAsia="sk-SK"/>
              </w:rPr>
              <w:t>1 541 262</w:t>
            </w:r>
          </w:p>
        </w:tc>
        <w:tc>
          <w:tcPr>
            <w:tcW w:w="1701" w:type="dxa"/>
            <w:tcBorders>
              <w:top w:val="nil"/>
              <w:left w:val="nil"/>
              <w:bottom w:val="nil"/>
              <w:right w:val="nil"/>
            </w:tcBorders>
            <w:shd w:val="clear" w:color="auto" w:fill="auto"/>
            <w:noWrap/>
            <w:vAlign w:val="bottom"/>
            <w:hideMark/>
          </w:tcPr>
          <w:p w:rsidR="00690B89" w:rsidRPr="004577CC" w:rsidRDefault="00690B89" w:rsidP="00FC767B">
            <w:pPr>
              <w:rPr>
                <w:rFonts w:asciiTheme="minorHAnsi" w:eastAsia="Times New Roman" w:hAnsiTheme="minorHAnsi"/>
                <w:color w:val="000000"/>
                <w:sz w:val="20"/>
                <w:szCs w:val="20"/>
                <w:lang w:eastAsia="sk-SK"/>
              </w:rPr>
            </w:pPr>
          </w:p>
        </w:tc>
      </w:tr>
      <w:tr w:rsidR="00987485" w:rsidRPr="004524EB" w:rsidTr="001B4149">
        <w:trPr>
          <w:trHeight w:val="300"/>
        </w:trPr>
        <w:tc>
          <w:tcPr>
            <w:tcW w:w="2127" w:type="dxa"/>
            <w:tcBorders>
              <w:top w:val="nil"/>
              <w:left w:val="single" w:sz="4" w:space="0" w:color="auto"/>
              <w:bottom w:val="single" w:sz="4" w:space="0" w:color="auto"/>
              <w:right w:val="single" w:sz="4" w:space="0" w:color="auto"/>
            </w:tcBorders>
            <w:shd w:val="clear" w:color="000000" w:fill="D8E4BC"/>
            <w:vAlign w:val="bottom"/>
          </w:tcPr>
          <w:p w:rsidR="00987485" w:rsidRPr="00690B89" w:rsidRDefault="00987485" w:rsidP="00FC767B">
            <w:pP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 xml:space="preserve">z toho: kapitál. </w:t>
            </w:r>
            <w:r w:rsidRPr="004577CC">
              <w:rPr>
                <w:rFonts w:asciiTheme="minorHAnsi" w:eastAsia="Times New Roman" w:hAnsiTheme="minorHAnsi"/>
                <w:color w:val="000000"/>
                <w:sz w:val="18"/>
                <w:szCs w:val="18"/>
                <w:lang w:eastAsia="sk-SK"/>
              </w:rPr>
              <w:t>dotácia</w:t>
            </w:r>
          </w:p>
        </w:tc>
        <w:tc>
          <w:tcPr>
            <w:tcW w:w="1067" w:type="dxa"/>
            <w:tcBorders>
              <w:top w:val="nil"/>
              <w:left w:val="nil"/>
              <w:bottom w:val="single" w:sz="4" w:space="0" w:color="auto"/>
              <w:right w:val="single" w:sz="4" w:space="0" w:color="auto"/>
            </w:tcBorders>
            <w:shd w:val="clear" w:color="000000" w:fill="D8E4BC"/>
            <w:noWrap/>
            <w:vAlign w:val="bottom"/>
          </w:tcPr>
          <w:p w:rsidR="00987485" w:rsidRPr="00690B89" w:rsidRDefault="00987485"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0</w:t>
            </w:r>
          </w:p>
        </w:tc>
        <w:tc>
          <w:tcPr>
            <w:tcW w:w="1275" w:type="dxa"/>
            <w:tcBorders>
              <w:top w:val="nil"/>
              <w:left w:val="nil"/>
              <w:bottom w:val="single" w:sz="4" w:space="0" w:color="auto"/>
              <w:right w:val="single" w:sz="4" w:space="0" w:color="auto"/>
            </w:tcBorders>
            <w:shd w:val="clear" w:color="000000" w:fill="D8E4BC"/>
            <w:noWrap/>
            <w:vAlign w:val="bottom"/>
          </w:tcPr>
          <w:p w:rsidR="00987485" w:rsidRPr="004577CC" w:rsidRDefault="00987485"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1 254 655,68</w:t>
            </w:r>
          </w:p>
        </w:tc>
        <w:tc>
          <w:tcPr>
            <w:tcW w:w="1276" w:type="dxa"/>
            <w:tcBorders>
              <w:top w:val="nil"/>
              <w:left w:val="nil"/>
              <w:bottom w:val="single" w:sz="4" w:space="0" w:color="auto"/>
              <w:right w:val="single" w:sz="4" w:space="0" w:color="auto"/>
            </w:tcBorders>
            <w:shd w:val="clear" w:color="000000" w:fill="D8E4BC"/>
            <w:noWrap/>
            <w:vAlign w:val="bottom"/>
          </w:tcPr>
          <w:p w:rsidR="00987485" w:rsidRPr="004577CC" w:rsidRDefault="00987485"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2 600 612,15</w:t>
            </w:r>
          </w:p>
        </w:tc>
        <w:tc>
          <w:tcPr>
            <w:tcW w:w="1276" w:type="dxa"/>
            <w:tcBorders>
              <w:top w:val="nil"/>
              <w:left w:val="nil"/>
              <w:bottom w:val="single" w:sz="4" w:space="0" w:color="auto"/>
              <w:right w:val="single" w:sz="4" w:space="0" w:color="auto"/>
            </w:tcBorders>
            <w:shd w:val="clear" w:color="000000" w:fill="D8E4BC"/>
            <w:noWrap/>
            <w:vAlign w:val="bottom"/>
          </w:tcPr>
          <w:p w:rsidR="00987485" w:rsidRPr="004577CC" w:rsidRDefault="00987485"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4 240 728,50</w:t>
            </w:r>
          </w:p>
        </w:tc>
        <w:tc>
          <w:tcPr>
            <w:tcW w:w="992" w:type="dxa"/>
            <w:tcBorders>
              <w:top w:val="nil"/>
              <w:left w:val="nil"/>
              <w:bottom w:val="single" w:sz="4" w:space="0" w:color="auto"/>
              <w:right w:val="single" w:sz="4" w:space="0" w:color="auto"/>
            </w:tcBorders>
            <w:shd w:val="clear" w:color="000000" w:fill="D8E4BC"/>
            <w:noWrap/>
            <w:vAlign w:val="bottom"/>
          </w:tcPr>
          <w:p w:rsidR="00987485" w:rsidRPr="00690B89" w:rsidRDefault="00987485" w:rsidP="00690B89">
            <w:pPr>
              <w:jc w:val="center"/>
              <w:rPr>
                <w:rFonts w:asciiTheme="minorHAnsi" w:eastAsia="Times New Roman" w:hAnsiTheme="minorHAnsi"/>
                <w:color w:val="000000"/>
                <w:sz w:val="18"/>
                <w:szCs w:val="18"/>
                <w:lang w:eastAsia="sk-SK"/>
              </w:rPr>
            </w:pPr>
            <w:r>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000000" w:fill="D8E4BC"/>
            <w:noWrap/>
            <w:vAlign w:val="bottom"/>
          </w:tcPr>
          <w:p w:rsidR="00987485" w:rsidRPr="004577CC" w:rsidRDefault="00987485"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30 620 391,85</w:t>
            </w:r>
          </w:p>
        </w:tc>
        <w:tc>
          <w:tcPr>
            <w:tcW w:w="1134" w:type="dxa"/>
            <w:tcBorders>
              <w:top w:val="nil"/>
              <w:left w:val="nil"/>
              <w:bottom w:val="single" w:sz="4" w:space="0" w:color="auto"/>
              <w:right w:val="single" w:sz="4" w:space="0" w:color="auto"/>
            </w:tcBorders>
            <w:shd w:val="clear" w:color="000000" w:fill="D8E4BC"/>
            <w:noWrap/>
            <w:vAlign w:val="bottom"/>
          </w:tcPr>
          <w:p w:rsidR="00987485" w:rsidRPr="00690B89" w:rsidRDefault="00987485" w:rsidP="00690B89">
            <w:pPr>
              <w:jc w:val="center"/>
              <w:rPr>
                <w:rFonts w:asciiTheme="minorHAnsi" w:eastAsia="Times New Roman" w:hAnsiTheme="minorHAnsi"/>
                <w:color w:val="000000"/>
                <w:sz w:val="18"/>
                <w:szCs w:val="18"/>
                <w:lang w:eastAsia="sk-SK"/>
              </w:rPr>
            </w:pPr>
            <w:r w:rsidRPr="00690B89">
              <w:rPr>
                <w:rFonts w:asciiTheme="minorHAnsi" w:eastAsia="Times New Roman" w:hAnsiTheme="minorHAnsi"/>
                <w:color w:val="000000"/>
                <w:sz w:val="18"/>
                <w:szCs w:val="18"/>
                <w:lang w:eastAsia="sk-SK"/>
              </w:rPr>
              <w:t>22 740</w:t>
            </w:r>
          </w:p>
        </w:tc>
        <w:tc>
          <w:tcPr>
            <w:tcW w:w="917" w:type="dxa"/>
            <w:tcBorders>
              <w:top w:val="nil"/>
              <w:left w:val="nil"/>
              <w:bottom w:val="single" w:sz="4" w:space="0" w:color="auto"/>
              <w:right w:val="single" w:sz="4" w:space="0" w:color="auto"/>
            </w:tcBorders>
            <w:shd w:val="clear" w:color="000000" w:fill="D8E4BC"/>
            <w:noWrap/>
            <w:vAlign w:val="bottom"/>
          </w:tcPr>
          <w:p w:rsidR="00987485" w:rsidRPr="00690B89" w:rsidRDefault="00987485" w:rsidP="00690B89">
            <w:pPr>
              <w:jc w:val="center"/>
              <w:rPr>
                <w:rFonts w:asciiTheme="minorHAnsi" w:eastAsia="Times New Roman" w:hAnsiTheme="minorHAnsi"/>
                <w:color w:val="000000"/>
                <w:sz w:val="18"/>
                <w:szCs w:val="18"/>
                <w:lang w:eastAsia="sk-SK"/>
              </w:rPr>
            </w:pPr>
            <w:r>
              <w:rPr>
                <w:rFonts w:asciiTheme="minorHAnsi" w:eastAsia="Times New Roman" w:hAnsiTheme="minorHAnsi"/>
                <w:color w:val="000000"/>
                <w:sz w:val="18"/>
                <w:szCs w:val="18"/>
                <w:lang w:eastAsia="sk-SK"/>
              </w:rPr>
              <w:t>0</w:t>
            </w:r>
          </w:p>
        </w:tc>
        <w:tc>
          <w:tcPr>
            <w:tcW w:w="992" w:type="dxa"/>
            <w:tcBorders>
              <w:top w:val="nil"/>
              <w:left w:val="nil"/>
              <w:bottom w:val="single" w:sz="4" w:space="0" w:color="auto"/>
              <w:right w:val="single" w:sz="4" w:space="0" w:color="auto"/>
            </w:tcBorders>
            <w:shd w:val="clear" w:color="000000" w:fill="D8E4BC"/>
            <w:noWrap/>
            <w:vAlign w:val="bottom"/>
          </w:tcPr>
          <w:p w:rsidR="00987485" w:rsidRPr="00690B89" w:rsidRDefault="00987485" w:rsidP="00690B89">
            <w:pPr>
              <w:jc w:val="center"/>
              <w:rPr>
                <w:rFonts w:asciiTheme="minorHAnsi" w:eastAsia="Times New Roman" w:hAnsiTheme="minorHAnsi"/>
                <w:color w:val="000000"/>
                <w:sz w:val="18"/>
                <w:szCs w:val="18"/>
                <w:lang w:eastAsia="sk-SK"/>
              </w:rPr>
            </w:pPr>
            <w:r>
              <w:rPr>
                <w:rFonts w:asciiTheme="minorHAnsi" w:eastAsia="Times New Roman" w:hAnsiTheme="minorHAnsi"/>
                <w:color w:val="000000"/>
                <w:sz w:val="18"/>
                <w:szCs w:val="18"/>
                <w:lang w:eastAsia="sk-SK"/>
              </w:rPr>
              <w:t>0</w:t>
            </w:r>
          </w:p>
        </w:tc>
        <w:tc>
          <w:tcPr>
            <w:tcW w:w="1418" w:type="dxa"/>
            <w:tcBorders>
              <w:top w:val="nil"/>
              <w:left w:val="nil"/>
              <w:bottom w:val="single" w:sz="4" w:space="0" w:color="auto"/>
              <w:right w:val="single" w:sz="4" w:space="0" w:color="auto"/>
            </w:tcBorders>
            <w:shd w:val="clear" w:color="000000" w:fill="D8E4BC"/>
            <w:noWrap/>
            <w:vAlign w:val="bottom"/>
          </w:tcPr>
          <w:p w:rsidR="00987485" w:rsidRPr="004577CC" w:rsidRDefault="00987485" w:rsidP="00690B89">
            <w:pPr>
              <w:jc w:val="center"/>
              <w:rPr>
                <w:rFonts w:asciiTheme="minorHAnsi" w:eastAsia="Times New Roman" w:hAnsiTheme="minorHAnsi"/>
                <w:color w:val="000000"/>
                <w:sz w:val="18"/>
                <w:szCs w:val="18"/>
                <w:lang w:eastAsia="sk-SK"/>
              </w:rPr>
            </w:pPr>
            <w:r w:rsidRPr="004577CC">
              <w:rPr>
                <w:rFonts w:asciiTheme="minorHAnsi" w:eastAsia="Times New Roman" w:hAnsiTheme="minorHAnsi"/>
                <w:color w:val="000000"/>
                <w:sz w:val="18"/>
                <w:szCs w:val="18"/>
                <w:lang w:eastAsia="sk-SK"/>
              </w:rPr>
              <w:t>33 467 230,26</w:t>
            </w:r>
          </w:p>
        </w:tc>
        <w:tc>
          <w:tcPr>
            <w:tcW w:w="1417" w:type="dxa"/>
            <w:tcBorders>
              <w:top w:val="nil"/>
              <w:left w:val="nil"/>
              <w:bottom w:val="single" w:sz="4" w:space="0" w:color="auto"/>
              <w:right w:val="single" w:sz="4" w:space="0" w:color="auto"/>
            </w:tcBorders>
            <w:shd w:val="clear" w:color="000000" w:fill="D8E4BC"/>
            <w:noWrap/>
            <w:vAlign w:val="bottom"/>
          </w:tcPr>
          <w:p w:rsidR="00987485" w:rsidRPr="004577CC" w:rsidRDefault="00987485" w:rsidP="00FC767B">
            <w:pPr>
              <w:jc w:val="center"/>
              <w:rPr>
                <w:rFonts w:asciiTheme="minorHAnsi" w:eastAsia="Times New Roman" w:hAnsiTheme="minorHAnsi"/>
                <w:b/>
                <w:bCs/>
                <w:color w:val="000000"/>
                <w:sz w:val="18"/>
                <w:szCs w:val="18"/>
                <w:lang w:eastAsia="sk-SK"/>
              </w:rPr>
            </w:pPr>
            <w:r w:rsidRPr="004577CC">
              <w:rPr>
                <w:rFonts w:asciiTheme="minorHAnsi" w:eastAsia="Times New Roman" w:hAnsiTheme="minorHAnsi"/>
                <w:b/>
                <w:bCs/>
                <w:color w:val="000000"/>
                <w:sz w:val="18"/>
                <w:szCs w:val="18"/>
                <w:lang w:eastAsia="sk-SK"/>
              </w:rPr>
              <w:t>72 206 358,44</w:t>
            </w:r>
          </w:p>
        </w:tc>
        <w:tc>
          <w:tcPr>
            <w:tcW w:w="1701" w:type="dxa"/>
            <w:tcBorders>
              <w:top w:val="nil"/>
              <w:left w:val="nil"/>
              <w:bottom w:val="nil"/>
              <w:right w:val="nil"/>
            </w:tcBorders>
            <w:shd w:val="clear" w:color="auto" w:fill="auto"/>
            <w:noWrap/>
            <w:vAlign w:val="bottom"/>
          </w:tcPr>
          <w:p w:rsidR="00987485" w:rsidRPr="004577CC" w:rsidRDefault="00987485" w:rsidP="00FC767B">
            <w:pPr>
              <w:rPr>
                <w:rFonts w:asciiTheme="minorHAnsi" w:eastAsia="Times New Roman" w:hAnsiTheme="minorHAnsi"/>
                <w:color w:val="000000"/>
                <w:sz w:val="20"/>
                <w:szCs w:val="20"/>
                <w:lang w:eastAsia="sk-SK"/>
              </w:rPr>
            </w:pPr>
          </w:p>
        </w:tc>
      </w:tr>
      <w:tr w:rsidR="00C45987" w:rsidRPr="004524EB" w:rsidTr="001B4149">
        <w:trPr>
          <w:trHeight w:val="160"/>
        </w:trPr>
        <w:tc>
          <w:tcPr>
            <w:tcW w:w="2127" w:type="dxa"/>
            <w:tcBorders>
              <w:top w:val="nil"/>
              <w:left w:val="single" w:sz="4" w:space="0" w:color="auto"/>
              <w:bottom w:val="single" w:sz="4" w:space="0" w:color="auto"/>
              <w:right w:val="single" w:sz="4" w:space="0" w:color="auto"/>
            </w:tcBorders>
            <w:shd w:val="clear" w:color="000000" w:fill="D8E4BC"/>
            <w:vAlign w:val="bottom"/>
          </w:tcPr>
          <w:p w:rsidR="00C45987" w:rsidRPr="00EF3D7C" w:rsidRDefault="00C45987" w:rsidP="00FC767B">
            <w:pP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 xml:space="preserve">Zahraničné výskumné </w:t>
            </w:r>
          </w:p>
        </w:tc>
        <w:tc>
          <w:tcPr>
            <w:tcW w:w="1067" w:type="dxa"/>
            <w:tcBorders>
              <w:top w:val="nil"/>
              <w:left w:val="nil"/>
              <w:bottom w:val="single" w:sz="4" w:space="0" w:color="auto"/>
              <w:right w:val="single" w:sz="4" w:space="0" w:color="auto"/>
            </w:tcBorders>
            <w:shd w:val="clear" w:color="000000" w:fill="D8E4BC"/>
            <w:noWrap/>
            <w:vAlign w:val="bottom"/>
          </w:tcPr>
          <w:p w:rsidR="00C45987" w:rsidRPr="008A78F3" w:rsidRDefault="00C45987" w:rsidP="00690B89">
            <w:pPr>
              <w:jc w:val="center"/>
              <w:rPr>
                <w:rFonts w:asciiTheme="minorHAnsi" w:eastAsia="Times New Roman" w:hAnsiTheme="minorHAnsi"/>
                <w:b/>
                <w:sz w:val="18"/>
                <w:szCs w:val="18"/>
                <w:lang w:eastAsia="sk-SK"/>
              </w:rPr>
            </w:pPr>
            <w:r w:rsidRPr="00C45987">
              <w:rPr>
                <w:rFonts w:asciiTheme="minorHAnsi" w:eastAsia="Times New Roman" w:hAnsiTheme="minorHAnsi"/>
                <w:b/>
                <w:sz w:val="18"/>
                <w:szCs w:val="18"/>
                <w:lang w:eastAsia="sk-SK"/>
              </w:rPr>
              <w:t>151</w:t>
            </w:r>
            <w:r>
              <w:rPr>
                <w:rFonts w:asciiTheme="minorHAnsi" w:eastAsia="Times New Roman" w:hAnsiTheme="minorHAnsi"/>
                <w:b/>
                <w:sz w:val="18"/>
                <w:szCs w:val="18"/>
                <w:lang w:eastAsia="sk-SK"/>
              </w:rPr>
              <w:t xml:space="preserve"> </w:t>
            </w:r>
            <w:r w:rsidRPr="00C45987">
              <w:rPr>
                <w:rFonts w:asciiTheme="minorHAnsi" w:eastAsia="Times New Roman" w:hAnsiTheme="minorHAnsi"/>
                <w:b/>
                <w:sz w:val="18"/>
                <w:szCs w:val="18"/>
                <w:lang w:eastAsia="sk-SK"/>
              </w:rPr>
              <w:t>848,33</w:t>
            </w:r>
          </w:p>
        </w:tc>
        <w:tc>
          <w:tcPr>
            <w:tcW w:w="1275" w:type="dxa"/>
            <w:tcBorders>
              <w:top w:val="nil"/>
              <w:left w:val="nil"/>
              <w:bottom w:val="single" w:sz="4" w:space="0" w:color="auto"/>
              <w:right w:val="single" w:sz="4" w:space="0" w:color="auto"/>
            </w:tcBorders>
            <w:shd w:val="clear" w:color="000000" w:fill="D8E4BC"/>
            <w:noWrap/>
            <w:vAlign w:val="bottom"/>
          </w:tcPr>
          <w:p w:rsidR="00C45987" w:rsidRDefault="00C45987" w:rsidP="00690B89">
            <w:pPr>
              <w:jc w:val="center"/>
              <w:rPr>
                <w:rFonts w:asciiTheme="minorHAnsi" w:eastAsia="Times New Roman" w:hAnsiTheme="minorHAnsi"/>
                <w:b/>
                <w:sz w:val="18"/>
                <w:szCs w:val="18"/>
                <w:lang w:eastAsia="sk-SK"/>
              </w:rPr>
            </w:pPr>
            <w:r w:rsidRPr="00C45987">
              <w:rPr>
                <w:rFonts w:asciiTheme="minorHAnsi" w:eastAsia="Times New Roman" w:hAnsiTheme="minorHAnsi"/>
                <w:b/>
                <w:sz w:val="18"/>
                <w:szCs w:val="18"/>
                <w:lang w:eastAsia="sk-SK"/>
              </w:rPr>
              <w:t>58</w:t>
            </w:r>
            <w:r>
              <w:rPr>
                <w:rFonts w:asciiTheme="minorHAnsi" w:eastAsia="Times New Roman" w:hAnsiTheme="minorHAnsi"/>
                <w:b/>
                <w:sz w:val="18"/>
                <w:szCs w:val="18"/>
                <w:lang w:eastAsia="sk-SK"/>
              </w:rPr>
              <w:t xml:space="preserve"> </w:t>
            </w:r>
            <w:r w:rsidRPr="00C45987">
              <w:rPr>
                <w:rFonts w:asciiTheme="minorHAnsi" w:eastAsia="Times New Roman" w:hAnsiTheme="minorHAnsi"/>
                <w:b/>
                <w:sz w:val="18"/>
                <w:szCs w:val="18"/>
                <w:lang w:eastAsia="sk-SK"/>
              </w:rPr>
              <w:t>480,72</w:t>
            </w:r>
          </w:p>
        </w:tc>
        <w:tc>
          <w:tcPr>
            <w:tcW w:w="1276" w:type="dxa"/>
            <w:tcBorders>
              <w:top w:val="nil"/>
              <w:left w:val="nil"/>
              <w:bottom w:val="single" w:sz="4" w:space="0" w:color="auto"/>
              <w:right w:val="single" w:sz="4" w:space="0" w:color="auto"/>
            </w:tcBorders>
            <w:shd w:val="clear" w:color="000000" w:fill="D8E4BC"/>
            <w:noWrap/>
            <w:vAlign w:val="bottom"/>
          </w:tcPr>
          <w:p w:rsidR="00C45987" w:rsidRDefault="00C45987" w:rsidP="00690B89">
            <w:pPr>
              <w:jc w:val="center"/>
              <w:rPr>
                <w:rFonts w:asciiTheme="minorHAnsi" w:eastAsia="Times New Roman" w:hAnsiTheme="minorHAnsi"/>
                <w:b/>
                <w:sz w:val="18"/>
                <w:szCs w:val="18"/>
                <w:lang w:eastAsia="sk-SK"/>
              </w:rPr>
            </w:pPr>
            <w:r w:rsidRPr="00C45987">
              <w:rPr>
                <w:rFonts w:asciiTheme="minorHAnsi" w:eastAsia="Times New Roman" w:hAnsiTheme="minorHAnsi"/>
                <w:b/>
                <w:sz w:val="18"/>
                <w:szCs w:val="18"/>
                <w:lang w:eastAsia="sk-SK"/>
              </w:rPr>
              <w:t>768</w:t>
            </w:r>
            <w:r>
              <w:rPr>
                <w:rFonts w:asciiTheme="minorHAnsi" w:eastAsia="Times New Roman" w:hAnsiTheme="minorHAnsi"/>
                <w:b/>
                <w:sz w:val="18"/>
                <w:szCs w:val="18"/>
                <w:lang w:eastAsia="sk-SK"/>
              </w:rPr>
              <w:t xml:space="preserve"> </w:t>
            </w:r>
            <w:r w:rsidRPr="00C45987">
              <w:rPr>
                <w:rFonts w:asciiTheme="minorHAnsi" w:eastAsia="Times New Roman" w:hAnsiTheme="minorHAnsi"/>
                <w:b/>
                <w:sz w:val="18"/>
                <w:szCs w:val="18"/>
                <w:lang w:eastAsia="sk-SK"/>
              </w:rPr>
              <w:t>260,47</w:t>
            </w:r>
          </w:p>
        </w:tc>
        <w:tc>
          <w:tcPr>
            <w:tcW w:w="1276" w:type="dxa"/>
            <w:tcBorders>
              <w:top w:val="nil"/>
              <w:left w:val="nil"/>
              <w:bottom w:val="single" w:sz="4" w:space="0" w:color="auto"/>
              <w:right w:val="single" w:sz="4" w:space="0" w:color="auto"/>
            </w:tcBorders>
            <w:shd w:val="clear" w:color="000000" w:fill="D8E4BC"/>
            <w:noWrap/>
            <w:vAlign w:val="bottom"/>
          </w:tcPr>
          <w:p w:rsidR="00C45987" w:rsidRDefault="00C45987" w:rsidP="00690B89">
            <w:pPr>
              <w:jc w:val="center"/>
              <w:rPr>
                <w:rFonts w:asciiTheme="minorHAnsi" w:eastAsia="Times New Roman" w:hAnsiTheme="minorHAnsi"/>
                <w:b/>
                <w:sz w:val="18"/>
                <w:szCs w:val="18"/>
                <w:lang w:eastAsia="sk-SK"/>
              </w:rPr>
            </w:pPr>
            <w:r w:rsidRPr="00C45987">
              <w:rPr>
                <w:rFonts w:asciiTheme="minorHAnsi" w:eastAsia="Times New Roman" w:hAnsiTheme="minorHAnsi"/>
                <w:b/>
                <w:sz w:val="18"/>
                <w:szCs w:val="18"/>
                <w:lang w:eastAsia="sk-SK"/>
              </w:rPr>
              <w:t>524</w:t>
            </w:r>
            <w:r>
              <w:rPr>
                <w:rFonts w:asciiTheme="minorHAnsi" w:eastAsia="Times New Roman" w:hAnsiTheme="minorHAnsi"/>
                <w:b/>
                <w:sz w:val="18"/>
                <w:szCs w:val="18"/>
                <w:lang w:eastAsia="sk-SK"/>
              </w:rPr>
              <w:t xml:space="preserve"> </w:t>
            </w:r>
            <w:r w:rsidRPr="00C45987">
              <w:rPr>
                <w:rFonts w:asciiTheme="minorHAnsi" w:eastAsia="Times New Roman" w:hAnsiTheme="minorHAnsi"/>
                <w:b/>
                <w:sz w:val="18"/>
                <w:szCs w:val="18"/>
                <w:lang w:eastAsia="sk-SK"/>
              </w:rPr>
              <w:t>823,88</w:t>
            </w:r>
          </w:p>
        </w:tc>
        <w:tc>
          <w:tcPr>
            <w:tcW w:w="992" w:type="dxa"/>
            <w:tcBorders>
              <w:top w:val="nil"/>
              <w:left w:val="nil"/>
              <w:bottom w:val="single" w:sz="4" w:space="0" w:color="auto"/>
              <w:right w:val="single" w:sz="4" w:space="0" w:color="auto"/>
            </w:tcBorders>
            <w:shd w:val="clear" w:color="000000" w:fill="D8E4BC"/>
            <w:noWrap/>
            <w:vAlign w:val="bottom"/>
          </w:tcPr>
          <w:p w:rsidR="00C45987" w:rsidRDefault="00C45987" w:rsidP="00264E30">
            <w:pPr>
              <w:jc w:val="center"/>
              <w:rPr>
                <w:rFonts w:asciiTheme="minorHAnsi" w:eastAsia="Times New Roman" w:hAnsiTheme="minorHAnsi"/>
                <w:b/>
                <w:sz w:val="18"/>
                <w:szCs w:val="18"/>
                <w:lang w:eastAsia="sk-SK"/>
              </w:rPr>
            </w:pPr>
            <w:r w:rsidRPr="00C45987">
              <w:rPr>
                <w:rFonts w:asciiTheme="minorHAnsi" w:eastAsia="Times New Roman" w:hAnsiTheme="minorHAnsi"/>
                <w:b/>
                <w:sz w:val="18"/>
                <w:szCs w:val="18"/>
                <w:lang w:eastAsia="sk-SK"/>
              </w:rPr>
              <w:t>174</w:t>
            </w:r>
            <w:r>
              <w:rPr>
                <w:rFonts w:asciiTheme="minorHAnsi" w:eastAsia="Times New Roman" w:hAnsiTheme="minorHAnsi"/>
                <w:b/>
                <w:sz w:val="18"/>
                <w:szCs w:val="18"/>
                <w:lang w:eastAsia="sk-SK"/>
              </w:rPr>
              <w:t xml:space="preserve"> </w:t>
            </w:r>
            <w:r w:rsidRPr="00C45987">
              <w:rPr>
                <w:rFonts w:asciiTheme="minorHAnsi" w:eastAsia="Times New Roman" w:hAnsiTheme="minorHAnsi"/>
                <w:b/>
                <w:sz w:val="18"/>
                <w:szCs w:val="18"/>
                <w:lang w:eastAsia="sk-SK"/>
              </w:rPr>
              <w:t>926,38</w:t>
            </w:r>
          </w:p>
        </w:tc>
        <w:tc>
          <w:tcPr>
            <w:tcW w:w="1418" w:type="dxa"/>
            <w:tcBorders>
              <w:top w:val="nil"/>
              <w:left w:val="nil"/>
              <w:bottom w:val="single" w:sz="4" w:space="0" w:color="auto"/>
              <w:right w:val="single" w:sz="4" w:space="0" w:color="auto"/>
            </w:tcBorders>
            <w:shd w:val="clear" w:color="000000" w:fill="D8E4BC"/>
            <w:noWrap/>
            <w:vAlign w:val="bottom"/>
          </w:tcPr>
          <w:p w:rsidR="00C45987" w:rsidRDefault="00C45987" w:rsidP="00EC4DDC">
            <w:pPr>
              <w:jc w:val="center"/>
              <w:rPr>
                <w:rFonts w:asciiTheme="minorHAnsi" w:eastAsia="Times New Roman" w:hAnsiTheme="minorHAnsi"/>
                <w:b/>
                <w:sz w:val="18"/>
                <w:szCs w:val="18"/>
                <w:lang w:eastAsia="sk-SK"/>
              </w:rPr>
            </w:pPr>
            <w:r w:rsidRPr="00C45987">
              <w:rPr>
                <w:rFonts w:asciiTheme="minorHAnsi" w:eastAsia="Times New Roman" w:hAnsiTheme="minorHAnsi"/>
                <w:b/>
                <w:sz w:val="18"/>
                <w:szCs w:val="18"/>
                <w:lang w:eastAsia="sk-SK"/>
              </w:rPr>
              <w:t>11</w:t>
            </w:r>
            <w:r>
              <w:rPr>
                <w:rFonts w:asciiTheme="minorHAnsi" w:eastAsia="Times New Roman" w:hAnsiTheme="minorHAnsi"/>
                <w:b/>
                <w:sz w:val="18"/>
                <w:szCs w:val="18"/>
                <w:lang w:eastAsia="sk-SK"/>
              </w:rPr>
              <w:t xml:space="preserve"> </w:t>
            </w:r>
            <w:r w:rsidRPr="00C45987">
              <w:rPr>
                <w:rFonts w:asciiTheme="minorHAnsi" w:eastAsia="Times New Roman" w:hAnsiTheme="minorHAnsi"/>
                <w:b/>
                <w:sz w:val="18"/>
                <w:szCs w:val="18"/>
                <w:lang w:eastAsia="sk-SK"/>
              </w:rPr>
              <w:t>705</w:t>
            </w:r>
          </w:p>
        </w:tc>
        <w:tc>
          <w:tcPr>
            <w:tcW w:w="1134" w:type="dxa"/>
            <w:tcBorders>
              <w:top w:val="nil"/>
              <w:left w:val="nil"/>
              <w:bottom w:val="single" w:sz="4" w:space="0" w:color="auto"/>
              <w:right w:val="single" w:sz="4" w:space="0" w:color="auto"/>
            </w:tcBorders>
            <w:shd w:val="clear" w:color="000000" w:fill="D8E4BC"/>
            <w:noWrap/>
            <w:vAlign w:val="bottom"/>
          </w:tcPr>
          <w:p w:rsidR="00C45987" w:rsidRDefault="00C45987" w:rsidP="00E50A92">
            <w:pPr>
              <w:jc w:val="center"/>
              <w:rPr>
                <w:rFonts w:asciiTheme="minorHAnsi" w:eastAsia="Times New Roman" w:hAnsiTheme="minorHAnsi"/>
                <w:b/>
                <w:sz w:val="18"/>
                <w:szCs w:val="18"/>
                <w:lang w:eastAsia="sk-SK"/>
              </w:rPr>
            </w:pPr>
            <w:r w:rsidRPr="00C45987">
              <w:rPr>
                <w:rFonts w:asciiTheme="minorHAnsi" w:eastAsia="Times New Roman" w:hAnsiTheme="minorHAnsi"/>
                <w:b/>
                <w:sz w:val="18"/>
                <w:szCs w:val="18"/>
                <w:lang w:eastAsia="sk-SK"/>
              </w:rPr>
              <w:t>5735,03</w:t>
            </w:r>
          </w:p>
        </w:tc>
        <w:tc>
          <w:tcPr>
            <w:tcW w:w="917" w:type="dxa"/>
            <w:tcBorders>
              <w:top w:val="nil"/>
              <w:left w:val="nil"/>
              <w:bottom w:val="single" w:sz="4" w:space="0" w:color="auto"/>
              <w:right w:val="single" w:sz="4" w:space="0" w:color="auto"/>
            </w:tcBorders>
            <w:shd w:val="clear" w:color="000000" w:fill="D8E4BC"/>
            <w:noWrap/>
            <w:vAlign w:val="bottom"/>
          </w:tcPr>
          <w:p w:rsidR="00C45987" w:rsidRDefault="00C45987" w:rsidP="00BE3B1F">
            <w:pPr>
              <w:jc w:val="center"/>
              <w:rPr>
                <w:rFonts w:asciiTheme="minorHAnsi" w:eastAsia="Times New Roman" w:hAnsiTheme="minorHAnsi"/>
                <w:b/>
                <w:sz w:val="18"/>
                <w:szCs w:val="18"/>
                <w:lang w:eastAsia="sk-SK"/>
              </w:rPr>
            </w:pPr>
            <w:r w:rsidRPr="00C45987">
              <w:rPr>
                <w:rFonts w:asciiTheme="minorHAnsi" w:eastAsia="Times New Roman" w:hAnsiTheme="minorHAnsi"/>
                <w:b/>
                <w:sz w:val="18"/>
                <w:szCs w:val="18"/>
                <w:lang w:eastAsia="sk-SK"/>
              </w:rPr>
              <w:t>39</w:t>
            </w:r>
            <w:r>
              <w:rPr>
                <w:rFonts w:asciiTheme="minorHAnsi" w:eastAsia="Times New Roman" w:hAnsiTheme="minorHAnsi"/>
                <w:b/>
                <w:sz w:val="18"/>
                <w:szCs w:val="18"/>
                <w:lang w:eastAsia="sk-SK"/>
              </w:rPr>
              <w:t xml:space="preserve"> </w:t>
            </w:r>
            <w:r w:rsidRPr="00C45987">
              <w:rPr>
                <w:rFonts w:asciiTheme="minorHAnsi" w:eastAsia="Times New Roman" w:hAnsiTheme="minorHAnsi"/>
                <w:b/>
                <w:sz w:val="18"/>
                <w:szCs w:val="18"/>
                <w:lang w:eastAsia="sk-SK"/>
              </w:rPr>
              <w:t>278,7</w:t>
            </w:r>
          </w:p>
        </w:tc>
        <w:tc>
          <w:tcPr>
            <w:tcW w:w="992" w:type="dxa"/>
            <w:tcBorders>
              <w:top w:val="nil"/>
              <w:left w:val="nil"/>
              <w:bottom w:val="single" w:sz="4" w:space="0" w:color="auto"/>
              <w:right w:val="single" w:sz="4" w:space="0" w:color="auto"/>
            </w:tcBorders>
            <w:shd w:val="clear" w:color="000000" w:fill="D8E4BC"/>
            <w:noWrap/>
            <w:vAlign w:val="bottom"/>
          </w:tcPr>
          <w:p w:rsidR="00C45987" w:rsidRDefault="00C45987"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0</w:t>
            </w:r>
          </w:p>
        </w:tc>
        <w:tc>
          <w:tcPr>
            <w:tcW w:w="1418" w:type="dxa"/>
            <w:tcBorders>
              <w:top w:val="nil"/>
              <w:left w:val="nil"/>
              <w:bottom w:val="single" w:sz="4" w:space="0" w:color="auto"/>
              <w:right w:val="single" w:sz="4" w:space="0" w:color="auto"/>
            </w:tcBorders>
            <w:shd w:val="clear" w:color="000000" w:fill="D8E4BC"/>
            <w:noWrap/>
            <w:vAlign w:val="bottom"/>
          </w:tcPr>
          <w:p w:rsidR="00C45987" w:rsidRDefault="00C45987" w:rsidP="00690B89">
            <w:pPr>
              <w:jc w:val="center"/>
              <w:rPr>
                <w:rFonts w:asciiTheme="minorHAnsi" w:eastAsia="Times New Roman" w:hAnsiTheme="minorHAnsi"/>
                <w:b/>
                <w:sz w:val="18"/>
                <w:szCs w:val="18"/>
                <w:lang w:eastAsia="sk-SK"/>
              </w:rPr>
            </w:pPr>
            <w:r w:rsidRPr="00C45987">
              <w:rPr>
                <w:rFonts w:asciiTheme="minorHAnsi" w:eastAsia="Times New Roman" w:hAnsiTheme="minorHAnsi"/>
                <w:b/>
                <w:sz w:val="18"/>
                <w:szCs w:val="18"/>
                <w:lang w:eastAsia="sk-SK"/>
              </w:rPr>
              <w:t>227</w:t>
            </w:r>
            <w:r>
              <w:rPr>
                <w:rFonts w:asciiTheme="minorHAnsi" w:eastAsia="Times New Roman" w:hAnsiTheme="minorHAnsi"/>
                <w:b/>
                <w:sz w:val="18"/>
                <w:szCs w:val="18"/>
                <w:lang w:eastAsia="sk-SK"/>
              </w:rPr>
              <w:t xml:space="preserve"> </w:t>
            </w:r>
            <w:r w:rsidRPr="00C45987">
              <w:rPr>
                <w:rFonts w:asciiTheme="minorHAnsi" w:eastAsia="Times New Roman" w:hAnsiTheme="minorHAnsi"/>
                <w:b/>
                <w:sz w:val="18"/>
                <w:szCs w:val="18"/>
                <w:lang w:eastAsia="sk-SK"/>
              </w:rPr>
              <w:t>500</w:t>
            </w:r>
          </w:p>
        </w:tc>
        <w:tc>
          <w:tcPr>
            <w:tcW w:w="1417" w:type="dxa"/>
            <w:tcBorders>
              <w:top w:val="nil"/>
              <w:left w:val="nil"/>
              <w:bottom w:val="single" w:sz="4" w:space="0" w:color="auto"/>
              <w:right w:val="single" w:sz="4" w:space="0" w:color="auto"/>
            </w:tcBorders>
            <w:shd w:val="clear" w:color="000000" w:fill="D8E4BC"/>
            <w:noWrap/>
            <w:vAlign w:val="bottom"/>
          </w:tcPr>
          <w:p w:rsidR="00C45987" w:rsidRDefault="00C45987" w:rsidP="00690B89">
            <w:pPr>
              <w:jc w:val="center"/>
              <w:rPr>
                <w:rFonts w:asciiTheme="minorHAnsi" w:eastAsia="Times New Roman" w:hAnsiTheme="minorHAnsi"/>
                <w:b/>
                <w:bCs/>
                <w:sz w:val="18"/>
                <w:szCs w:val="18"/>
                <w:lang w:eastAsia="sk-SK"/>
              </w:rPr>
            </w:pPr>
            <w:r>
              <w:rPr>
                <w:rFonts w:asciiTheme="minorHAnsi" w:eastAsia="Times New Roman" w:hAnsiTheme="minorHAnsi"/>
                <w:b/>
                <w:bCs/>
                <w:sz w:val="18"/>
                <w:szCs w:val="18"/>
                <w:lang w:eastAsia="sk-SK"/>
              </w:rPr>
              <w:t>1 962 558,51</w:t>
            </w:r>
          </w:p>
        </w:tc>
        <w:tc>
          <w:tcPr>
            <w:tcW w:w="1701" w:type="dxa"/>
            <w:tcBorders>
              <w:top w:val="nil"/>
              <w:left w:val="nil"/>
              <w:bottom w:val="nil"/>
              <w:right w:val="nil"/>
            </w:tcBorders>
            <w:shd w:val="clear" w:color="auto" w:fill="auto"/>
            <w:noWrap/>
            <w:vAlign w:val="bottom"/>
          </w:tcPr>
          <w:p w:rsidR="00C45987" w:rsidRPr="004577CC" w:rsidRDefault="00C45987" w:rsidP="00FC767B">
            <w:pPr>
              <w:rPr>
                <w:rFonts w:asciiTheme="minorHAnsi" w:eastAsia="Times New Roman" w:hAnsiTheme="minorHAnsi"/>
                <w:color w:val="000000"/>
                <w:sz w:val="20"/>
                <w:szCs w:val="20"/>
                <w:lang w:eastAsia="sk-SK"/>
              </w:rPr>
            </w:pPr>
          </w:p>
        </w:tc>
      </w:tr>
      <w:tr w:rsidR="00B63E92" w:rsidRPr="004524EB" w:rsidTr="001B4149">
        <w:trPr>
          <w:trHeight w:val="160"/>
        </w:trPr>
        <w:tc>
          <w:tcPr>
            <w:tcW w:w="2127" w:type="dxa"/>
            <w:tcBorders>
              <w:top w:val="nil"/>
              <w:left w:val="single" w:sz="4" w:space="0" w:color="auto"/>
              <w:bottom w:val="single" w:sz="4" w:space="0" w:color="auto"/>
              <w:right w:val="single" w:sz="4" w:space="0" w:color="auto"/>
            </w:tcBorders>
            <w:shd w:val="clear" w:color="000000" w:fill="D8E4BC"/>
            <w:vAlign w:val="bottom"/>
          </w:tcPr>
          <w:p w:rsidR="00B63E92" w:rsidRPr="00EF3D7C" w:rsidRDefault="00C45987" w:rsidP="00FC767B">
            <w:pP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Zahraničné nevýskumné</w:t>
            </w:r>
          </w:p>
        </w:tc>
        <w:tc>
          <w:tcPr>
            <w:tcW w:w="1067" w:type="dxa"/>
            <w:tcBorders>
              <w:top w:val="nil"/>
              <w:left w:val="nil"/>
              <w:bottom w:val="single" w:sz="4" w:space="0" w:color="auto"/>
              <w:right w:val="single" w:sz="4" w:space="0" w:color="auto"/>
            </w:tcBorders>
            <w:shd w:val="clear" w:color="000000" w:fill="D8E4BC"/>
            <w:noWrap/>
            <w:vAlign w:val="bottom"/>
          </w:tcPr>
          <w:p w:rsidR="00B63E92" w:rsidRPr="008A78F3" w:rsidRDefault="003F50E7" w:rsidP="00690B89">
            <w:pPr>
              <w:jc w:val="center"/>
              <w:rPr>
                <w:rFonts w:asciiTheme="minorHAnsi" w:eastAsia="Times New Roman" w:hAnsiTheme="minorHAnsi"/>
                <w:b/>
                <w:sz w:val="18"/>
                <w:szCs w:val="18"/>
                <w:lang w:eastAsia="sk-SK"/>
              </w:rPr>
            </w:pPr>
            <w:r w:rsidRPr="003F50E7">
              <w:rPr>
                <w:rFonts w:asciiTheme="minorHAnsi" w:eastAsia="Times New Roman" w:hAnsiTheme="minorHAnsi"/>
                <w:b/>
                <w:sz w:val="18"/>
                <w:szCs w:val="18"/>
                <w:lang w:eastAsia="sk-SK"/>
              </w:rPr>
              <w:t>19</w:t>
            </w:r>
            <w:r>
              <w:rPr>
                <w:rFonts w:asciiTheme="minorHAnsi" w:eastAsia="Times New Roman" w:hAnsiTheme="minorHAnsi"/>
                <w:b/>
                <w:sz w:val="18"/>
                <w:szCs w:val="18"/>
                <w:lang w:eastAsia="sk-SK"/>
              </w:rPr>
              <w:t xml:space="preserve"> </w:t>
            </w:r>
            <w:r w:rsidRPr="003F50E7">
              <w:rPr>
                <w:rFonts w:asciiTheme="minorHAnsi" w:eastAsia="Times New Roman" w:hAnsiTheme="minorHAnsi"/>
                <w:b/>
                <w:sz w:val="18"/>
                <w:szCs w:val="18"/>
                <w:lang w:eastAsia="sk-SK"/>
              </w:rPr>
              <w:t>690,42</w:t>
            </w:r>
          </w:p>
        </w:tc>
        <w:tc>
          <w:tcPr>
            <w:tcW w:w="1275" w:type="dxa"/>
            <w:tcBorders>
              <w:top w:val="nil"/>
              <w:left w:val="nil"/>
              <w:bottom w:val="single" w:sz="4" w:space="0" w:color="auto"/>
              <w:right w:val="single" w:sz="4" w:space="0" w:color="auto"/>
            </w:tcBorders>
            <w:shd w:val="clear" w:color="000000" w:fill="D8E4BC"/>
            <w:noWrap/>
            <w:vAlign w:val="bottom"/>
          </w:tcPr>
          <w:p w:rsidR="00B63E92" w:rsidRDefault="003F50E7" w:rsidP="00690B89">
            <w:pPr>
              <w:jc w:val="center"/>
              <w:rPr>
                <w:rFonts w:asciiTheme="minorHAnsi" w:eastAsia="Times New Roman" w:hAnsiTheme="minorHAnsi"/>
                <w:b/>
                <w:sz w:val="18"/>
                <w:szCs w:val="18"/>
                <w:lang w:eastAsia="sk-SK"/>
              </w:rPr>
            </w:pPr>
            <w:r w:rsidRPr="003F50E7">
              <w:rPr>
                <w:rFonts w:asciiTheme="minorHAnsi" w:eastAsia="Times New Roman" w:hAnsiTheme="minorHAnsi"/>
                <w:b/>
                <w:sz w:val="18"/>
                <w:szCs w:val="18"/>
                <w:lang w:eastAsia="sk-SK"/>
              </w:rPr>
              <w:t>43</w:t>
            </w:r>
            <w:r>
              <w:rPr>
                <w:rFonts w:asciiTheme="minorHAnsi" w:eastAsia="Times New Roman" w:hAnsiTheme="minorHAnsi"/>
                <w:b/>
                <w:sz w:val="18"/>
                <w:szCs w:val="18"/>
                <w:lang w:eastAsia="sk-SK"/>
              </w:rPr>
              <w:t xml:space="preserve"> </w:t>
            </w:r>
            <w:r w:rsidRPr="003F50E7">
              <w:rPr>
                <w:rFonts w:asciiTheme="minorHAnsi" w:eastAsia="Times New Roman" w:hAnsiTheme="minorHAnsi"/>
                <w:b/>
                <w:sz w:val="18"/>
                <w:szCs w:val="18"/>
                <w:lang w:eastAsia="sk-SK"/>
              </w:rPr>
              <w:t>800,68</w:t>
            </w:r>
          </w:p>
        </w:tc>
        <w:tc>
          <w:tcPr>
            <w:tcW w:w="1276" w:type="dxa"/>
            <w:tcBorders>
              <w:top w:val="nil"/>
              <w:left w:val="nil"/>
              <w:bottom w:val="single" w:sz="4" w:space="0" w:color="auto"/>
              <w:right w:val="single" w:sz="4" w:space="0" w:color="auto"/>
            </w:tcBorders>
            <w:shd w:val="clear" w:color="000000" w:fill="D8E4BC"/>
            <w:noWrap/>
            <w:vAlign w:val="bottom"/>
          </w:tcPr>
          <w:p w:rsidR="00B63E92" w:rsidRDefault="003F50E7" w:rsidP="00690B89">
            <w:pPr>
              <w:jc w:val="center"/>
              <w:rPr>
                <w:rFonts w:asciiTheme="minorHAnsi" w:eastAsia="Times New Roman" w:hAnsiTheme="minorHAnsi"/>
                <w:b/>
                <w:sz w:val="18"/>
                <w:szCs w:val="18"/>
                <w:lang w:eastAsia="sk-SK"/>
              </w:rPr>
            </w:pPr>
            <w:r w:rsidRPr="003F50E7">
              <w:rPr>
                <w:rFonts w:asciiTheme="minorHAnsi" w:eastAsia="Times New Roman" w:hAnsiTheme="minorHAnsi"/>
                <w:b/>
                <w:sz w:val="18"/>
                <w:szCs w:val="18"/>
                <w:lang w:eastAsia="sk-SK"/>
              </w:rPr>
              <w:t>158</w:t>
            </w:r>
            <w:r>
              <w:rPr>
                <w:rFonts w:asciiTheme="minorHAnsi" w:eastAsia="Times New Roman" w:hAnsiTheme="minorHAnsi"/>
                <w:b/>
                <w:sz w:val="18"/>
                <w:szCs w:val="18"/>
                <w:lang w:eastAsia="sk-SK"/>
              </w:rPr>
              <w:t xml:space="preserve"> </w:t>
            </w:r>
            <w:r w:rsidRPr="003F50E7">
              <w:rPr>
                <w:rFonts w:asciiTheme="minorHAnsi" w:eastAsia="Times New Roman" w:hAnsiTheme="minorHAnsi"/>
                <w:b/>
                <w:sz w:val="18"/>
                <w:szCs w:val="18"/>
                <w:lang w:eastAsia="sk-SK"/>
              </w:rPr>
              <w:t>451,68</w:t>
            </w:r>
          </w:p>
        </w:tc>
        <w:tc>
          <w:tcPr>
            <w:tcW w:w="1276" w:type="dxa"/>
            <w:tcBorders>
              <w:top w:val="nil"/>
              <w:left w:val="nil"/>
              <w:bottom w:val="single" w:sz="4" w:space="0" w:color="auto"/>
              <w:right w:val="single" w:sz="4" w:space="0" w:color="auto"/>
            </w:tcBorders>
            <w:shd w:val="clear" w:color="000000" w:fill="D8E4BC"/>
            <w:noWrap/>
            <w:vAlign w:val="bottom"/>
          </w:tcPr>
          <w:p w:rsidR="00B63E92" w:rsidRDefault="003F50E7" w:rsidP="00690B89">
            <w:pPr>
              <w:jc w:val="center"/>
              <w:rPr>
                <w:rFonts w:asciiTheme="minorHAnsi" w:eastAsia="Times New Roman" w:hAnsiTheme="minorHAnsi"/>
                <w:b/>
                <w:sz w:val="18"/>
                <w:szCs w:val="18"/>
                <w:lang w:eastAsia="sk-SK"/>
              </w:rPr>
            </w:pPr>
            <w:r w:rsidRPr="003F50E7">
              <w:rPr>
                <w:rFonts w:asciiTheme="minorHAnsi" w:eastAsia="Times New Roman" w:hAnsiTheme="minorHAnsi"/>
                <w:b/>
                <w:sz w:val="18"/>
                <w:szCs w:val="18"/>
                <w:lang w:eastAsia="sk-SK"/>
              </w:rPr>
              <w:t>12</w:t>
            </w:r>
            <w:r>
              <w:rPr>
                <w:rFonts w:asciiTheme="minorHAnsi" w:eastAsia="Times New Roman" w:hAnsiTheme="minorHAnsi"/>
                <w:b/>
                <w:sz w:val="18"/>
                <w:szCs w:val="18"/>
                <w:lang w:eastAsia="sk-SK"/>
              </w:rPr>
              <w:t xml:space="preserve"> </w:t>
            </w:r>
            <w:r w:rsidRPr="003F50E7">
              <w:rPr>
                <w:rFonts w:asciiTheme="minorHAnsi" w:eastAsia="Times New Roman" w:hAnsiTheme="minorHAnsi"/>
                <w:b/>
                <w:sz w:val="18"/>
                <w:szCs w:val="18"/>
                <w:lang w:eastAsia="sk-SK"/>
              </w:rPr>
              <w:t>784</w:t>
            </w:r>
          </w:p>
        </w:tc>
        <w:tc>
          <w:tcPr>
            <w:tcW w:w="992" w:type="dxa"/>
            <w:tcBorders>
              <w:top w:val="nil"/>
              <w:left w:val="nil"/>
              <w:bottom w:val="single" w:sz="4" w:space="0" w:color="auto"/>
              <w:right w:val="single" w:sz="4" w:space="0" w:color="auto"/>
            </w:tcBorders>
            <w:shd w:val="clear" w:color="000000" w:fill="D8E4BC"/>
            <w:noWrap/>
            <w:vAlign w:val="bottom"/>
          </w:tcPr>
          <w:p w:rsidR="00B63E92" w:rsidRDefault="003F50E7" w:rsidP="00264E30">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0</w:t>
            </w:r>
          </w:p>
        </w:tc>
        <w:tc>
          <w:tcPr>
            <w:tcW w:w="1418" w:type="dxa"/>
            <w:tcBorders>
              <w:top w:val="nil"/>
              <w:left w:val="nil"/>
              <w:bottom w:val="single" w:sz="4" w:space="0" w:color="auto"/>
              <w:right w:val="single" w:sz="4" w:space="0" w:color="auto"/>
            </w:tcBorders>
            <w:shd w:val="clear" w:color="000000" w:fill="D8E4BC"/>
            <w:noWrap/>
            <w:vAlign w:val="bottom"/>
          </w:tcPr>
          <w:p w:rsidR="00B63E92" w:rsidRDefault="003F50E7" w:rsidP="00EC4DDC">
            <w:pPr>
              <w:jc w:val="center"/>
              <w:rPr>
                <w:rFonts w:asciiTheme="minorHAnsi" w:eastAsia="Times New Roman" w:hAnsiTheme="minorHAnsi"/>
                <w:b/>
                <w:sz w:val="18"/>
                <w:szCs w:val="18"/>
                <w:lang w:eastAsia="sk-SK"/>
              </w:rPr>
            </w:pPr>
            <w:r w:rsidRPr="003F50E7">
              <w:rPr>
                <w:rFonts w:asciiTheme="minorHAnsi" w:eastAsia="Times New Roman" w:hAnsiTheme="minorHAnsi"/>
                <w:b/>
                <w:sz w:val="18"/>
                <w:szCs w:val="18"/>
                <w:lang w:eastAsia="sk-SK"/>
              </w:rPr>
              <w:t>4</w:t>
            </w:r>
            <w:r>
              <w:rPr>
                <w:rFonts w:asciiTheme="minorHAnsi" w:eastAsia="Times New Roman" w:hAnsiTheme="minorHAnsi"/>
                <w:b/>
                <w:sz w:val="18"/>
                <w:szCs w:val="18"/>
                <w:lang w:eastAsia="sk-SK"/>
              </w:rPr>
              <w:t xml:space="preserve"> </w:t>
            </w:r>
            <w:r w:rsidRPr="003F50E7">
              <w:rPr>
                <w:rFonts w:asciiTheme="minorHAnsi" w:eastAsia="Times New Roman" w:hAnsiTheme="minorHAnsi"/>
                <w:b/>
                <w:sz w:val="18"/>
                <w:szCs w:val="18"/>
                <w:lang w:eastAsia="sk-SK"/>
              </w:rPr>
              <w:t>650</w:t>
            </w:r>
          </w:p>
        </w:tc>
        <w:tc>
          <w:tcPr>
            <w:tcW w:w="1134" w:type="dxa"/>
            <w:tcBorders>
              <w:top w:val="nil"/>
              <w:left w:val="nil"/>
              <w:bottom w:val="single" w:sz="4" w:space="0" w:color="auto"/>
              <w:right w:val="single" w:sz="4" w:space="0" w:color="auto"/>
            </w:tcBorders>
            <w:shd w:val="clear" w:color="000000" w:fill="D8E4BC"/>
            <w:noWrap/>
            <w:vAlign w:val="bottom"/>
          </w:tcPr>
          <w:p w:rsidR="00B63E92" w:rsidRDefault="003F50E7" w:rsidP="00E50A92">
            <w:pPr>
              <w:jc w:val="center"/>
              <w:rPr>
                <w:rFonts w:asciiTheme="minorHAnsi" w:eastAsia="Times New Roman" w:hAnsiTheme="minorHAnsi"/>
                <w:b/>
                <w:sz w:val="18"/>
                <w:szCs w:val="18"/>
                <w:lang w:eastAsia="sk-SK"/>
              </w:rPr>
            </w:pPr>
            <w:r w:rsidRPr="003F50E7">
              <w:rPr>
                <w:rFonts w:asciiTheme="minorHAnsi" w:eastAsia="Times New Roman" w:hAnsiTheme="minorHAnsi"/>
                <w:b/>
                <w:sz w:val="18"/>
                <w:szCs w:val="18"/>
                <w:lang w:eastAsia="sk-SK"/>
              </w:rPr>
              <w:t>8</w:t>
            </w:r>
            <w:r>
              <w:rPr>
                <w:rFonts w:asciiTheme="minorHAnsi" w:eastAsia="Times New Roman" w:hAnsiTheme="minorHAnsi"/>
                <w:b/>
                <w:sz w:val="18"/>
                <w:szCs w:val="18"/>
                <w:lang w:eastAsia="sk-SK"/>
              </w:rPr>
              <w:t xml:space="preserve"> </w:t>
            </w:r>
            <w:r w:rsidRPr="003F50E7">
              <w:rPr>
                <w:rFonts w:asciiTheme="minorHAnsi" w:eastAsia="Times New Roman" w:hAnsiTheme="minorHAnsi"/>
                <w:b/>
                <w:sz w:val="18"/>
                <w:szCs w:val="18"/>
                <w:lang w:eastAsia="sk-SK"/>
              </w:rPr>
              <w:t>100</w:t>
            </w:r>
          </w:p>
        </w:tc>
        <w:tc>
          <w:tcPr>
            <w:tcW w:w="917" w:type="dxa"/>
            <w:tcBorders>
              <w:top w:val="nil"/>
              <w:left w:val="nil"/>
              <w:bottom w:val="single" w:sz="4" w:space="0" w:color="auto"/>
              <w:right w:val="single" w:sz="4" w:space="0" w:color="auto"/>
            </w:tcBorders>
            <w:shd w:val="clear" w:color="000000" w:fill="D8E4BC"/>
            <w:noWrap/>
            <w:vAlign w:val="bottom"/>
          </w:tcPr>
          <w:p w:rsidR="00B63E92" w:rsidRDefault="003F50E7" w:rsidP="00BE3B1F">
            <w:pPr>
              <w:jc w:val="center"/>
              <w:rPr>
                <w:rFonts w:asciiTheme="minorHAnsi" w:eastAsia="Times New Roman" w:hAnsiTheme="minorHAnsi"/>
                <w:b/>
                <w:sz w:val="18"/>
                <w:szCs w:val="18"/>
                <w:lang w:eastAsia="sk-SK"/>
              </w:rPr>
            </w:pPr>
            <w:r w:rsidRPr="003F50E7">
              <w:rPr>
                <w:rFonts w:asciiTheme="minorHAnsi" w:eastAsia="Times New Roman" w:hAnsiTheme="minorHAnsi"/>
                <w:b/>
                <w:sz w:val="18"/>
                <w:szCs w:val="18"/>
                <w:lang w:eastAsia="sk-SK"/>
              </w:rPr>
              <w:t>125527,91</w:t>
            </w:r>
          </w:p>
        </w:tc>
        <w:tc>
          <w:tcPr>
            <w:tcW w:w="992" w:type="dxa"/>
            <w:tcBorders>
              <w:top w:val="nil"/>
              <w:left w:val="nil"/>
              <w:bottom w:val="single" w:sz="4" w:space="0" w:color="auto"/>
              <w:right w:val="single" w:sz="4" w:space="0" w:color="auto"/>
            </w:tcBorders>
            <w:shd w:val="clear" w:color="000000" w:fill="D8E4BC"/>
            <w:noWrap/>
            <w:vAlign w:val="bottom"/>
          </w:tcPr>
          <w:p w:rsidR="00B63E92" w:rsidRDefault="003F50E7"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 xml:space="preserve">0 </w:t>
            </w:r>
          </w:p>
        </w:tc>
        <w:tc>
          <w:tcPr>
            <w:tcW w:w="1418" w:type="dxa"/>
            <w:tcBorders>
              <w:top w:val="nil"/>
              <w:left w:val="nil"/>
              <w:bottom w:val="single" w:sz="4" w:space="0" w:color="auto"/>
              <w:right w:val="single" w:sz="4" w:space="0" w:color="auto"/>
            </w:tcBorders>
            <w:shd w:val="clear" w:color="000000" w:fill="D8E4BC"/>
            <w:noWrap/>
            <w:vAlign w:val="bottom"/>
          </w:tcPr>
          <w:p w:rsidR="00B63E92" w:rsidRDefault="003F50E7" w:rsidP="00690B89">
            <w:pPr>
              <w:jc w:val="center"/>
              <w:rPr>
                <w:rFonts w:asciiTheme="minorHAnsi" w:eastAsia="Times New Roman" w:hAnsiTheme="minorHAnsi"/>
                <w:b/>
                <w:sz w:val="18"/>
                <w:szCs w:val="18"/>
                <w:lang w:eastAsia="sk-SK"/>
              </w:rPr>
            </w:pPr>
            <w:r w:rsidRPr="003F50E7">
              <w:rPr>
                <w:rFonts w:asciiTheme="minorHAnsi" w:eastAsia="Times New Roman" w:hAnsiTheme="minorHAnsi"/>
                <w:b/>
                <w:sz w:val="18"/>
                <w:szCs w:val="18"/>
                <w:lang w:eastAsia="sk-SK"/>
              </w:rPr>
              <w:t>757247,85</w:t>
            </w:r>
          </w:p>
        </w:tc>
        <w:tc>
          <w:tcPr>
            <w:tcW w:w="1417" w:type="dxa"/>
            <w:tcBorders>
              <w:top w:val="nil"/>
              <w:left w:val="nil"/>
              <w:bottom w:val="single" w:sz="4" w:space="0" w:color="auto"/>
              <w:right w:val="single" w:sz="4" w:space="0" w:color="auto"/>
            </w:tcBorders>
            <w:shd w:val="clear" w:color="000000" w:fill="D8E4BC"/>
            <w:noWrap/>
            <w:vAlign w:val="bottom"/>
          </w:tcPr>
          <w:p w:rsidR="00B63E92" w:rsidRDefault="003F50E7" w:rsidP="00690B89">
            <w:pPr>
              <w:jc w:val="center"/>
              <w:rPr>
                <w:rFonts w:asciiTheme="minorHAnsi" w:eastAsia="Times New Roman" w:hAnsiTheme="minorHAnsi"/>
                <w:b/>
                <w:bCs/>
                <w:sz w:val="18"/>
                <w:szCs w:val="18"/>
                <w:lang w:eastAsia="sk-SK"/>
              </w:rPr>
            </w:pPr>
            <w:r>
              <w:rPr>
                <w:rFonts w:asciiTheme="minorHAnsi" w:eastAsia="Times New Roman" w:hAnsiTheme="minorHAnsi"/>
                <w:b/>
                <w:bCs/>
                <w:sz w:val="18"/>
                <w:szCs w:val="18"/>
                <w:lang w:eastAsia="sk-SK"/>
              </w:rPr>
              <w:t>1 130 252,54</w:t>
            </w:r>
          </w:p>
        </w:tc>
        <w:tc>
          <w:tcPr>
            <w:tcW w:w="1701" w:type="dxa"/>
            <w:tcBorders>
              <w:top w:val="nil"/>
              <w:left w:val="nil"/>
              <w:bottom w:val="nil"/>
              <w:right w:val="nil"/>
            </w:tcBorders>
            <w:shd w:val="clear" w:color="auto" w:fill="auto"/>
            <w:noWrap/>
            <w:vAlign w:val="bottom"/>
          </w:tcPr>
          <w:p w:rsidR="00B63E92" w:rsidRPr="004577CC" w:rsidRDefault="00B63E92" w:rsidP="00FC767B">
            <w:pPr>
              <w:rPr>
                <w:rFonts w:asciiTheme="minorHAnsi" w:eastAsia="Times New Roman" w:hAnsiTheme="minorHAnsi"/>
                <w:color w:val="000000"/>
                <w:sz w:val="20"/>
                <w:szCs w:val="20"/>
                <w:lang w:eastAsia="sk-SK"/>
              </w:rPr>
            </w:pPr>
          </w:p>
        </w:tc>
      </w:tr>
      <w:tr w:rsidR="00EF3D7C" w:rsidRPr="004524EB" w:rsidTr="001B4149">
        <w:trPr>
          <w:trHeight w:val="160"/>
        </w:trPr>
        <w:tc>
          <w:tcPr>
            <w:tcW w:w="2127" w:type="dxa"/>
            <w:tcBorders>
              <w:top w:val="nil"/>
              <w:left w:val="single" w:sz="4" w:space="0" w:color="auto"/>
              <w:bottom w:val="single" w:sz="4" w:space="0" w:color="auto"/>
              <w:right w:val="single" w:sz="4" w:space="0" w:color="auto"/>
            </w:tcBorders>
            <w:shd w:val="clear" w:color="000000" w:fill="D8E4BC"/>
            <w:vAlign w:val="bottom"/>
          </w:tcPr>
          <w:p w:rsidR="00EF3D7C" w:rsidRPr="00EF3D7C" w:rsidRDefault="00EF3D7C" w:rsidP="00FC767B">
            <w:pPr>
              <w:rPr>
                <w:rFonts w:asciiTheme="minorHAnsi" w:eastAsia="Times New Roman" w:hAnsiTheme="minorHAnsi"/>
                <w:b/>
                <w:sz w:val="18"/>
                <w:szCs w:val="18"/>
                <w:lang w:eastAsia="sk-SK"/>
              </w:rPr>
            </w:pPr>
            <w:r w:rsidRPr="00EF3D7C">
              <w:rPr>
                <w:rFonts w:asciiTheme="minorHAnsi" w:eastAsia="Times New Roman" w:hAnsiTheme="minorHAnsi"/>
                <w:b/>
                <w:sz w:val="18"/>
                <w:szCs w:val="18"/>
                <w:lang w:eastAsia="sk-SK"/>
              </w:rPr>
              <w:t>Zmluvy o dielo (výskum)</w:t>
            </w:r>
          </w:p>
        </w:tc>
        <w:tc>
          <w:tcPr>
            <w:tcW w:w="1067" w:type="dxa"/>
            <w:tcBorders>
              <w:top w:val="nil"/>
              <w:left w:val="nil"/>
              <w:bottom w:val="single" w:sz="4" w:space="0" w:color="auto"/>
              <w:right w:val="single" w:sz="4" w:space="0" w:color="auto"/>
            </w:tcBorders>
            <w:shd w:val="clear" w:color="000000" w:fill="D8E4BC"/>
            <w:noWrap/>
            <w:vAlign w:val="bottom"/>
          </w:tcPr>
          <w:p w:rsidR="00EF3D7C" w:rsidRPr="008A78F3" w:rsidRDefault="00EF3D7C" w:rsidP="00690B89">
            <w:pPr>
              <w:jc w:val="center"/>
              <w:rPr>
                <w:rFonts w:asciiTheme="minorHAnsi" w:eastAsia="Times New Roman" w:hAnsiTheme="minorHAnsi"/>
                <w:b/>
                <w:sz w:val="18"/>
                <w:szCs w:val="18"/>
                <w:lang w:eastAsia="sk-SK"/>
              </w:rPr>
            </w:pPr>
            <w:r w:rsidRPr="008A78F3">
              <w:rPr>
                <w:rFonts w:asciiTheme="minorHAnsi" w:eastAsia="Times New Roman" w:hAnsiTheme="minorHAnsi"/>
                <w:b/>
                <w:sz w:val="18"/>
                <w:szCs w:val="18"/>
                <w:lang w:eastAsia="sk-SK"/>
              </w:rPr>
              <w:t>657</w:t>
            </w:r>
            <w:r>
              <w:rPr>
                <w:rFonts w:asciiTheme="minorHAnsi" w:eastAsia="Times New Roman" w:hAnsiTheme="minorHAnsi"/>
                <w:b/>
                <w:sz w:val="18"/>
                <w:szCs w:val="18"/>
                <w:lang w:eastAsia="sk-SK"/>
              </w:rPr>
              <w:t> </w:t>
            </w:r>
            <w:r w:rsidRPr="008A78F3">
              <w:rPr>
                <w:rFonts w:asciiTheme="minorHAnsi" w:eastAsia="Times New Roman" w:hAnsiTheme="minorHAnsi"/>
                <w:b/>
                <w:sz w:val="18"/>
                <w:szCs w:val="18"/>
                <w:lang w:eastAsia="sk-SK"/>
              </w:rPr>
              <w:t>632</w:t>
            </w:r>
          </w:p>
        </w:tc>
        <w:tc>
          <w:tcPr>
            <w:tcW w:w="1275" w:type="dxa"/>
            <w:tcBorders>
              <w:top w:val="nil"/>
              <w:left w:val="nil"/>
              <w:bottom w:val="single" w:sz="4" w:space="0" w:color="auto"/>
              <w:right w:val="single" w:sz="4" w:space="0" w:color="auto"/>
            </w:tcBorders>
            <w:shd w:val="clear" w:color="000000" w:fill="D8E4BC"/>
            <w:noWrap/>
            <w:vAlign w:val="bottom"/>
          </w:tcPr>
          <w:p w:rsidR="00EF3D7C" w:rsidRDefault="00EF3D7C"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116 119,76</w:t>
            </w:r>
          </w:p>
        </w:tc>
        <w:tc>
          <w:tcPr>
            <w:tcW w:w="1276" w:type="dxa"/>
            <w:tcBorders>
              <w:top w:val="nil"/>
              <w:left w:val="nil"/>
              <w:bottom w:val="single" w:sz="4" w:space="0" w:color="auto"/>
              <w:right w:val="single" w:sz="4" w:space="0" w:color="auto"/>
            </w:tcBorders>
            <w:shd w:val="clear" w:color="000000" w:fill="D8E4BC"/>
            <w:noWrap/>
            <w:vAlign w:val="bottom"/>
          </w:tcPr>
          <w:p w:rsidR="00EF3D7C" w:rsidRDefault="00EF3D7C"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65 340</w:t>
            </w:r>
          </w:p>
        </w:tc>
        <w:tc>
          <w:tcPr>
            <w:tcW w:w="1276" w:type="dxa"/>
            <w:tcBorders>
              <w:top w:val="nil"/>
              <w:left w:val="nil"/>
              <w:bottom w:val="single" w:sz="4" w:space="0" w:color="auto"/>
              <w:right w:val="single" w:sz="4" w:space="0" w:color="auto"/>
            </w:tcBorders>
            <w:shd w:val="clear" w:color="000000" w:fill="D8E4BC"/>
            <w:noWrap/>
            <w:vAlign w:val="bottom"/>
          </w:tcPr>
          <w:p w:rsidR="00EF3D7C" w:rsidRDefault="00EF3D7C"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208 326,44</w:t>
            </w:r>
          </w:p>
        </w:tc>
        <w:tc>
          <w:tcPr>
            <w:tcW w:w="992" w:type="dxa"/>
            <w:tcBorders>
              <w:top w:val="nil"/>
              <w:left w:val="nil"/>
              <w:bottom w:val="single" w:sz="4" w:space="0" w:color="auto"/>
              <w:right w:val="single" w:sz="4" w:space="0" w:color="auto"/>
            </w:tcBorders>
            <w:shd w:val="clear" w:color="000000" w:fill="D8E4BC"/>
            <w:noWrap/>
            <w:vAlign w:val="bottom"/>
          </w:tcPr>
          <w:p w:rsidR="00EF3D7C" w:rsidRDefault="0057662E" w:rsidP="00264E30">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93 344</w:t>
            </w:r>
          </w:p>
        </w:tc>
        <w:tc>
          <w:tcPr>
            <w:tcW w:w="1418" w:type="dxa"/>
            <w:tcBorders>
              <w:top w:val="nil"/>
              <w:left w:val="nil"/>
              <w:bottom w:val="single" w:sz="4" w:space="0" w:color="auto"/>
              <w:right w:val="single" w:sz="4" w:space="0" w:color="auto"/>
            </w:tcBorders>
            <w:shd w:val="clear" w:color="000000" w:fill="D8E4BC"/>
            <w:noWrap/>
            <w:vAlign w:val="bottom"/>
          </w:tcPr>
          <w:p w:rsidR="00EF3D7C" w:rsidRDefault="00EF3D7C" w:rsidP="00EC4DDC">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222 731,16</w:t>
            </w:r>
          </w:p>
        </w:tc>
        <w:tc>
          <w:tcPr>
            <w:tcW w:w="1134" w:type="dxa"/>
            <w:tcBorders>
              <w:top w:val="nil"/>
              <w:left w:val="nil"/>
              <w:bottom w:val="single" w:sz="4" w:space="0" w:color="auto"/>
              <w:right w:val="single" w:sz="4" w:space="0" w:color="auto"/>
            </w:tcBorders>
            <w:shd w:val="clear" w:color="000000" w:fill="D8E4BC"/>
            <w:noWrap/>
            <w:vAlign w:val="bottom"/>
          </w:tcPr>
          <w:p w:rsidR="00EF3D7C" w:rsidRDefault="0057662E" w:rsidP="00E50A92">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81 420</w:t>
            </w:r>
          </w:p>
        </w:tc>
        <w:tc>
          <w:tcPr>
            <w:tcW w:w="917" w:type="dxa"/>
            <w:tcBorders>
              <w:top w:val="nil"/>
              <w:left w:val="nil"/>
              <w:bottom w:val="single" w:sz="4" w:space="0" w:color="auto"/>
              <w:right w:val="single" w:sz="4" w:space="0" w:color="auto"/>
            </w:tcBorders>
            <w:shd w:val="clear" w:color="000000" w:fill="D8E4BC"/>
            <w:noWrap/>
            <w:vAlign w:val="bottom"/>
          </w:tcPr>
          <w:p w:rsidR="00EF3D7C" w:rsidRDefault="00EF3D7C" w:rsidP="00BE3B1F">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0</w:t>
            </w:r>
          </w:p>
        </w:tc>
        <w:tc>
          <w:tcPr>
            <w:tcW w:w="992" w:type="dxa"/>
            <w:tcBorders>
              <w:top w:val="nil"/>
              <w:left w:val="nil"/>
              <w:bottom w:val="single" w:sz="4" w:space="0" w:color="auto"/>
              <w:right w:val="single" w:sz="4" w:space="0" w:color="auto"/>
            </w:tcBorders>
            <w:shd w:val="clear" w:color="000000" w:fill="D8E4BC"/>
            <w:noWrap/>
            <w:vAlign w:val="bottom"/>
          </w:tcPr>
          <w:p w:rsidR="00EF3D7C" w:rsidRDefault="00EF3D7C"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0</w:t>
            </w:r>
          </w:p>
        </w:tc>
        <w:tc>
          <w:tcPr>
            <w:tcW w:w="1418" w:type="dxa"/>
            <w:tcBorders>
              <w:top w:val="nil"/>
              <w:left w:val="nil"/>
              <w:bottom w:val="single" w:sz="4" w:space="0" w:color="auto"/>
              <w:right w:val="single" w:sz="4" w:space="0" w:color="auto"/>
            </w:tcBorders>
            <w:shd w:val="clear" w:color="000000" w:fill="D8E4BC"/>
            <w:noWrap/>
            <w:vAlign w:val="bottom"/>
          </w:tcPr>
          <w:p w:rsidR="00EF3D7C" w:rsidRDefault="00EF3D7C"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0</w:t>
            </w:r>
          </w:p>
        </w:tc>
        <w:tc>
          <w:tcPr>
            <w:tcW w:w="1417" w:type="dxa"/>
            <w:tcBorders>
              <w:top w:val="nil"/>
              <w:left w:val="nil"/>
              <w:bottom w:val="single" w:sz="4" w:space="0" w:color="auto"/>
              <w:right w:val="single" w:sz="4" w:space="0" w:color="auto"/>
            </w:tcBorders>
            <w:shd w:val="clear" w:color="000000" w:fill="D8E4BC"/>
            <w:noWrap/>
            <w:vAlign w:val="bottom"/>
          </w:tcPr>
          <w:p w:rsidR="00EF3D7C" w:rsidRDefault="00EF3D7C" w:rsidP="0057662E">
            <w:pPr>
              <w:jc w:val="center"/>
              <w:rPr>
                <w:rFonts w:asciiTheme="minorHAnsi" w:eastAsia="Times New Roman" w:hAnsiTheme="minorHAnsi"/>
                <w:b/>
                <w:bCs/>
                <w:sz w:val="18"/>
                <w:szCs w:val="18"/>
                <w:lang w:eastAsia="sk-SK"/>
              </w:rPr>
            </w:pPr>
            <w:r>
              <w:rPr>
                <w:rFonts w:asciiTheme="minorHAnsi" w:eastAsia="Times New Roman" w:hAnsiTheme="minorHAnsi"/>
                <w:b/>
                <w:bCs/>
                <w:sz w:val="18"/>
                <w:szCs w:val="18"/>
                <w:lang w:eastAsia="sk-SK"/>
              </w:rPr>
              <w:t>1</w:t>
            </w:r>
            <w:r w:rsidR="0057662E">
              <w:rPr>
                <w:rFonts w:asciiTheme="minorHAnsi" w:eastAsia="Times New Roman" w:hAnsiTheme="minorHAnsi"/>
                <w:b/>
                <w:bCs/>
                <w:sz w:val="18"/>
                <w:szCs w:val="18"/>
                <w:lang w:eastAsia="sk-SK"/>
              </w:rPr>
              <w:t> 444 913</w:t>
            </w:r>
            <w:r>
              <w:rPr>
                <w:rFonts w:asciiTheme="minorHAnsi" w:eastAsia="Times New Roman" w:hAnsiTheme="minorHAnsi"/>
                <w:b/>
                <w:bCs/>
                <w:sz w:val="18"/>
                <w:szCs w:val="18"/>
                <w:lang w:eastAsia="sk-SK"/>
              </w:rPr>
              <w:t>,36</w:t>
            </w:r>
          </w:p>
        </w:tc>
        <w:tc>
          <w:tcPr>
            <w:tcW w:w="1701" w:type="dxa"/>
            <w:tcBorders>
              <w:top w:val="nil"/>
              <w:left w:val="nil"/>
              <w:bottom w:val="nil"/>
              <w:right w:val="nil"/>
            </w:tcBorders>
            <w:shd w:val="clear" w:color="auto" w:fill="auto"/>
            <w:noWrap/>
            <w:vAlign w:val="bottom"/>
          </w:tcPr>
          <w:p w:rsidR="00EF3D7C" w:rsidRPr="004577CC" w:rsidRDefault="00EF3D7C" w:rsidP="00FC767B">
            <w:pPr>
              <w:rPr>
                <w:rFonts w:asciiTheme="minorHAnsi" w:eastAsia="Times New Roman" w:hAnsiTheme="minorHAnsi"/>
                <w:color w:val="000000"/>
                <w:sz w:val="20"/>
                <w:szCs w:val="20"/>
                <w:lang w:eastAsia="sk-SK"/>
              </w:rPr>
            </w:pPr>
          </w:p>
        </w:tc>
      </w:tr>
      <w:tr w:rsidR="00EF3D7C" w:rsidRPr="004524EB" w:rsidTr="001B4149">
        <w:trPr>
          <w:trHeight w:val="60"/>
        </w:trPr>
        <w:tc>
          <w:tcPr>
            <w:tcW w:w="2127" w:type="dxa"/>
            <w:tcBorders>
              <w:top w:val="nil"/>
              <w:left w:val="single" w:sz="4" w:space="0" w:color="auto"/>
              <w:bottom w:val="single" w:sz="4" w:space="0" w:color="auto"/>
              <w:right w:val="single" w:sz="4" w:space="0" w:color="auto"/>
            </w:tcBorders>
            <w:shd w:val="clear" w:color="000000" w:fill="D8E4BC"/>
            <w:vAlign w:val="bottom"/>
          </w:tcPr>
          <w:p w:rsidR="00EF3D7C" w:rsidRPr="00EF3D7C" w:rsidRDefault="009320F8" w:rsidP="00FC767B">
            <w:pP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Zmluvy</w:t>
            </w:r>
            <w:r w:rsidR="00210D4F">
              <w:rPr>
                <w:rFonts w:asciiTheme="minorHAnsi" w:eastAsia="Times New Roman" w:hAnsiTheme="minorHAnsi"/>
                <w:b/>
                <w:sz w:val="18"/>
                <w:szCs w:val="18"/>
                <w:lang w:eastAsia="sk-SK"/>
              </w:rPr>
              <w:t xml:space="preserve"> </w:t>
            </w:r>
            <w:r>
              <w:rPr>
                <w:rFonts w:asciiTheme="minorHAnsi" w:eastAsia="Times New Roman" w:hAnsiTheme="minorHAnsi"/>
                <w:b/>
                <w:sz w:val="18"/>
                <w:szCs w:val="18"/>
                <w:lang w:eastAsia="sk-SK"/>
              </w:rPr>
              <w:t>o dielo (</w:t>
            </w:r>
            <w:proofErr w:type="spellStart"/>
            <w:r w:rsidR="00210D4F">
              <w:rPr>
                <w:rFonts w:asciiTheme="minorHAnsi" w:eastAsia="Times New Roman" w:hAnsiTheme="minorHAnsi"/>
                <w:b/>
                <w:sz w:val="16"/>
                <w:szCs w:val="16"/>
                <w:lang w:eastAsia="sk-SK"/>
              </w:rPr>
              <w:t>nevýsk</w:t>
            </w:r>
            <w:proofErr w:type="spellEnd"/>
            <w:r>
              <w:rPr>
                <w:rFonts w:asciiTheme="minorHAnsi" w:eastAsia="Times New Roman" w:hAnsiTheme="minorHAnsi"/>
                <w:b/>
                <w:sz w:val="16"/>
                <w:szCs w:val="16"/>
                <w:lang w:eastAsia="sk-SK"/>
              </w:rPr>
              <w:t>.</w:t>
            </w:r>
            <w:r w:rsidRPr="009320F8">
              <w:rPr>
                <w:rFonts w:asciiTheme="minorHAnsi" w:eastAsia="Times New Roman" w:hAnsiTheme="minorHAnsi"/>
                <w:b/>
                <w:sz w:val="16"/>
                <w:szCs w:val="16"/>
                <w:lang w:eastAsia="sk-SK"/>
              </w:rPr>
              <w:t>)</w:t>
            </w:r>
          </w:p>
        </w:tc>
        <w:tc>
          <w:tcPr>
            <w:tcW w:w="1067" w:type="dxa"/>
            <w:tcBorders>
              <w:top w:val="nil"/>
              <w:left w:val="nil"/>
              <w:bottom w:val="single" w:sz="4" w:space="0" w:color="auto"/>
              <w:right w:val="single" w:sz="4" w:space="0" w:color="auto"/>
            </w:tcBorders>
            <w:shd w:val="clear" w:color="000000" w:fill="D8E4BC"/>
            <w:noWrap/>
            <w:vAlign w:val="bottom"/>
            <w:hideMark/>
          </w:tcPr>
          <w:p w:rsidR="00EF3D7C" w:rsidRPr="008A78F3" w:rsidRDefault="005703DB"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267 322</w:t>
            </w:r>
          </w:p>
        </w:tc>
        <w:tc>
          <w:tcPr>
            <w:tcW w:w="1275" w:type="dxa"/>
            <w:tcBorders>
              <w:top w:val="nil"/>
              <w:left w:val="nil"/>
              <w:bottom w:val="single" w:sz="4" w:space="0" w:color="auto"/>
              <w:right w:val="single" w:sz="4" w:space="0" w:color="auto"/>
            </w:tcBorders>
            <w:shd w:val="clear" w:color="000000" w:fill="D8E4BC"/>
            <w:noWrap/>
            <w:vAlign w:val="bottom"/>
            <w:hideMark/>
          </w:tcPr>
          <w:p w:rsidR="00EF3D7C" w:rsidRPr="008A78F3" w:rsidRDefault="00C42403"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35 301</w:t>
            </w:r>
          </w:p>
        </w:tc>
        <w:tc>
          <w:tcPr>
            <w:tcW w:w="1276" w:type="dxa"/>
            <w:tcBorders>
              <w:top w:val="nil"/>
              <w:left w:val="nil"/>
              <w:bottom w:val="single" w:sz="4" w:space="0" w:color="auto"/>
              <w:right w:val="single" w:sz="4" w:space="0" w:color="auto"/>
            </w:tcBorders>
            <w:shd w:val="clear" w:color="000000" w:fill="D8E4BC"/>
            <w:noWrap/>
            <w:vAlign w:val="bottom"/>
            <w:hideMark/>
          </w:tcPr>
          <w:p w:rsidR="00EF3D7C" w:rsidRPr="008A78F3" w:rsidRDefault="00BE3B1F"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540 665, 31</w:t>
            </w:r>
          </w:p>
        </w:tc>
        <w:tc>
          <w:tcPr>
            <w:tcW w:w="1276" w:type="dxa"/>
            <w:tcBorders>
              <w:top w:val="nil"/>
              <w:left w:val="nil"/>
              <w:bottom w:val="single" w:sz="4" w:space="0" w:color="auto"/>
              <w:right w:val="single" w:sz="4" w:space="0" w:color="auto"/>
            </w:tcBorders>
            <w:shd w:val="clear" w:color="000000" w:fill="D8E4BC"/>
            <w:noWrap/>
            <w:vAlign w:val="bottom"/>
            <w:hideMark/>
          </w:tcPr>
          <w:p w:rsidR="00EF3D7C" w:rsidRPr="008A78F3" w:rsidRDefault="00BE3B1F"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29 170</w:t>
            </w:r>
          </w:p>
        </w:tc>
        <w:tc>
          <w:tcPr>
            <w:tcW w:w="992" w:type="dxa"/>
            <w:tcBorders>
              <w:top w:val="nil"/>
              <w:left w:val="nil"/>
              <w:bottom w:val="single" w:sz="4" w:space="0" w:color="auto"/>
              <w:right w:val="single" w:sz="4" w:space="0" w:color="auto"/>
            </w:tcBorders>
            <w:shd w:val="clear" w:color="000000" w:fill="D8E4BC"/>
            <w:noWrap/>
            <w:vAlign w:val="bottom"/>
            <w:hideMark/>
          </w:tcPr>
          <w:p w:rsidR="00EF3D7C" w:rsidRPr="008A78F3" w:rsidRDefault="00C42403" w:rsidP="00264E30">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1 980</w:t>
            </w:r>
          </w:p>
        </w:tc>
        <w:tc>
          <w:tcPr>
            <w:tcW w:w="1418" w:type="dxa"/>
            <w:tcBorders>
              <w:top w:val="nil"/>
              <w:left w:val="nil"/>
              <w:bottom w:val="single" w:sz="4" w:space="0" w:color="auto"/>
              <w:right w:val="single" w:sz="4" w:space="0" w:color="auto"/>
            </w:tcBorders>
            <w:shd w:val="clear" w:color="000000" w:fill="D8E4BC"/>
            <w:noWrap/>
            <w:vAlign w:val="bottom"/>
            <w:hideMark/>
          </w:tcPr>
          <w:p w:rsidR="00EF3D7C" w:rsidRPr="008A78F3" w:rsidRDefault="00BE3B1F" w:rsidP="00EC4DDC">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14 201,56</w:t>
            </w:r>
          </w:p>
        </w:tc>
        <w:tc>
          <w:tcPr>
            <w:tcW w:w="1134" w:type="dxa"/>
            <w:tcBorders>
              <w:top w:val="nil"/>
              <w:left w:val="nil"/>
              <w:bottom w:val="single" w:sz="4" w:space="0" w:color="auto"/>
              <w:right w:val="single" w:sz="4" w:space="0" w:color="auto"/>
            </w:tcBorders>
            <w:shd w:val="clear" w:color="000000" w:fill="D8E4BC"/>
            <w:noWrap/>
            <w:vAlign w:val="bottom"/>
            <w:hideMark/>
          </w:tcPr>
          <w:p w:rsidR="00EF3D7C" w:rsidRPr="008A78F3" w:rsidRDefault="00BE3B1F" w:rsidP="00E50A92">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0</w:t>
            </w:r>
          </w:p>
        </w:tc>
        <w:tc>
          <w:tcPr>
            <w:tcW w:w="917" w:type="dxa"/>
            <w:tcBorders>
              <w:top w:val="nil"/>
              <w:left w:val="nil"/>
              <w:bottom w:val="single" w:sz="4" w:space="0" w:color="auto"/>
              <w:right w:val="single" w:sz="4" w:space="0" w:color="auto"/>
            </w:tcBorders>
            <w:shd w:val="clear" w:color="000000" w:fill="D8E4BC"/>
            <w:noWrap/>
            <w:vAlign w:val="bottom"/>
            <w:hideMark/>
          </w:tcPr>
          <w:p w:rsidR="00EF3D7C" w:rsidRPr="008A78F3" w:rsidRDefault="00BE3B1F" w:rsidP="00BE3B1F">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4 000</w:t>
            </w:r>
          </w:p>
        </w:tc>
        <w:tc>
          <w:tcPr>
            <w:tcW w:w="992" w:type="dxa"/>
            <w:tcBorders>
              <w:top w:val="nil"/>
              <w:left w:val="nil"/>
              <w:bottom w:val="single" w:sz="4" w:space="0" w:color="auto"/>
              <w:right w:val="single" w:sz="4" w:space="0" w:color="auto"/>
            </w:tcBorders>
            <w:shd w:val="clear" w:color="000000" w:fill="D8E4BC"/>
            <w:noWrap/>
            <w:vAlign w:val="bottom"/>
            <w:hideMark/>
          </w:tcPr>
          <w:p w:rsidR="00EF3D7C" w:rsidRPr="008A78F3" w:rsidRDefault="00BE3B1F"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0</w:t>
            </w:r>
          </w:p>
        </w:tc>
        <w:tc>
          <w:tcPr>
            <w:tcW w:w="1418" w:type="dxa"/>
            <w:tcBorders>
              <w:top w:val="nil"/>
              <w:left w:val="nil"/>
              <w:bottom w:val="single" w:sz="4" w:space="0" w:color="auto"/>
              <w:right w:val="single" w:sz="4" w:space="0" w:color="auto"/>
            </w:tcBorders>
            <w:shd w:val="clear" w:color="000000" w:fill="D8E4BC"/>
            <w:noWrap/>
            <w:vAlign w:val="bottom"/>
            <w:hideMark/>
          </w:tcPr>
          <w:p w:rsidR="00EF3D7C" w:rsidRPr="008A78F3" w:rsidRDefault="00BE3B1F" w:rsidP="00690B89">
            <w:pPr>
              <w:jc w:val="center"/>
              <w:rPr>
                <w:rFonts w:asciiTheme="minorHAnsi" w:eastAsia="Times New Roman" w:hAnsiTheme="minorHAnsi"/>
                <w:b/>
                <w:sz w:val="18"/>
                <w:szCs w:val="18"/>
                <w:lang w:eastAsia="sk-SK"/>
              </w:rPr>
            </w:pPr>
            <w:r>
              <w:rPr>
                <w:rFonts w:asciiTheme="minorHAnsi" w:eastAsia="Times New Roman" w:hAnsiTheme="minorHAnsi"/>
                <w:b/>
                <w:sz w:val="18"/>
                <w:szCs w:val="18"/>
                <w:lang w:eastAsia="sk-SK"/>
              </w:rPr>
              <w:t>0</w:t>
            </w:r>
          </w:p>
        </w:tc>
        <w:tc>
          <w:tcPr>
            <w:tcW w:w="1417" w:type="dxa"/>
            <w:tcBorders>
              <w:top w:val="nil"/>
              <w:left w:val="nil"/>
              <w:bottom w:val="single" w:sz="4" w:space="0" w:color="auto"/>
              <w:right w:val="single" w:sz="4" w:space="0" w:color="auto"/>
            </w:tcBorders>
            <w:shd w:val="clear" w:color="000000" w:fill="D8E4BC"/>
            <w:noWrap/>
            <w:vAlign w:val="bottom"/>
          </w:tcPr>
          <w:p w:rsidR="00EF3D7C" w:rsidRPr="008A78F3" w:rsidRDefault="00443479" w:rsidP="00690B89">
            <w:pPr>
              <w:jc w:val="center"/>
              <w:rPr>
                <w:rFonts w:asciiTheme="minorHAnsi" w:eastAsia="Times New Roman" w:hAnsiTheme="minorHAnsi"/>
                <w:b/>
                <w:bCs/>
                <w:sz w:val="18"/>
                <w:szCs w:val="18"/>
                <w:lang w:eastAsia="sk-SK"/>
              </w:rPr>
            </w:pPr>
            <w:r>
              <w:rPr>
                <w:rFonts w:asciiTheme="minorHAnsi" w:eastAsia="Times New Roman" w:hAnsiTheme="minorHAnsi"/>
                <w:b/>
                <w:bCs/>
                <w:sz w:val="18"/>
                <w:szCs w:val="18"/>
                <w:lang w:eastAsia="sk-SK"/>
              </w:rPr>
              <w:t>892 639, 87</w:t>
            </w:r>
          </w:p>
        </w:tc>
        <w:tc>
          <w:tcPr>
            <w:tcW w:w="1701" w:type="dxa"/>
            <w:tcBorders>
              <w:top w:val="nil"/>
              <w:left w:val="nil"/>
              <w:bottom w:val="nil"/>
              <w:right w:val="nil"/>
            </w:tcBorders>
            <w:shd w:val="clear" w:color="auto" w:fill="auto"/>
            <w:noWrap/>
            <w:vAlign w:val="bottom"/>
            <w:hideMark/>
          </w:tcPr>
          <w:p w:rsidR="00EF3D7C" w:rsidRPr="004577CC" w:rsidRDefault="00EF3D7C" w:rsidP="00FC767B">
            <w:pPr>
              <w:rPr>
                <w:rFonts w:asciiTheme="minorHAnsi" w:eastAsia="Times New Roman" w:hAnsiTheme="minorHAnsi"/>
                <w:color w:val="000000"/>
                <w:sz w:val="20"/>
                <w:szCs w:val="20"/>
                <w:lang w:eastAsia="sk-SK"/>
              </w:rPr>
            </w:pPr>
          </w:p>
        </w:tc>
      </w:tr>
    </w:tbl>
    <w:p w:rsidR="007A33CB" w:rsidRDefault="007A33CB" w:rsidP="00B26015">
      <w:pPr>
        <w:jc w:val="left"/>
        <w:rPr>
          <w:rFonts w:asciiTheme="minorHAnsi" w:hAnsiTheme="minorHAnsi"/>
          <w:b/>
          <w:sz w:val="20"/>
          <w:szCs w:val="20"/>
        </w:rPr>
        <w:sectPr w:rsidR="007A33CB" w:rsidSect="00D12F6A">
          <w:headerReference w:type="default" r:id="rId43"/>
          <w:pgSz w:w="16840" w:h="11900" w:orient="landscape"/>
          <w:pgMar w:top="1531" w:right="2126" w:bottom="1797" w:left="1276" w:header="227" w:footer="624" w:gutter="0"/>
          <w:cols w:space="708"/>
          <w:docGrid w:linePitch="360"/>
        </w:sectPr>
      </w:pPr>
    </w:p>
    <w:p w:rsidR="00D7160C" w:rsidRPr="00D7160C" w:rsidRDefault="00C7402A" w:rsidP="00B26015">
      <w:pPr>
        <w:jc w:val="left"/>
        <w:rPr>
          <w:rFonts w:asciiTheme="minorHAnsi" w:hAnsiTheme="minorHAnsi"/>
          <w:sz w:val="20"/>
          <w:szCs w:val="20"/>
        </w:rPr>
      </w:pPr>
      <w:r w:rsidRPr="00C7402A">
        <w:rPr>
          <w:rFonts w:asciiTheme="minorHAnsi" w:hAnsiTheme="minorHAnsi"/>
          <w:b/>
          <w:sz w:val="20"/>
          <w:szCs w:val="20"/>
        </w:rPr>
        <w:lastRenderedPageBreak/>
        <w:t>Graf 5.7</w:t>
      </w:r>
      <w:r w:rsidR="00D7160C" w:rsidRPr="00C7402A">
        <w:rPr>
          <w:rFonts w:asciiTheme="minorHAnsi" w:hAnsiTheme="minorHAnsi"/>
          <w:b/>
          <w:sz w:val="20"/>
          <w:szCs w:val="20"/>
        </w:rPr>
        <w:t xml:space="preserve"> Podiel jednotlivých zdrojov na financovania STU v roku 2015 (mimo financií zo ŠF EÚ)</w:t>
      </w:r>
      <w:r w:rsidR="00D7160C" w:rsidRPr="00D7160C">
        <w:rPr>
          <w:rFonts w:asciiTheme="minorHAnsi" w:hAnsiTheme="minorHAnsi"/>
          <w:noProof/>
          <w:sz w:val="20"/>
          <w:szCs w:val="20"/>
          <w:lang w:eastAsia="sk-SK"/>
        </w:rPr>
        <w:drawing>
          <wp:inline distT="0" distB="0" distL="0" distR="0" wp14:anchorId="6BA23B8E" wp14:editId="49D39D2A">
            <wp:extent cx="4572000" cy="2623930"/>
            <wp:effectExtent l="0" t="0" r="0" b="508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175F8" w:rsidRDefault="00F175F8" w:rsidP="00B26015">
      <w:pPr>
        <w:rPr>
          <w:rFonts w:asciiTheme="minorHAnsi" w:hAnsiTheme="minorHAnsi"/>
        </w:rPr>
      </w:pPr>
    </w:p>
    <w:p w:rsidR="00B51749" w:rsidRPr="00D7160C" w:rsidRDefault="00B51749" w:rsidP="00B51749">
      <w:pPr>
        <w:rPr>
          <w:rFonts w:asciiTheme="minorHAnsi" w:hAnsiTheme="minorHAnsi"/>
          <w:color w:val="FF0000"/>
          <w:lang w:eastAsia="cs-CZ"/>
        </w:rPr>
      </w:pPr>
    </w:p>
    <w:p w:rsidR="00B51749" w:rsidRPr="002D7A10" w:rsidRDefault="00B51749" w:rsidP="00B51749">
      <w:pPr>
        <w:pStyle w:val="Nadpis3"/>
        <w:rPr>
          <w:rFonts w:asciiTheme="minorHAnsi" w:hAnsiTheme="minorHAnsi"/>
          <w:color w:val="auto"/>
        </w:rPr>
      </w:pPr>
      <w:bookmarkStart w:id="31" w:name="_Toc448261573"/>
      <w:r w:rsidRPr="002D7A10">
        <w:rPr>
          <w:rFonts w:asciiTheme="minorHAnsi" w:hAnsiTheme="minorHAnsi"/>
          <w:color w:val="auto"/>
        </w:rPr>
        <w:t>Domáce a zahraničné granty</w:t>
      </w:r>
      <w:bookmarkEnd w:id="31"/>
      <w:r w:rsidRPr="002D7A10">
        <w:rPr>
          <w:rFonts w:asciiTheme="minorHAnsi" w:hAnsiTheme="minorHAnsi"/>
          <w:color w:val="auto"/>
        </w:rPr>
        <w:t xml:space="preserve"> </w:t>
      </w:r>
    </w:p>
    <w:p w:rsidR="00655211" w:rsidRDefault="00655211" w:rsidP="003C19C6">
      <w:pPr>
        <w:rPr>
          <w:rFonts w:asciiTheme="minorHAnsi" w:hAnsiTheme="minorHAnsi"/>
        </w:rPr>
      </w:pPr>
    </w:p>
    <w:p w:rsidR="003C19C6" w:rsidRPr="00B459B5" w:rsidRDefault="003C19C6" w:rsidP="003C19C6">
      <w:pPr>
        <w:rPr>
          <w:rFonts w:asciiTheme="minorHAnsi" w:hAnsiTheme="minorHAnsi"/>
        </w:rPr>
      </w:pPr>
      <w:r w:rsidRPr="00B459B5">
        <w:rPr>
          <w:rFonts w:asciiTheme="minorHAnsi" w:hAnsiTheme="minorHAnsi"/>
        </w:rPr>
        <w:t xml:space="preserve">Keďže štruktúra financovania výskumu je nastavená tak, že významnú časť tvoria zdroje štátneho rozpočtu smerované do rôznych grantových schém, dlhotrvajúce finančné poddimenzovanie zdrojov štátu na takéto aktivity sa negatívne prejavuje aj v postupnom absolútnom znižovaní objemu finančných prostriedkov, ktoré univerzita získava na financovanie vedy. Tabuľka </w:t>
      </w:r>
      <w:r w:rsidR="00823F97">
        <w:rPr>
          <w:rFonts w:asciiTheme="minorHAnsi" w:hAnsiTheme="minorHAnsi"/>
        </w:rPr>
        <w:t>5.3</w:t>
      </w:r>
      <w:r w:rsidRPr="00B459B5">
        <w:rPr>
          <w:rFonts w:asciiTheme="minorHAnsi" w:hAnsiTheme="minorHAnsi"/>
        </w:rPr>
        <w:t xml:space="preserve"> u</w:t>
      </w:r>
      <w:r w:rsidR="00F30639">
        <w:rPr>
          <w:rFonts w:asciiTheme="minorHAnsi" w:hAnsiTheme="minorHAnsi"/>
        </w:rPr>
        <w:t>kazuje</w:t>
      </w:r>
      <w:r w:rsidRPr="00B459B5">
        <w:rPr>
          <w:rFonts w:asciiTheme="minorHAnsi" w:hAnsiTheme="minorHAnsi"/>
        </w:rPr>
        <w:t xml:space="preserve"> vývoj v získavaní finančných prostriedkov súčastí STU od roku 2011 z domácich grantových agentúr (VEGA, KEGA a APVV) (finančné prostriedky v € získané súčasťou STU v danom kalendárnom roku).</w:t>
      </w:r>
    </w:p>
    <w:p w:rsidR="003C19C6" w:rsidRPr="00B459B5" w:rsidRDefault="003C19C6" w:rsidP="003C19C6">
      <w:pPr>
        <w:rPr>
          <w:rFonts w:asciiTheme="minorHAnsi" w:hAnsiTheme="minorHAnsi"/>
        </w:rPr>
      </w:pPr>
    </w:p>
    <w:p w:rsidR="003C19C6" w:rsidRPr="00F30639" w:rsidRDefault="00F30639" w:rsidP="003C19C6">
      <w:pPr>
        <w:rPr>
          <w:rFonts w:asciiTheme="minorHAnsi" w:hAnsiTheme="minorHAnsi"/>
          <w:b/>
          <w:sz w:val="20"/>
          <w:szCs w:val="20"/>
        </w:rPr>
      </w:pPr>
      <w:r w:rsidRPr="00F30639">
        <w:rPr>
          <w:rFonts w:asciiTheme="minorHAnsi" w:hAnsiTheme="minorHAnsi"/>
          <w:b/>
          <w:sz w:val="20"/>
          <w:szCs w:val="20"/>
        </w:rPr>
        <w:t>Tabuľka 5.</w:t>
      </w:r>
      <w:r w:rsidR="00823F97">
        <w:rPr>
          <w:rFonts w:asciiTheme="minorHAnsi" w:hAnsiTheme="minorHAnsi"/>
          <w:b/>
          <w:sz w:val="20"/>
          <w:szCs w:val="20"/>
        </w:rPr>
        <w:t>3</w:t>
      </w:r>
      <w:r w:rsidRPr="00F30639">
        <w:rPr>
          <w:rFonts w:asciiTheme="minorHAnsi" w:hAnsiTheme="minorHAnsi"/>
          <w:b/>
          <w:sz w:val="20"/>
          <w:szCs w:val="20"/>
        </w:rPr>
        <w:t>:</w:t>
      </w:r>
      <w:r w:rsidR="003C19C6" w:rsidRPr="00F30639">
        <w:rPr>
          <w:rFonts w:asciiTheme="minorHAnsi" w:hAnsiTheme="minorHAnsi"/>
          <w:b/>
          <w:sz w:val="20"/>
          <w:szCs w:val="20"/>
        </w:rPr>
        <w:t xml:space="preserve"> Finančné prostriedky získané súčasťami STU v rokoch 2011-2015 z d</w:t>
      </w:r>
      <w:r w:rsidRPr="00F30639">
        <w:rPr>
          <w:rFonts w:asciiTheme="minorHAnsi" w:hAnsiTheme="minorHAnsi"/>
          <w:b/>
          <w:sz w:val="20"/>
          <w:szCs w:val="20"/>
        </w:rPr>
        <w:t>omácich grantových agentúr v eurách</w:t>
      </w:r>
    </w:p>
    <w:tbl>
      <w:tblPr>
        <w:tblStyle w:val="Mriekatabuky"/>
        <w:tblW w:w="0" w:type="auto"/>
        <w:jc w:val="center"/>
        <w:tblLook w:val="04A0" w:firstRow="1" w:lastRow="0" w:firstColumn="1" w:lastColumn="0" w:noHBand="0" w:noVBand="1"/>
      </w:tblPr>
      <w:tblGrid>
        <w:gridCol w:w="960"/>
        <w:gridCol w:w="1068"/>
        <w:gridCol w:w="1068"/>
        <w:gridCol w:w="1265"/>
        <w:gridCol w:w="1276"/>
        <w:gridCol w:w="1417"/>
      </w:tblGrid>
      <w:tr w:rsidR="003C19C6" w:rsidRPr="00F30639" w:rsidTr="00520814">
        <w:trPr>
          <w:trHeight w:val="288"/>
          <w:jc w:val="center"/>
        </w:trPr>
        <w:tc>
          <w:tcPr>
            <w:tcW w:w="960" w:type="dxa"/>
            <w:tcBorders>
              <w:top w:val="nil"/>
              <w:left w:val="nil"/>
              <w:bottom w:val="single" w:sz="12" w:space="0" w:color="auto"/>
              <w:right w:val="single" w:sz="12" w:space="0" w:color="auto"/>
            </w:tcBorders>
            <w:noWrap/>
            <w:hideMark/>
          </w:tcPr>
          <w:p w:rsidR="003C19C6" w:rsidRPr="00F30639" w:rsidRDefault="003C19C6" w:rsidP="00520814">
            <w:pPr>
              <w:rPr>
                <w:rFonts w:asciiTheme="minorHAnsi" w:hAnsiTheme="minorHAnsi"/>
                <w:sz w:val="20"/>
                <w:szCs w:val="20"/>
              </w:rPr>
            </w:pPr>
          </w:p>
        </w:tc>
        <w:tc>
          <w:tcPr>
            <w:tcW w:w="1068"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2011</w:t>
            </w:r>
          </w:p>
        </w:tc>
        <w:tc>
          <w:tcPr>
            <w:tcW w:w="1068"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2012</w:t>
            </w:r>
          </w:p>
        </w:tc>
        <w:tc>
          <w:tcPr>
            <w:tcW w:w="1265"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2013</w:t>
            </w:r>
          </w:p>
        </w:tc>
        <w:tc>
          <w:tcPr>
            <w:tcW w:w="1276"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2014</w:t>
            </w:r>
          </w:p>
        </w:tc>
        <w:tc>
          <w:tcPr>
            <w:tcW w:w="1417"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2015</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SvF</w:t>
            </w:r>
          </w:p>
        </w:tc>
        <w:tc>
          <w:tcPr>
            <w:tcW w:w="1068" w:type="dxa"/>
            <w:tcBorders>
              <w:top w:val="single" w:sz="12" w:space="0" w:color="auto"/>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784250</w:t>
            </w:r>
          </w:p>
        </w:tc>
        <w:tc>
          <w:tcPr>
            <w:tcW w:w="1068" w:type="dxa"/>
            <w:tcBorders>
              <w:top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919754</w:t>
            </w:r>
          </w:p>
        </w:tc>
        <w:tc>
          <w:tcPr>
            <w:tcW w:w="1265" w:type="dxa"/>
            <w:tcBorders>
              <w:top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1 058 578</w:t>
            </w:r>
          </w:p>
        </w:tc>
        <w:tc>
          <w:tcPr>
            <w:tcW w:w="1276" w:type="dxa"/>
            <w:tcBorders>
              <w:top w:val="single" w:sz="12" w:space="0" w:color="auto"/>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1 406 491</w:t>
            </w:r>
          </w:p>
        </w:tc>
        <w:tc>
          <w:tcPr>
            <w:tcW w:w="1417" w:type="dxa"/>
            <w:tcBorders>
              <w:top w:val="single" w:sz="12"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808032</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SjF</w:t>
            </w:r>
          </w:p>
        </w:tc>
        <w:tc>
          <w:tcPr>
            <w:tcW w:w="106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982550</w:t>
            </w:r>
          </w:p>
        </w:tc>
        <w:tc>
          <w:tcPr>
            <w:tcW w:w="1068"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319112</w:t>
            </w:r>
          </w:p>
        </w:tc>
        <w:tc>
          <w:tcPr>
            <w:tcW w:w="1265"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371 618</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475 222</w:t>
            </w:r>
          </w:p>
        </w:tc>
        <w:tc>
          <w:tcPr>
            <w:tcW w:w="1417"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399526</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FEI</w:t>
            </w:r>
          </w:p>
        </w:tc>
        <w:tc>
          <w:tcPr>
            <w:tcW w:w="106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1107781</w:t>
            </w:r>
          </w:p>
        </w:tc>
        <w:tc>
          <w:tcPr>
            <w:tcW w:w="1068"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1107187</w:t>
            </w:r>
          </w:p>
        </w:tc>
        <w:tc>
          <w:tcPr>
            <w:tcW w:w="1265"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1 268 552</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2 009 774</w:t>
            </w:r>
          </w:p>
        </w:tc>
        <w:tc>
          <w:tcPr>
            <w:tcW w:w="1417"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1394598</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FCHPT</w:t>
            </w:r>
          </w:p>
        </w:tc>
        <w:tc>
          <w:tcPr>
            <w:tcW w:w="106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784616</w:t>
            </w:r>
          </w:p>
        </w:tc>
        <w:tc>
          <w:tcPr>
            <w:tcW w:w="1068"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1025946</w:t>
            </w:r>
          </w:p>
        </w:tc>
        <w:tc>
          <w:tcPr>
            <w:tcW w:w="1265"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1 313 296</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1 470 968</w:t>
            </w:r>
          </w:p>
        </w:tc>
        <w:tc>
          <w:tcPr>
            <w:tcW w:w="1417"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1562352</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FA</w:t>
            </w:r>
          </w:p>
        </w:tc>
        <w:tc>
          <w:tcPr>
            <w:tcW w:w="106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14137</w:t>
            </w:r>
          </w:p>
        </w:tc>
        <w:tc>
          <w:tcPr>
            <w:tcW w:w="1068"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30793</w:t>
            </w:r>
          </w:p>
        </w:tc>
        <w:tc>
          <w:tcPr>
            <w:tcW w:w="1265"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33 594</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164 610</w:t>
            </w:r>
          </w:p>
        </w:tc>
        <w:tc>
          <w:tcPr>
            <w:tcW w:w="1417"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140380</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MTF</w:t>
            </w:r>
          </w:p>
        </w:tc>
        <w:tc>
          <w:tcPr>
            <w:tcW w:w="106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218344</w:t>
            </w:r>
          </w:p>
        </w:tc>
        <w:tc>
          <w:tcPr>
            <w:tcW w:w="1068"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354857</w:t>
            </w:r>
          </w:p>
        </w:tc>
        <w:tc>
          <w:tcPr>
            <w:tcW w:w="1265"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307 923</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416 408</w:t>
            </w:r>
          </w:p>
        </w:tc>
        <w:tc>
          <w:tcPr>
            <w:tcW w:w="1417"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451660</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FIIT</w:t>
            </w:r>
          </w:p>
        </w:tc>
        <w:tc>
          <w:tcPr>
            <w:tcW w:w="106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166474</w:t>
            </w:r>
          </w:p>
        </w:tc>
        <w:tc>
          <w:tcPr>
            <w:tcW w:w="1068"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117901</w:t>
            </w:r>
          </w:p>
        </w:tc>
        <w:tc>
          <w:tcPr>
            <w:tcW w:w="1265"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219 963</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155 497</w:t>
            </w:r>
          </w:p>
        </w:tc>
        <w:tc>
          <w:tcPr>
            <w:tcW w:w="1417"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67467</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UM</w:t>
            </w:r>
          </w:p>
        </w:tc>
        <w:tc>
          <w:tcPr>
            <w:tcW w:w="106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15513</w:t>
            </w:r>
          </w:p>
        </w:tc>
        <w:tc>
          <w:tcPr>
            <w:tcW w:w="1068"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19279</w:t>
            </w:r>
          </w:p>
        </w:tc>
        <w:tc>
          <w:tcPr>
            <w:tcW w:w="1265"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31 845</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43 960</w:t>
            </w:r>
          </w:p>
        </w:tc>
        <w:tc>
          <w:tcPr>
            <w:tcW w:w="1417"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5322</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R-STU</w:t>
            </w:r>
          </w:p>
        </w:tc>
        <w:tc>
          <w:tcPr>
            <w:tcW w:w="1068" w:type="dxa"/>
            <w:tcBorders>
              <w:left w:val="single" w:sz="12" w:space="0" w:color="auto"/>
              <w:bottom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49300</w:t>
            </w:r>
          </w:p>
        </w:tc>
        <w:tc>
          <w:tcPr>
            <w:tcW w:w="1068" w:type="dxa"/>
            <w:tcBorders>
              <w:bottom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0</w:t>
            </w:r>
          </w:p>
        </w:tc>
        <w:tc>
          <w:tcPr>
            <w:tcW w:w="1265" w:type="dxa"/>
            <w:tcBorders>
              <w:bottom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0</w:t>
            </w:r>
          </w:p>
        </w:tc>
        <w:tc>
          <w:tcPr>
            <w:tcW w:w="1276" w:type="dxa"/>
            <w:tcBorders>
              <w:bottom w:val="single" w:sz="12" w:space="0" w:color="auto"/>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0</w:t>
            </w:r>
          </w:p>
        </w:tc>
        <w:tc>
          <w:tcPr>
            <w:tcW w:w="1417" w:type="dxa"/>
            <w:tcBorders>
              <w:top w:val="single" w:sz="6" w:space="0" w:color="auto"/>
              <w:left w:val="single" w:sz="4" w:space="0" w:color="auto"/>
              <w:bottom w:val="single" w:sz="12"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8968</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STU</w:t>
            </w:r>
          </w:p>
        </w:tc>
        <w:tc>
          <w:tcPr>
            <w:tcW w:w="1068"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4122965</w:t>
            </w:r>
          </w:p>
        </w:tc>
        <w:tc>
          <w:tcPr>
            <w:tcW w:w="1068"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3894829</w:t>
            </w:r>
          </w:p>
        </w:tc>
        <w:tc>
          <w:tcPr>
            <w:tcW w:w="1265"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4 605 369</w:t>
            </w:r>
          </w:p>
        </w:tc>
        <w:tc>
          <w:tcPr>
            <w:tcW w:w="1276"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6 142 930</w:t>
            </w:r>
          </w:p>
        </w:tc>
        <w:tc>
          <w:tcPr>
            <w:tcW w:w="1417"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3C19C6" w:rsidRPr="00F30639" w:rsidRDefault="003C19C6" w:rsidP="00520814">
            <w:pPr>
              <w:jc w:val="center"/>
              <w:rPr>
                <w:rFonts w:asciiTheme="minorHAnsi" w:hAnsiTheme="minorHAnsi"/>
                <w:b/>
                <w:sz w:val="20"/>
                <w:szCs w:val="20"/>
              </w:rPr>
            </w:pPr>
            <w:r w:rsidRPr="00F30639">
              <w:rPr>
                <w:rFonts w:asciiTheme="minorHAnsi" w:hAnsiTheme="minorHAnsi"/>
                <w:b/>
                <w:sz w:val="20"/>
                <w:szCs w:val="20"/>
              </w:rPr>
              <w:t>4838305</w:t>
            </w:r>
          </w:p>
        </w:tc>
      </w:tr>
    </w:tbl>
    <w:p w:rsidR="003C19C6" w:rsidRPr="00F30639" w:rsidRDefault="003C19C6" w:rsidP="003C19C6">
      <w:pPr>
        <w:rPr>
          <w:rFonts w:asciiTheme="minorHAnsi" w:hAnsiTheme="minorHAnsi"/>
          <w:sz w:val="20"/>
          <w:szCs w:val="20"/>
        </w:rPr>
      </w:pPr>
    </w:p>
    <w:p w:rsidR="00F30639" w:rsidRDefault="00F30639" w:rsidP="003C19C6">
      <w:pPr>
        <w:rPr>
          <w:rFonts w:asciiTheme="minorHAnsi" w:hAnsiTheme="minorHAnsi"/>
          <w:b/>
          <w:sz w:val="20"/>
          <w:szCs w:val="20"/>
        </w:rPr>
      </w:pPr>
    </w:p>
    <w:p w:rsidR="00B26015" w:rsidRPr="00F30639" w:rsidRDefault="00B26015" w:rsidP="003C19C6">
      <w:pPr>
        <w:rPr>
          <w:rFonts w:asciiTheme="minorHAnsi" w:hAnsiTheme="minorHAnsi"/>
          <w:b/>
          <w:sz w:val="20"/>
          <w:szCs w:val="20"/>
        </w:rPr>
      </w:pPr>
    </w:p>
    <w:p w:rsidR="00F30639" w:rsidRPr="00F30639" w:rsidRDefault="00F30639" w:rsidP="003C19C6">
      <w:pPr>
        <w:rPr>
          <w:rFonts w:asciiTheme="minorHAnsi" w:hAnsiTheme="minorHAnsi"/>
          <w:b/>
          <w:sz w:val="20"/>
          <w:szCs w:val="20"/>
        </w:rPr>
      </w:pPr>
      <w:r w:rsidRPr="00F30639">
        <w:rPr>
          <w:rFonts w:asciiTheme="minorHAnsi" w:hAnsiTheme="minorHAnsi"/>
          <w:b/>
          <w:sz w:val="20"/>
          <w:szCs w:val="20"/>
        </w:rPr>
        <w:lastRenderedPageBreak/>
        <w:t>Graf 5.8:</w:t>
      </w:r>
      <w:r w:rsidR="003C19C6" w:rsidRPr="00F30639">
        <w:rPr>
          <w:rFonts w:asciiTheme="minorHAnsi" w:hAnsiTheme="minorHAnsi"/>
          <w:b/>
          <w:sz w:val="20"/>
          <w:szCs w:val="20"/>
        </w:rPr>
        <w:t xml:space="preserve"> </w:t>
      </w:r>
      <w:r>
        <w:rPr>
          <w:rFonts w:asciiTheme="minorHAnsi" w:hAnsiTheme="minorHAnsi"/>
          <w:b/>
          <w:sz w:val="20"/>
          <w:szCs w:val="20"/>
        </w:rPr>
        <w:t>V</w:t>
      </w:r>
      <w:r w:rsidR="003C19C6" w:rsidRPr="00F30639">
        <w:rPr>
          <w:rFonts w:asciiTheme="minorHAnsi" w:hAnsiTheme="minorHAnsi"/>
          <w:b/>
          <w:sz w:val="20"/>
          <w:szCs w:val="20"/>
        </w:rPr>
        <w:t>ývoj v získavaní finančných prostriedkov STU v rokoch 2011-2015 z domácich grantových agentúr (VEGA, KEGA a APVV)</w:t>
      </w:r>
      <w:r w:rsidR="003C19C6" w:rsidRPr="00F30639">
        <w:rPr>
          <w:rStyle w:val="Odkaznapoznmkupodiarou"/>
          <w:rFonts w:asciiTheme="minorHAnsi" w:hAnsiTheme="minorHAnsi"/>
          <w:b/>
          <w:sz w:val="20"/>
          <w:szCs w:val="20"/>
        </w:rPr>
        <w:footnoteReference w:id="2"/>
      </w:r>
    </w:p>
    <w:p w:rsidR="003C19C6" w:rsidRPr="00F30639" w:rsidRDefault="003C19C6" w:rsidP="003C19C6">
      <w:pPr>
        <w:jc w:val="center"/>
        <w:rPr>
          <w:rFonts w:asciiTheme="minorHAnsi" w:hAnsiTheme="minorHAnsi"/>
          <w:sz w:val="20"/>
          <w:szCs w:val="20"/>
        </w:rPr>
      </w:pPr>
      <w:r w:rsidRPr="00F30639">
        <w:rPr>
          <w:rFonts w:asciiTheme="minorHAnsi" w:hAnsiTheme="minorHAnsi"/>
          <w:noProof/>
          <w:sz w:val="20"/>
          <w:szCs w:val="20"/>
          <w:lang w:eastAsia="sk-SK"/>
        </w:rPr>
        <w:drawing>
          <wp:inline distT="0" distB="0" distL="0" distR="0" wp14:anchorId="75BABDBA" wp14:editId="180D6E7A">
            <wp:extent cx="4572000" cy="2773680"/>
            <wp:effectExtent l="0" t="0" r="0" b="762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C19C6" w:rsidRPr="00B459B5" w:rsidRDefault="003C19C6" w:rsidP="00F30639">
      <w:pPr>
        <w:rPr>
          <w:rFonts w:asciiTheme="minorHAnsi" w:hAnsiTheme="minorHAnsi"/>
        </w:rPr>
      </w:pPr>
    </w:p>
    <w:p w:rsidR="00F30639" w:rsidRDefault="003C19C6" w:rsidP="00F30639">
      <w:pPr>
        <w:rPr>
          <w:rFonts w:asciiTheme="minorHAnsi" w:hAnsiTheme="minorHAnsi"/>
        </w:rPr>
      </w:pPr>
      <w:r w:rsidRPr="00B459B5">
        <w:rPr>
          <w:rFonts w:asciiTheme="minorHAnsi" w:hAnsiTheme="minorHAnsi"/>
        </w:rPr>
        <w:t>Podobné informácie v úspešnosti v získavaní finančných prostriedkov súčastí STU v rokoch 2011-2015 zo zahraničných výskumných agentúr sú uvedené v tabuľke 5</w:t>
      </w:r>
      <w:r w:rsidR="00F30639">
        <w:rPr>
          <w:rFonts w:asciiTheme="minorHAnsi" w:hAnsiTheme="minorHAnsi"/>
        </w:rPr>
        <w:t>.</w:t>
      </w:r>
      <w:r w:rsidR="001D78BB">
        <w:rPr>
          <w:rFonts w:asciiTheme="minorHAnsi" w:hAnsiTheme="minorHAnsi"/>
        </w:rPr>
        <w:t>4</w:t>
      </w:r>
      <w:r w:rsidRPr="00B459B5">
        <w:rPr>
          <w:rFonts w:asciiTheme="minorHAnsi" w:hAnsiTheme="minorHAnsi"/>
        </w:rPr>
        <w:t xml:space="preserve"> a na úrov</w:t>
      </w:r>
      <w:r w:rsidR="00F30639">
        <w:rPr>
          <w:rFonts w:asciiTheme="minorHAnsi" w:hAnsiTheme="minorHAnsi"/>
        </w:rPr>
        <w:t>ni</w:t>
      </w:r>
      <w:r w:rsidRPr="00B459B5">
        <w:rPr>
          <w:rFonts w:asciiTheme="minorHAnsi" w:hAnsiTheme="minorHAnsi"/>
        </w:rPr>
        <w:t xml:space="preserve"> celej univerzity </w:t>
      </w:r>
      <w:r w:rsidR="00F30639">
        <w:rPr>
          <w:rFonts w:asciiTheme="minorHAnsi" w:hAnsiTheme="minorHAnsi"/>
        </w:rPr>
        <w:t>v grafe 5.</w:t>
      </w:r>
      <w:r w:rsidRPr="00B459B5">
        <w:rPr>
          <w:rFonts w:asciiTheme="minorHAnsi" w:hAnsiTheme="minorHAnsi"/>
        </w:rPr>
        <w:t xml:space="preserve"> 9.</w:t>
      </w:r>
      <w:r w:rsidR="00F30639">
        <w:rPr>
          <w:rFonts w:asciiTheme="minorHAnsi" w:hAnsiTheme="minorHAnsi"/>
        </w:rPr>
        <w:t xml:space="preserve"> </w:t>
      </w:r>
      <w:r w:rsidR="00F30639" w:rsidRPr="00B459B5">
        <w:rPr>
          <w:rFonts w:asciiTheme="minorHAnsi" w:hAnsiTheme="minorHAnsi"/>
        </w:rPr>
        <w:t>Na získavan</w:t>
      </w:r>
      <w:r w:rsidR="00F30639">
        <w:rPr>
          <w:rFonts w:asciiTheme="minorHAnsi" w:hAnsiTheme="minorHAnsi"/>
        </w:rPr>
        <w:t xml:space="preserve">í zdrojov z grantových agentúr </w:t>
      </w:r>
      <w:r w:rsidR="00F30639" w:rsidRPr="00B459B5">
        <w:rPr>
          <w:rFonts w:asciiTheme="minorHAnsi" w:hAnsiTheme="minorHAnsi"/>
        </w:rPr>
        <w:t>je úspešnosť jednotlivých súčastí STU značne n</w:t>
      </w:r>
      <w:r w:rsidR="00F30639">
        <w:rPr>
          <w:rFonts w:asciiTheme="minorHAnsi" w:hAnsiTheme="minorHAnsi"/>
        </w:rPr>
        <w:t>evyvážená. Jasne to dokumentuje graf 5.10</w:t>
      </w:r>
      <w:r w:rsidR="00F30639" w:rsidRPr="00B459B5">
        <w:rPr>
          <w:rFonts w:asciiTheme="minorHAnsi" w:hAnsiTheme="minorHAnsi"/>
        </w:rPr>
        <w:t xml:space="preserve"> (Súčasti s podielom pod 1 % nie sú v diagramoch uvedené).</w:t>
      </w:r>
    </w:p>
    <w:p w:rsidR="006B5C0D" w:rsidRDefault="006B5C0D" w:rsidP="006B5C0D">
      <w:pPr>
        <w:rPr>
          <w:rFonts w:asciiTheme="minorHAnsi" w:hAnsiTheme="minorHAnsi"/>
        </w:rPr>
      </w:pPr>
      <w:r>
        <w:rPr>
          <w:rFonts w:asciiTheme="minorHAnsi" w:hAnsiTheme="minorHAnsi"/>
        </w:rPr>
        <w:t>Graf 5.11 následne</w:t>
      </w:r>
      <w:r w:rsidRPr="00B459B5">
        <w:rPr>
          <w:rFonts w:asciiTheme="minorHAnsi" w:hAnsiTheme="minorHAnsi"/>
        </w:rPr>
        <w:t xml:space="preserve"> znázorňuje efektívnosť v získavaní finančných prostriedkov jednotlivými súčasťami STU </w:t>
      </w:r>
      <w:r w:rsidR="00021D1B" w:rsidRPr="00B459B5">
        <w:rPr>
          <w:rFonts w:asciiTheme="minorHAnsi" w:hAnsiTheme="minorHAnsi"/>
        </w:rPr>
        <w:t xml:space="preserve">v roku 2015 </w:t>
      </w:r>
      <w:r w:rsidRPr="00B459B5">
        <w:rPr>
          <w:rFonts w:asciiTheme="minorHAnsi" w:hAnsiTheme="minorHAnsi"/>
        </w:rPr>
        <w:t>prepočítané na jedného tvorivého pracovníka oproti priemeru STU (3698 € u domácich a 1330 € u zahraničných výskumných grantov).</w:t>
      </w:r>
    </w:p>
    <w:p w:rsidR="00F30639" w:rsidRPr="00B459B5" w:rsidRDefault="00F30639" w:rsidP="003C19C6">
      <w:pPr>
        <w:rPr>
          <w:rFonts w:asciiTheme="minorHAnsi" w:hAnsiTheme="minorHAnsi"/>
        </w:rPr>
      </w:pPr>
    </w:p>
    <w:p w:rsidR="003C19C6" w:rsidRPr="00F30639" w:rsidRDefault="003C19C6" w:rsidP="003C19C6">
      <w:pPr>
        <w:rPr>
          <w:rFonts w:asciiTheme="minorHAnsi" w:hAnsiTheme="minorHAnsi"/>
          <w:b/>
          <w:sz w:val="20"/>
          <w:szCs w:val="20"/>
        </w:rPr>
      </w:pPr>
      <w:r w:rsidRPr="00F30639">
        <w:rPr>
          <w:rFonts w:asciiTheme="minorHAnsi" w:hAnsiTheme="minorHAnsi"/>
          <w:b/>
          <w:sz w:val="20"/>
          <w:szCs w:val="20"/>
        </w:rPr>
        <w:t>Tabuľka 5.</w:t>
      </w:r>
      <w:r w:rsidR="001D78BB">
        <w:rPr>
          <w:rFonts w:asciiTheme="minorHAnsi" w:hAnsiTheme="minorHAnsi"/>
          <w:b/>
          <w:sz w:val="20"/>
          <w:szCs w:val="20"/>
        </w:rPr>
        <w:t>4</w:t>
      </w:r>
      <w:r w:rsidR="00F30639" w:rsidRPr="00F30639">
        <w:rPr>
          <w:rFonts w:asciiTheme="minorHAnsi" w:hAnsiTheme="minorHAnsi"/>
          <w:b/>
          <w:sz w:val="20"/>
          <w:szCs w:val="20"/>
        </w:rPr>
        <w:t>:</w:t>
      </w:r>
      <w:r w:rsidRPr="00F30639">
        <w:rPr>
          <w:rFonts w:asciiTheme="minorHAnsi" w:hAnsiTheme="minorHAnsi"/>
          <w:b/>
          <w:sz w:val="20"/>
          <w:szCs w:val="20"/>
        </w:rPr>
        <w:t xml:space="preserve"> Finančné prostriedky získané súčasťami STU v rokoch 2011-2015 zo zahra</w:t>
      </w:r>
      <w:r w:rsidR="00F30639" w:rsidRPr="00F30639">
        <w:rPr>
          <w:rFonts w:asciiTheme="minorHAnsi" w:hAnsiTheme="minorHAnsi"/>
          <w:b/>
          <w:sz w:val="20"/>
          <w:szCs w:val="20"/>
        </w:rPr>
        <w:t>ničných grantových agentúr v €</w:t>
      </w:r>
    </w:p>
    <w:tbl>
      <w:tblPr>
        <w:tblStyle w:val="Mriekatabuky"/>
        <w:tblW w:w="0" w:type="auto"/>
        <w:jc w:val="center"/>
        <w:tblLook w:val="04A0" w:firstRow="1" w:lastRow="0" w:firstColumn="1" w:lastColumn="0" w:noHBand="0" w:noVBand="1"/>
      </w:tblPr>
      <w:tblGrid>
        <w:gridCol w:w="960"/>
        <w:gridCol w:w="1128"/>
        <w:gridCol w:w="960"/>
        <w:gridCol w:w="1174"/>
        <w:gridCol w:w="1276"/>
        <w:gridCol w:w="1276"/>
      </w:tblGrid>
      <w:tr w:rsidR="003C19C6" w:rsidRPr="00F30639" w:rsidTr="00520814">
        <w:trPr>
          <w:trHeight w:val="288"/>
          <w:jc w:val="center"/>
        </w:trPr>
        <w:tc>
          <w:tcPr>
            <w:tcW w:w="960" w:type="dxa"/>
            <w:tcBorders>
              <w:top w:val="nil"/>
              <w:left w:val="nil"/>
              <w:bottom w:val="single" w:sz="12" w:space="0" w:color="auto"/>
              <w:right w:val="single" w:sz="12" w:space="0" w:color="auto"/>
            </w:tcBorders>
            <w:noWrap/>
            <w:hideMark/>
          </w:tcPr>
          <w:p w:rsidR="003C19C6" w:rsidRPr="00F30639" w:rsidRDefault="003C19C6" w:rsidP="00520814">
            <w:pPr>
              <w:jc w:val="center"/>
              <w:rPr>
                <w:rFonts w:asciiTheme="minorHAnsi" w:hAnsiTheme="minorHAnsi"/>
                <w:sz w:val="20"/>
                <w:szCs w:val="20"/>
              </w:rPr>
            </w:pPr>
          </w:p>
        </w:tc>
        <w:tc>
          <w:tcPr>
            <w:tcW w:w="1128"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2011</w:t>
            </w:r>
          </w:p>
        </w:tc>
        <w:tc>
          <w:tcPr>
            <w:tcW w:w="960"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2012</w:t>
            </w:r>
          </w:p>
        </w:tc>
        <w:tc>
          <w:tcPr>
            <w:tcW w:w="1174"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2013</w:t>
            </w:r>
          </w:p>
        </w:tc>
        <w:tc>
          <w:tcPr>
            <w:tcW w:w="1276"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2014</w:t>
            </w:r>
          </w:p>
        </w:tc>
        <w:tc>
          <w:tcPr>
            <w:tcW w:w="1276" w:type="dxa"/>
            <w:tcBorders>
              <w:top w:val="single" w:sz="12" w:space="0" w:color="auto"/>
              <w:left w:val="single" w:sz="12" w:space="0" w:color="auto"/>
              <w:bottom w:val="single" w:sz="12" w:space="0" w:color="auto"/>
              <w:right w:val="single" w:sz="12" w:space="0" w:color="auto"/>
            </w:tcBorders>
            <w:shd w:val="clear" w:color="auto" w:fill="B6DDE8" w:themeFill="accent5" w:themeFillTint="66"/>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2015</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SvF</w:t>
            </w:r>
          </w:p>
        </w:tc>
        <w:tc>
          <w:tcPr>
            <w:tcW w:w="1128" w:type="dxa"/>
            <w:tcBorders>
              <w:top w:val="single" w:sz="12" w:space="0" w:color="auto"/>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150625</w:t>
            </w:r>
          </w:p>
        </w:tc>
        <w:tc>
          <w:tcPr>
            <w:tcW w:w="960" w:type="dxa"/>
            <w:tcBorders>
              <w:top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0</w:t>
            </w:r>
          </w:p>
        </w:tc>
        <w:tc>
          <w:tcPr>
            <w:tcW w:w="1174" w:type="dxa"/>
            <w:tcBorders>
              <w:top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60 925</w:t>
            </w:r>
          </w:p>
        </w:tc>
        <w:tc>
          <w:tcPr>
            <w:tcW w:w="1276" w:type="dxa"/>
            <w:tcBorders>
              <w:top w:val="single" w:sz="12" w:space="0" w:color="auto"/>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142 462</w:t>
            </w:r>
          </w:p>
        </w:tc>
        <w:tc>
          <w:tcPr>
            <w:tcW w:w="1276" w:type="dxa"/>
            <w:tcBorders>
              <w:top w:val="single" w:sz="12"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151 848</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SjF</w:t>
            </w:r>
          </w:p>
        </w:tc>
        <w:tc>
          <w:tcPr>
            <w:tcW w:w="112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117535</w:t>
            </w:r>
          </w:p>
        </w:tc>
        <w:tc>
          <w:tcPr>
            <w:tcW w:w="960"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16830</w:t>
            </w:r>
          </w:p>
        </w:tc>
        <w:tc>
          <w:tcPr>
            <w:tcW w:w="1174"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22 825</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9 886</w:t>
            </w:r>
          </w:p>
        </w:tc>
        <w:tc>
          <w:tcPr>
            <w:tcW w:w="1276"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58 481</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FEI</w:t>
            </w:r>
          </w:p>
        </w:tc>
        <w:tc>
          <w:tcPr>
            <w:tcW w:w="112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396549</w:t>
            </w:r>
          </w:p>
        </w:tc>
        <w:tc>
          <w:tcPr>
            <w:tcW w:w="960"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155251</w:t>
            </w:r>
          </w:p>
        </w:tc>
        <w:tc>
          <w:tcPr>
            <w:tcW w:w="1174"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449 097</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227 671</w:t>
            </w:r>
          </w:p>
        </w:tc>
        <w:tc>
          <w:tcPr>
            <w:tcW w:w="1276"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768 260</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FCHPT</w:t>
            </w:r>
          </w:p>
        </w:tc>
        <w:tc>
          <w:tcPr>
            <w:tcW w:w="112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967492</w:t>
            </w:r>
          </w:p>
        </w:tc>
        <w:tc>
          <w:tcPr>
            <w:tcW w:w="960"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65936</w:t>
            </w:r>
          </w:p>
        </w:tc>
        <w:tc>
          <w:tcPr>
            <w:tcW w:w="1174"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139 335</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463 711</w:t>
            </w:r>
          </w:p>
        </w:tc>
        <w:tc>
          <w:tcPr>
            <w:tcW w:w="1276"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516 324</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FA</w:t>
            </w:r>
          </w:p>
        </w:tc>
        <w:tc>
          <w:tcPr>
            <w:tcW w:w="112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16902</w:t>
            </w:r>
          </w:p>
        </w:tc>
        <w:tc>
          <w:tcPr>
            <w:tcW w:w="960"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39073</w:t>
            </w:r>
          </w:p>
        </w:tc>
        <w:tc>
          <w:tcPr>
            <w:tcW w:w="1174"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13 601</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43 596</w:t>
            </w:r>
          </w:p>
        </w:tc>
        <w:tc>
          <w:tcPr>
            <w:tcW w:w="1276"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174 926</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MTF</w:t>
            </w:r>
          </w:p>
        </w:tc>
        <w:tc>
          <w:tcPr>
            <w:tcW w:w="112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1268452</w:t>
            </w:r>
          </w:p>
        </w:tc>
        <w:tc>
          <w:tcPr>
            <w:tcW w:w="960"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22124</w:t>
            </w:r>
          </w:p>
        </w:tc>
        <w:tc>
          <w:tcPr>
            <w:tcW w:w="1174"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4 027</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22 695</w:t>
            </w:r>
          </w:p>
        </w:tc>
        <w:tc>
          <w:tcPr>
            <w:tcW w:w="1276"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11 705</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FIIT</w:t>
            </w:r>
          </w:p>
        </w:tc>
        <w:tc>
          <w:tcPr>
            <w:tcW w:w="112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0</w:t>
            </w:r>
          </w:p>
        </w:tc>
        <w:tc>
          <w:tcPr>
            <w:tcW w:w="960"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0</w:t>
            </w:r>
          </w:p>
        </w:tc>
        <w:tc>
          <w:tcPr>
            <w:tcW w:w="1174"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4 251</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470</w:t>
            </w:r>
          </w:p>
        </w:tc>
        <w:tc>
          <w:tcPr>
            <w:tcW w:w="1276"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5 735</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UM</w:t>
            </w:r>
          </w:p>
        </w:tc>
        <w:tc>
          <w:tcPr>
            <w:tcW w:w="1128" w:type="dxa"/>
            <w:tcBorders>
              <w:lef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165487</w:t>
            </w:r>
          </w:p>
        </w:tc>
        <w:tc>
          <w:tcPr>
            <w:tcW w:w="960"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109731</w:t>
            </w:r>
          </w:p>
        </w:tc>
        <w:tc>
          <w:tcPr>
            <w:tcW w:w="1174" w:type="dxa"/>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121 246</w:t>
            </w:r>
          </w:p>
        </w:tc>
        <w:tc>
          <w:tcPr>
            <w:tcW w:w="1276" w:type="dxa"/>
            <w:tcBorders>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39 127</w:t>
            </w:r>
          </w:p>
        </w:tc>
        <w:tc>
          <w:tcPr>
            <w:tcW w:w="1276" w:type="dxa"/>
            <w:tcBorders>
              <w:top w:val="single" w:sz="6" w:space="0" w:color="auto"/>
              <w:left w:val="single" w:sz="4" w:space="0" w:color="auto"/>
              <w:bottom w:val="single" w:sz="6"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39 279</w:t>
            </w: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R-STU</w:t>
            </w:r>
          </w:p>
        </w:tc>
        <w:tc>
          <w:tcPr>
            <w:tcW w:w="1128" w:type="dxa"/>
            <w:tcBorders>
              <w:left w:val="single" w:sz="12" w:space="0" w:color="auto"/>
              <w:bottom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0</w:t>
            </w:r>
          </w:p>
        </w:tc>
        <w:tc>
          <w:tcPr>
            <w:tcW w:w="960" w:type="dxa"/>
            <w:tcBorders>
              <w:bottom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0</w:t>
            </w:r>
          </w:p>
        </w:tc>
        <w:tc>
          <w:tcPr>
            <w:tcW w:w="1174" w:type="dxa"/>
            <w:tcBorders>
              <w:bottom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0</w:t>
            </w:r>
          </w:p>
        </w:tc>
        <w:tc>
          <w:tcPr>
            <w:tcW w:w="1276" w:type="dxa"/>
            <w:tcBorders>
              <w:bottom w:val="single" w:sz="4" w:space="0" w:color="auto"/>
              <w:right w:val="single" w:sz="4"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24 588</w:t>
            </w:r>
          </w:p>
        </w:tc>
        <w:tc>
          <w:tcPr>
            <w:tcW w:w="1276" w:type="dxa"/>
            <w:tcBorders>
              <w:top w:val="single" w:sz="6" w:space="0" w:color="auto"/>
              <w:left w:val="single" w:sz="4" w:space="0" w:color="auto"/>
              <w:bottom w:val="single" w:sz="12" w:space="0" w:color="auto"/>
              <w:right w:val="single" w:sz="12" w:space="0" w:color="auto"/>
            </w:tcBorders>
            <w:shd w:val="clear" w:color="auto" w:fill="DAEEF3" w:themeFill="accent5" w:themeFillTint="33"/>
            <w:noWrap/>
            <w:hideMark/>
          </w:tcPr>
          <w:p w:rsidR="003C19C6" w:rsidRPr="00F30639" w:rsidRDefault="003C19C6" w:rsidP="00520814">
            <w:pPr>
              <w:jc w:val="center"/>
              <w:rPr>
                <w:rFonts w:asciiTheme="minorHAnsi" w:hAnsiTheme="minorHAnsi"/>
                <w:sz w:val="20"/>
                <w:szCs w:val="20"/>
              </w:rPr>
            </w:pPr>
          </w:p>
        </w:tc>
      </w:tr>
      <w:tr w:rsidR="003C19C6" w:rsidRPr="00F30639" w:rsidTr="00520814">
        <w:trPr>
          <w:trHeight w:val="288"/>
          <w:jc w:val="center"/>
        </w:trPr>
        <w:tc>
          <w:tcPr>
            <w:tcW w:w="960"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STU</w:t>
            </w:r>
          </w:p>
        </w:tc>
        <w:tc>
          <w:tcPr>
            <w:tcW w:w="1128"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3083045</w:t>
            </w:r>
          </w:p>
        </w:tc>
        <w:tc>
          <w:tcPr>
            <w:tcW w:w="960"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408945</w:t>
            </w:r>
          </w:p>
        </w:tc>
        <w:tc>
          <w:tcPr>
            <w:tcW w:w="1174"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815 307</w:t>
            </w:r>
          </w:p>
        </w:tc>
        <w:tc>
          <w:tcPr>
            <w:tcW w:w="1276" w:type="dxa"/>
            <w:tcBorders>
              <w:top w:val="single" w:sz="4" w:space="0" w:color="auto"/>
              <w:left w:val="single" w:sz="12" w:space="0" w:color="auto"/>
              <w:bottom w:val="single" w:sz="12" w:space="0" w:color="auto"/>
              <w:right w:val="single" w:sz="12" w:space="0" w:color="auto"/>
            </w:tcBorders>
            <w:shd w:val="clear" w:color="auto" w:fill="FBD4B4" w:themeFill="accent6" w:themeFillTint="66"/>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974 206</w:t>
            </w:r>
          </w:p>
        </w:tc>
        <w:tc>
          <w:tcPr>
            <w:tcW w:w="1276"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3C19C6" w:rsidRPr="00F30639" w:rsidRDefault="003C19C6" w:rsidP="00520814">
            <w:pPr>
              <w:jc w:val="center"/>
              <w:rPr>
                <w:rFonts w:asciiTheme="minorHAnsi" w:hAnsiTheme="minorHAnsi"/>
                <w:sz w:val="20"/>
                <w:szCs w:val="20"/>
              </w:rPr>
            </w:pPr>
            <w:r w:rsidRPr="00F30639">
              <w:rPr>
                <w:rFonts w:asciiTheme="minorHAnsi" w:hAnsiTheme="minorHAnsi"/>
                <w:sz w:val="20"/>
                <w:szCs w:val="20"/>
              </w:rPr>
              <w:t>1 726 559</w:t>
            </w:r>
          </w:p>
        </w:tc>
      </w:tr>
    </w:tbl>
    <w:p w:rsidR="003C19C6" w:rsidRPr="00F30639" w:rsidRDefault="003C19C6" w:rsidP="00F30639">
      <w:pPr>
        <w:jc w:val="left"/>
        <w:rPr>
          <w:rFonts w:asciiTheme="minorHAnsi" w:hAnsiTheme="minorHAnsi"/>
          <w:sz w:val="20"/>
          <w:szCs w:val="20"/>
        </w:rPr>
      </w:pPr>
    </w:p>
    <w:p w:rsidR="00F30639" w:rsidRDefault="00F30639" w:rsidP="00F30639">
      <w:pPr>
        <w:jc w:val="left"/>
        <w:rPr>
          <w:rFonts w:asciiTheme="minorHAnsi" w:hAnsiTheme="minorHAnsi"/>
          <w:sz w:val="20"/>
          <w:szCs w:val="20"/>
        </w:rPr>
      </w:pPr>
    </w:p>
    <w:p w:rsidR="003C19C6" w:rsidRPr="00F30639" w:rsidRDefault="00F30639" w:rsidP="00F30639">
      <w:pPr>
        <w:jc w:val="left"/>
        <w:rPr>
          <w:rFonts w:asciiTheme="minorHAnsi" w:hAnsiTheme="minorHAnsi"/>
          <w:sz w:val="20"/>
          <w:szCs w:val="20"/>
        </w:rPr>
      </w:pPr>
      <w:r w:rsidRPr="00F30639">
        <w:rPr>
          <w:rFonts w:asciiTheme="minorHAnsi" w:hAnsiTheme="minorHAnsi"/>
          <w:b/>
          <w:sz w:val="20"/>
          <w:szCs w:val="20"/>
        </w:rPr>
        <w:lastRenderedPageBreak/>
        <w:t>Graf 5.9: Vývoj v získavaní finančných prostriedkov STU v rokoch 2011-2015 zo zahraničných grantových agentúr</w:t>
      </w:r>
      <w:r w:rsidR="003C19C6" w:rsidRPr="00F30639">
        <w:rPr>
          <w:rFonts w:asciiTheme="minorHAnsi" w:hAnsiTheme="minorHAnsi"/>
          <w:noProof/>
          <w:sz w:val="20"/>
          <w:szCs w:val="20"/>
          <w:lang w:eastAsia="sk-SK"/>
        </w:rPr>
        <w:drawing>
          <wp:inline distT="0" distB="0" distL="0" distR="0" wp14:anchorId="2D5C7FA2" wp14:editId="50993E85">
            <wp:extent cx="4876800" cy="286512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C19C6" w:rsidRPr="00F30639" w:rsidRDefault="003C19C6" w:rsidP="003C19C6">
      <w:pPr>
        <w:rPr>
          <w:rFonts w:asciiTheme="minorHAnsi" w:hAnsiTheme="minorHAnsi"/>
          <w:sz w:val="20"/>
          <w:szCs w:val="20"/>
        </w:rPr>
      </w:pPr>
    </w:p>
    <w:p w:rsidR="00021D1B" w:rsidRDefault="00021D1B" w:rsidP="00E35473">
      <w:pPr>
        <w:rPr>
          <w:rFonts w:asciiTheme="minorHAnsi" w:hAnsiTheme="minorHAnsi"/>
          <w:b/>
          <w:sz w:val="20"/>
          <w:szCs w:val="20"/>
        </w:rPr>
      </w:pPr>
    </w:p>
    <w:p w:rsidR="003C19C6" w:rsidRPr="00B33B6B" w:rsidRDefault="00B33B6B" w:rsidP="00E35473">
      <w:pPr>
        <w:rPr>
          <w:rFonts w:asciiTheme="minorHAnsi" w:hAnsiTheme="minorHAnsi"/>
          <w:sz w:val="20"/>
          <w:szCs w:val="20"/>
        </w:rPr>
      </w:pPr>
      <w:r w:rsidRPr="00E35473">
        <w:rPr>
          <w:rFonts w:asciiTheme="minorHAnsi" w:hAnsiTheme="minorHAnsi"/>
          <w:b/>
          <w:sz w:val="20"/>
          <w:szCs w:val="20"/>
        </w:rPr>
        <w:t>Graf 5.10 Podiel súčastí STU  na získavaní finančných prostriedkov z domácich a zahraničných výskumných grantových agentúr v roku 2015</w:t>
      </w:r>
    </w:p>
    <w:p w:rsidR="003C19C6" w:rsidRPr="00B33B6B" w:rsidRDefault="003C19C6" w:rsidP="00857703">
      <w:pPr>
        <w:ind w:left="708"/>
        <w:jc w:val="center"/>
        <w:rPr>
          <w:rFonts w:asciiTheme="minorHAnsi" w:hAnsiTheme="minorHAnsi"/>
          <w:sz w:val="20"/>
          <w:szCs w:val="20"/>
        </w:rPr>
      </w:pPr>
      <w:r w:rsidRPr="00B33B6B">
        <w:rPr>
          <w:rFonts w:asciiTheme="minorHAnsi" w:hAnsiTheme="minorHAnsi"/>
          <w:noProof/>
          <w:sz w:val="20"/>
          <w:szCs w:val="20"/>
          <w:lang w:eastAsia="sk-SK"/>
        </w:rPr>
        <w:drawing>
          <wp:inline distT="0" distB="0" distL="0" distR="0" wp14:anchorId="220057E6" wp14:editId="0238D565">
            <wp:extent cx="4582160" cy="2692400"/>
            <wp:effectExtent l="0" t="0" r="889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C19C6" w:rsidRPr="00B33B6B" w:rsidRDefault="003C19C6" w:rsidP="003C19C6">
      <w:pPr>
        <w:jc w:val="center"/>
        <w:rPr>
          <w:rFonts w:asciiTheme="minorHAnsi" w:hAnsiTheme="minorHAnsi"/>
          <w:sz w:val="20"/>
          <w:szCs w:val="20"/>
        </w:rPr>
      </w:pPr>
      <w:r w:rsidRPr="00B33B6B">
        <w:rPr>
          <w:rFonts w:asciiTheme="minorHAnsi" w:hAnsiTheme="minorHAnsi"/>
          <w:noProof/>
          <w:sz w:val="20"/>
          <w:szCs w:val="20"/>
          <w:lang w:eastAsia="sk-SK"/>
        </w:rPr>
        <w:lastRenderedPageBreak/>
        <w:drawing>
          <wp:inline distT="0" distB="0" distL="0" distR="0" wp14:anchorId="595F3811" wp14:editId="34F6BCBF">
            <wp:extent cx="4338320" cy="2570480"/>
            <wp:effectExtent l="0" t="0" r="5080" b="127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26015" w:rsidRDefault="00B26015" w:rsidP="003C19C6">
      <w:pPr>
        <w:jc w:val="center"/>
        <w:rPr>
          <w:rFonts w:asciiTheme="minorHAnsi" w:hAnsiTheme="minorHAnsi"/>
          <w:sz w:val="20"/>
          <w:szCs w:val="20"/>
        </w:rPr>
      </w:pPr>
    </w:p>
    <w:p w:rsidR="00857703" w:rsidRDefault="003C19C6" w:rsidP="00B26015">
      <w:pPr>
        <w:jc w:val="center"/>
        <w:rPr>
          <w:rFonts w:asciiTheme="minorHAnsi" w:hAnsiTheme="minorHAnsi"/>
          <w:sz w:val="20"/>
          <w:szCs w:val="20"/>
        </w:rPr>
      </w:pPr>
      <w:r w:rsidRPr="00B33B6B">
        <w:rPr>
          <w:rFonts w:asciiTheme="minorHAnsi" w:hAnsiTheme="minorHAnsi"/>
          <w:noProof/>
          <w:sz w:val="20"/>
          <w:szCs w:val="20"/>
          <w:lang w:eastAsia="sk-SK"/>
        </w:rPr>
        <w:drawing>
          <wp:inline distT="0" distB="0" distL="0" distR="0" wp14:anchorId="78B3AA53" wp14:editId="1F9A222C">
            <wp:extent cx="4572000" cy="27432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26015" w:rsidRPr="00B26015" w:rsidRDefault="00B26015" w:rsidP="00B26015">
      <w:pPr>
        <w:jc w:val="center"/>
        <w:rPr>
          <w:rFonts w:asciiTheme="minorHAnsi" w:hAnsiTheme="minorHAnsi"/>
          <w:sz w:val="20"/>
          <w:szCs w:val="20"/>
        </w:rPr>
      </w:pPr>
    </w:p>
    <w:p w:rsidR="00B26015" w:rsidRDefault="00857703" w:rsidP="00B26015">
      <w:pPr>
        <w:jc w:val="left"/>
        <w:rPr>
          <w:rFonts w:asciiTheme="minorHAnsi" w:hAnsiTheme="minorHAnsi"/>
          <w:b/>
          <w:sz w:val="20"/>
          <w:szCs w:val="20"/>
        </w:rPr>
      </w:pPr>
      <w:r w:rsidRPr="00857703">
        <w:rPr>
          <w:rFonts w:asciiTheme="minorHAnsi" w:hAnsiTheme="minorHAnsi"/>
          <w:b/>
          <w:sz w:val="20"/>
          <w:szCs w:val="20"/>
        </w:rPr>
        <w:t xml:space="preserve">Graf 5.11: Porovnanie efektívnosti v získavaní </w:t>
      </w:r>
      <w:r w:rsidR="00B26015">
        <w:rPr>
          <w:rFonts w:asciiTheme="minorHAnsi" w:hAnsiTheme="minorHAnsi"/>
          <w:b/>
          <w:sz w:val="20"/>
          <w:szCs w:val="20"/>
        </w:rPr>
        <w:t>financií</w:t>
      </w:r>
      <w:r w:rsidRPr="00857703">
        <w:rPr>
          <w:rFonts w:asciiTheme="minorHAnsi" w:hAnsiTheme="minorHAnsi"/>
          <w:b/>
          <w:sz w:val="20"/>
          <w:szCs w:val="20"/>
        </w:rPr>
        <w:t xml:space="preserve"> súčasťami STU  v € na jedného tvorivého pracovníka v roku 2015 k priemeru STU u</w:t>
      </w:r>
      <w:r w:rsidR="00B26015">
        <w:rPr>
          <w:rFonts w:asciiTheme="minorHAnsi" w:hAnsiTheme="minorHAnsi"/>
          <w:b/>
          <w:sz w:val="20"/>
          <w:szCs w:val="20"/>
        </w:rPr>
        <w:t> </w:t>
      </w:r>
      <w:r w:rsidRPr="00857703">
        <w:rPr>
          <w:rFonts w:asciiTheme="minorHAnsi" w:hAnsiTheme="minorHAnsi"/>
          <w:b/>
          <w:sz w:val="20"/>
          <w:szCs w:val="20"/>
        </w:rPr>
        <w:t>domácich</w:t>
      </w:r>
      <w:r w:rsidR="00B26015">
        <w:rPr>
          <w:rFonts w:asciiTheme="minorHAnsi" w:hAnsiTheme="minorHAnsi"/>
          <w:b/>
          <w:sz w:val="20"/>
          <w:szCs w:val="20"/>
        </w:rPr>
        <w:t xml:space="preserve"> </w:t>
      </w:r>
      <w:r w:rsidRPr="00857703">
        <w:rPr>
          <w:rFonts w:asciiTheme="minorHAnsi" w:hAnsiTheme="minorHAnsi"/>
          <w:b/>
          <w:sz w:val="20"/>
          <w:szCs w:val="20"/>
        </w:rPr>
        <w:t>a zahraničných  grantových</w:t>
      </w:r>
      <w:r w:rsidR="00B26015">
        <w:rPr>
          <w:rFonts w:asciiTheme="minorHAnsi" w:hAnsiTheme="minorHAnsi"/>
          <w:b/>
          <w:sz w:val="20"/>
          <w:szCs w:val="20"/>
        </w:rPr>
        <w:t xml:space="preserve"> agentúr</w:t>
      </w:r>
    </w:p>
    <w:p w:rsidR="003C19C6" w:rsidRPr="00857703" w:rsidRDefault="003C19C6" w:rsidP="00B26015">
      <w:pPr>
        <w:jc w:val="left"/>
        <w:rPr>
          <w:rFonts w:asciiTheme="minorHAnsi" w:hAnsiTheme="minorHAnsi"/>
          <w:sz w:val="20"/>
          <w:szCs w:val="20"/>
        </w:rPr>
      </w:pPr>
    </w:p>
    <w:p w:rsidR="003C19C6" w:rsidRPr="00857703" w:rsidRDefault="003C19C6" w:rsidP="003C19C6">
      <w:pPr>
        <w:rPr>
          <w:rFonts w:asciiTheme="minorHAnsi" w:hAnsiTheme="minorHAnsi"/>
          <w:noProof/>
          <w:sz w:val="20"/>
          <w:szCs w:val="20"/>
          <w:lang w:eastAsia="sk-SK"/>
        </w:rPr>
      </w:pPr>
      <w:r w:rsidRPr="00857703">
        <w:rPr>
          <w:rFonts w:asciiTheme="minorHAnsi" w:hAnsiTheme="minorHAnsi"/>
          <w:noProof/>
          <w:sz w:val="20"/>
          <w:szCs w:val="20"/>
          <w:lang w:eastAsia="sk-SK"/>
        </w:rPr>
        <w:t xml:space="preserve"> </w:t>
      </w:r>
    </w:p>
    <w:p w:rsidR="003C19C6" w:rsidRPr="00857703" w:rsidRDefault="003C19C6" w:rsidP="003C19C6">
      <w:pPr>
        <w:jc w:val="center"/>
        <w:rPr>
          <w:rFonts w:asciiTheme="minorHAnsi" w:hAnsiTheme="minorHAnsi"/>
          <w:noProof/>
          <w:sz w:val="20"/>
          <w:szCs w:val="20"/>
          <w:lang w:eastAsia="sk-SK"/>
        </w:rPr>
      </w:pPr>
      <w:r w:rsidRPr="00857703">
        <w:rPr>
          <w:rFonts w:asciiTheme="minorHAnsi" w:hAnsiTheme="minorHAnsi"/>
          <w:noProof/>
          <w:sz w:val="20"/>
          <w:szCs w:val="20"/>
          <w:lang w:eastAsia="sk-SK"/>
        </w:rPr>
        <w:lastRenderedPageBreak/>
        <w:drawing>
          <wp:inline distT="0" distB="0" distL="0" distR="0" wp14:anchorId="771DBABD" wp14:editId="4A91CCCF">
            <wp:extent cx="4572000" cy="2743200"/>
            <wp:effectExtent l="0" t="0" r="0" b="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C19C6" w:rsidRDefault="003C19C6" w:rsidP="003C19C6">
      <w:pPr>
        <w:rPr>
          <w:rFonts w:asciiTheme="minorHAnsi" w:hAnsiTheme="minorHAnsi"/>
          <w:b/>
          <w:sz w:val="20"/>
          <w:szCs w:val="20"/>
        </w:rPr>
      </w:pPr>
    </w:p>
    <w:p w:rsidR="00021D1B" w:rsidRPr="00857703" w:rsidRDefault="00021D1B" w:rsidP="003C19C6">
      <w:pPr>
        <w:rPr>
          <w:rFonts w:asciiTheme="minorHAnsi" w:hAnsiTheme="minorHAnsi"/>
          <w:sz w:val="20"/>
          <w:szCs w:val="20"/>
        </w:rPr>
      </w:pPr>
    </w:p>
    <w:p w:rsidR="00021D1B" w:rsidRPr="00021D1B" w:rsidRDefault="003C19C6" w:rsidP="00021D1B">
      <w:pPr>
        <w:rPr>
          <w:rFonts w:asciiTheme="minorHAnsi" w:eastAsia="Times New Roman" w:hAnsiTheme="minorHAnsi"/>
          <w:lang w:eastAsia="sk-SK"/>
        </w:rPr>
      </w:pPr>
      <w:r w:rsidRPr="00021D1B">
        <w:rPr>
          <w:rFonts w:asciiTheme="minorHAnsi" w:hAnsiTheme="minorHAnsi"/>
        </w:rPr>
        <w:t>Začiatkom roku 2014 odštartova</w:t>
      </w:r>
      <w:r w:rsidR="00021D1B">
        <w:rPr>
          <w:rFonts w:asciiTheme="minorHAnsi" w:hAnsiTheme="minorHAnsi"/>
        </w:rPr>
        <w:t xml:space="preserve">li </w:t>
      </w:r>
      <w:r w:rsidRPr="00021D1B">
        <w:rPr>
          <w:rFonts w:asciiTheme="minorHAnsi" w:hAnsiTheme="minorHAnsi"/>
        </w:rPr>
        <w:t>výzvy v rámci európ</w:t>
      </w:r>
      <w:r w:rsidR="00021D1B">
        <w:rPr>
          <w:rFonts w:asciiTheme="minorHAnsi" w:hAnsiTheme="minorHAnsi"/>
        </w:rPr>
        <w:t xml:space="preserve">skych projektov HORIZONT 2020. </w:t>
      </w:r>
      <w:r w:rsidRPr="00021D1B">
        <w:rPr>
          <w:rFonts w:asciiTheme="minorHAnsi" w:hAnsiTheme="minorHAnsi"/>
          <w:b/>
        </w:rPr>
        <w:t>Pracovníci STU podali k 31.12.2015 110 žiadostí v rámci výziev HORIZONT 2020, z toho 10 návrhov bolo určených na financovanie a 30 projektov po procese hodnotenia sa dostalo nad bodový prah</w:t>
      </w:r>
      <w:r w:rsidRPr="00021D1B">
        <w:rPr>
          <w:rFonts w:asciiTheme="minorHAnsi" w:hAnsiTheme="minorHAnsi"/>
        </w:rPr>
        <w:t xml:space="preserve"> (Tabuľka </w:t>
      </w:r>
      <w:r w:rsidR="00021D1B" w:rsidRPr="00021D1B">
        <w:rPr>
          <w:rFonts w:asciiTheme="minorHAnsi" w:hAnsiTheme="minorHAnsi"/>
        </w:rPr>
        <w:t>5.</w:t>
      </w:r>
      <w:r w:rsidR="001D78BB">
        <w:rPr>
          <w:rFonts w:asciiTheme="minorHAnsi" w:hAnsiTheme="minorHAnsi"/>
        </w:rPr>
        <w:t>5</w:t>
      </w:r>
      <w:r w:rsidRPr="00021D1B">
        <w:rPr>
          <w:rFonts w:asciiTheme="minorHAnsi" w:hAnsiTheme="minorHAnsi"/>
        </w:rPr>
        <w:t>).</w:t>
      </w:r>
      <w:r w:rsidR="00021D1B" w:rsidRPr="00021D1B">
        <w:rPr>
          <w:rFonts w:asciiTheme="minorHAnsi" w:eastAsia="Times New Roman" w:hAnsiTheme="minorHAnsi"/>
          <w:lang w:eastAsia="sk-SK"/>
        </w:rPr>
        <w:t xml:space="preserve"> </w:t>
      </w:r>
    </w:p>
    <w:p w:rsidR="00021D1B" w:rsidRPr="00021D1B" w:rsidRDefault="00021D1B" w:rsidP="00021D1B">
      <w:pPr>
        <w:rPr>
          <w:rFonts w:asciiTheme="minorHAnsi" w:eastAsia="Times New Roman" w:hAnsiTheme="minorHAnsi"/>
          <w:lang w:eastAsia="sk-SK"/>
        </w:rPr>
      </w:pPr>
      <w:r w:rsidRPr="00021D1B">
        <w:rPr>
          <w:rFonts w:asciiTheme="minorHAnsi" w:eastAsia="Times New Roman" w:hAnsiTheme="minorHAnsi"/>
          <w:lang w:eastAsia="sk-SK"/>
        </w:rPr>
        <w:t xml:space="preserve">Počet úspešných žiadostí približne </w:t>
      </w:r>
      <w:proofErr w:type="spellStart"/>
      <w:r w:rsidRPr="00021D1B">
        <w:rPr>
          <w:rFonts w:asciiTheme="minorHAnsi" w:eastAsia="Times New Roman" w:hAnsiTheme="minorHAnsi"/>
          <w:lang w:eastAsia="sk-SK"/>
        </w:rPr>
        <w:t>koreluje</w:t>
      </w:r>
      <w:proofErr w:type="spellEnd"/>
      <w:r w:rsidRPr="00021D1B">
        <w:rPr>
          <w:rFonts w:asciiTheme="minorHAnsi" w:eastAsia="Times New Roman" w:hAnsiTheme="minorHAnsi"/>
          <w:lang w:eastAsia="sk-SK"/>
        </w:rPr>
        <w:t xml:space="preserve"> s priemernou úspešnosťou v rámci EÚ. Počet podaných žiadostí podľa nášho názoru ale nie celkom korešponduje s ved</w:t>
      </w:r>
      <w:r w:rsidR="00A10053">
        <w:rPr>
          <w:rFonts w:asciiTheme="minorHAnsi" w:eastAsia="Times New Roman" w:hAnsiTheme="minorHAnsi"/>
          <w:lang w:eastAsia="sk-SK"/>
        </w:rPr>
        <w:t xml:space="preserve">eckým potenciálom a možnosťami </w:t>
      </w:r>
      <w:r w:rsidRPr="00021D1B">
        <w:rPr>
          <w:rFonts w:asciiTheme="minorHAnsi" w:eastAsia="Times New Roman" w:hAnsiTheme="minorHAnsi"/>
          <w:lang w:eastAsia="sk-SK"/>
        </w:rPr>
        <w:t>STU. Argumentácia súvisiaca s enormným zaťažením súčastí byrokratickou mašinériou pri získavaní finančných prostriedkov zo ŠF EÚ sú čiastočne na mieste. Väčšina týchto projektov ale v súčasnosti dobieha a kľúčovou úlohou univerzity bude dôkladne prehodnotiť možnosti pracovísk a aktívnejšie sa zapájať do výziev v rámci HORIZONT 2020, prípadne ERC výziev.</w:t>
      </w:r>
    </w:p>
    <w:p w:rsidR="00021D1B" w:rsidRPr="00021D1B" w:rsidRDefault="00021D1B" w:rsidP="00021D1B">
      <w:pPr>
        <w:rPr>
          <w:rFonts w:asciiTheme="minorHAnsi" w:hAnsiTheme="minorHAnsi"/>
          <w:sz w:val="20"/>
          <w:szCs w:val="20"/>
        </w:rPr>
      </w:pPr>
    </w:p>
    <w:p w:rsidR="003C19C6" w:rsidRPr="00021D1B" w:rsidRDefault="003C19C6" w:rsidP="003C19C6">
      <w:pPr>
        <w:rPr>
          <w:rFonts w:asciiTheme="minorHAnsi" w:eastAsia="Times New Roman" w:hAnsiTheme="minorHAnsi" w:cs="Arial"/>
          <w:b/>
          <w:sz w:val="20"/>
          <w:szCs w:val="20"/>
          <w:lang w:eastAsia="sk-SK"/>
        </w:rPr>
      </w:pPr>
      <w:r w:rsidRPr="00021D1B">
        <w:rPr>
          <w:rFonts w:asciiTheme="minorHAnsi" w:eastAsia="Times New Roman" w:hAnsiTheme="minorHAnsi" w:cs="Arial"/>
          <w:b/>
          <w:sz w:val="20"/>
          <w:szCs w:val="20"/>
          <w:lang w:eastAsia="sk-SK"/>
        </w:rPr>
        <w:t xml:space="preserve">Tabuľka </w:t>
      </w:r>
      <w:r w:rsidR="001D78BB">
        <w:rPr>
          <w:rFonts w:asciiTheme="minorHAnsi" w:eastAsia="Times New Roman" w:hAnsiTheme="minorHAnsi" w:cs="Arial"/>
          <w:b/>
          <w:sz w:val="20"/>
          <w:szCs w:val="20"/>
          <w:lang w:eastAsia="sk-SK"/>
        </w:rPr>
        <w:t>5.5</w:t>
      </w:r>
      <w:r w:rsidRPr="00021D1B">
        <w:rPr>
          <w:rFonts w:asciiTheme="minorHAnsi" w:eastAsia="Times New Roman" w:hAnsiTheme="minorHAnsi" w:cs="Arial"/>
          <w:b/>
          <w:sz w:val="20"/>
          <w:szCs w:val="20"/>
          <w:lang w:eastAsia="sk-SK"/>
        </w:rPr>
        <w:t xml:space="preserve"> Projekty H2020 podané k 31. 12. 2015</w:t>
      </w:r>
    </w:p>
    <w:tbl>
      <w:tblPr>
        <w:tblStyle w:val="Mriekatabu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68"/>
        <w:gridCol w:w="567"/>
        <w:gridCol w:w="567"/>
        <w:gridCol w:w="567"/>
        <w:gridCol w:w="850"/>
        <w:gridCol w:w="567"/>
        <w:gridCol w:w="709"/>
        <w:gridCol w:w="709"/>
        <w:gridCol w:w="1134"/>
        <w:gridCol w:w="1134"/>
        <w:gridCol w:w="816"/>
      </w:tblGrid>
      <w:tr w:rsidR="003C19C6" w:rsidRPr="00021D1B" w:rsidTr="00520814">
        <w:tc>
          <w:tcPr>
            <w:tcW w:w="1668" w:type="dxa"/>
          </w:tcPr>
          <w:p w:rsidR="003C19C6" w:rsidRPr="00021D1B" w:rsidRDefault="003C19C6" w:rsidP="00520814">
            <w:pPr>
              <w:jc w:val="center"/>
              <w:rPr>
                <w:rFonts w:asciiTheme="minorHAnsi" w:hAnsiTheme="minorHAnsi"/>
                <w:sz w:val="20"/>
                <w:szCs w:val="20"/>
              </w:rPr>
            </w:pPr>
          </w:p>
        </w:tc>
        <w:tc>
          <w:tcPr>
            <w:tcW w:w="567" w:type="dxa"/>
            <w:shd w:val="clear" w:color="auto" w:fill="FDE9D9" w:themeFill="accent6"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SvF</w:t>
            </w:r>
          </w:p>
        </w:tc>
        <w:tc>
          <w:tcPr>
            <w:tcW w:w="567" w:type="dxa"/>
            <w:shd w:val="clear" w:color="auto" w:fill="FDE9D9" w:themeFill="accent6"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SjF</w:t>
            </w:r>
          </w:p>
        </w:tc>
        <w:tc>
          <w:tcPr>
            <w:tcW w:w="567" w:type="dxa"/>
            <w:shd w:val="clear" w:color="auto" w:fill="FDE9D9" w:themeFill="accent6"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FEI</w:t>
            </w:r>
          </w:p>
        </w:tc>
        <w:tc>
          <w:tcPr>
            <w:tcW w:w="850" w:type="dxa"/>
            <w:shd w:val="clear" w:color="auto" w:fill="FDE9D9" w:themeFill="accent6"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FCHPT</w:t>
            </w:r>
          </w:p>
        </w:tc>
        <w:tc>
          <w:tcPr>
            <w:tcW w:w="567" w:type="dxa"/>
            <w:shd w:val="clear" w:color="auto" w:fill="FDE9D9" w:themeFill="accent6"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FA</w:t>
            </w:r>
          </w:p>
        </w:tc>
        <w:tc>
          <w:tcPr>
            <w:tcW w:w="709" w:type="dxa"/>
            <w:shd w:val="clear" w:color="auto" w:fill="FDE9D9" w:themeFill="accent6"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MTF</w:t>
            </w:r>
          </w:p>
        </w:tc>
        <w:tc>
          <w:tcPr>
            <w:tcW w:w="709" w:type="dxa"/>
            <w:shd w:val="clear" w:color="auto" w:fill="FDE9D9" w:themeFill="accent6"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FIIT</w:t>
            </w:r>
          </w:p>
        </w:tc>
        <w:tc>
          <w:tcPr>
            <w:tcW w:w="1134" w:type="dxa"/>
            <w:shd w:val="clear" w:color="auto" w:fill="FDE9D9" w:themeFill="accent6"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R STU -</w:t>
            </w:r>
            <w:proofErr w:type="spellStart"/>
            <w:r w:rsidRPr="00021D1B">
              <w:rPr>
                <w:rFonts w:asciiTheme="minorHAnsi" w:hAnsiTheme="minorHAnsi"/>
                <w:sz w:val="20"/>
                <w:szCs w:val="20"/>
              </w:rPr>
              <w:t>Nanodiag</w:t>
            </w:r>
            <w:proofErr w:type="spellEnd"/>
            <w:r w:rsidRPr="00021D1B">
              <w:rPr>
                <w:rFonts w:asciiTheme="minorHAnsi" w:hAnsiTheme="minorHAnsi"/>
                <w:sz w:val="20"/>
                <w:szCs w:val="20"/>
              </w:rPr>
              <w:t>.</w:t>
            </w:r>
          </w:p>
        </w:tc>
        <w:tc>
          <w:tcPr>
            <w:tcW w:w="1134" w:type="dxa"/>
            <w:shd w:val="clear" w:color="auto" w:fill="FDE9D9" w:themeFill="accent6" w:themeFillTint="33"/>
          </w:tcPr>
          <w:p w:rsidR="003C19C6" w:rsidRPr="00021D1B" w:rsidRDefault="003C19C6" w:rsidP="00520814">
            <w:pPr>
              <w:jc w:val="center"/>
              <w:rPr>
                <w:rFonts w:asciiTheme="minorHAnsi" w:hAnsiTheme="minorHAnsi"/>
                <w:sz w:val="20"/>
                <w:szCs w:val="20"/>
              </w:rPr>
            </w:pPr>
            <w:proofErr w:type="spellStart"/>
            <w:r w:rsidRPr="00021D1B">
              <w:rPr>
                <w:rFonts w:asciiTheme="minorHAnsi" w:hAnsiTheme="minorHAnsi"/>
                <w:sz w:val="20"/>
                <w:szCs w:val="20"/>
              </w:rPr>
              <w:t>Neidentif</w:t>
            </w:r>
            <w:proofErr w:type="spellEnd"/>
            <w:r w:rsidRPr="00021D1B">
              <w:rPr>
                <w:rFonts w:asciiTheme="minorHAnsi" w:hAnsiTheme="minorHAnsi"/>
                <w:sz w:val="20"/>
                <w:szCs w:val="20"/>
              </w:rPr>
              <w:t>.</w:t>
            </w:r>
          </w:p>
        </w:tc>
        <w:tc>
          <w:tcPr>
            <w:tcW w:w="816" w:type="dxa"/>
            <w:shd w:val="clear" w:color="auto" w:fill="FABF8F" w:themeFill="accent6" w:themeFillTint="99"/>
          </w:tcPr>
          <w:p w:rsidR="003C19C6" w:rsidRPr="00021D1B" w:rsidRDefault="003C19C6" w:rsidP="00520814">
            <w:pPr>
              <w:jc w:val="center"/>
              <w:rPr>
                <w:rFonts w:asciiTheme="minorHAnsi" w:hAnsiTheme="minorHAnsi"/>
                <w:b/>
                <w:sz w:val="20"/>
                <w:szCs w:val="20"/>
              </w:rPr>
            </w:pPr>
            <w:r w:rsidRPr="00021D1B">
              <w:rPr>
                <w:rFonts w:asciiTheme="minorHAnsi" w:hAnsiTheme="minorHAnsi"/>
                <w:b/>
                <w:sz w:val="20"/>
                <w:szCs w:val="20"/>
              </w:rPr>
              <w:t>SPOLU</w:t>
            </w:r>
          </w:p>
        </w:tc>
      </w:tr>
      <w:tr w:rsidR="003C19C6" w:rsidRPr="00021D1B" w:rsidTr="00520814">
        <w:tc>
          <w:tcPr>
            <w:tcW w:w="1668" w:type="dxa"/>
            <w:shd w:val="clear" w:color="auto" w:fill="FDE9D9" w:themeFill="accent6" w:themeFillTint="33"/>
          </w:tcPr>
          <w:p w:rsidR="003C19C6" w:rsidRPr="00021D1B" w:rsidRDefault="003C19C6" w:rsidP="00520814">
            <w:pPr>
              <w:jc w:val="center"/>
              <w:rPr>
                <w:rFonts w:asciiTheme="minorHAnsi" w:hAnsiTheme="minorHAnsi"/>
                <w:b/>
                <w:sz w:val="20"/>
                <w:szCs w:val="20"/>
              </w:rPr>
            </w:pPr>
            <w:r w:rsidRPr="00021D1B">
              <w:rPr>
                <w:rFonts w:asciiTheme="minorHAnsi" w:hAnsiTheme="minorHAnsi"/>
                <w:b/>
                <w:sz w:val="20"/>
                <w:szCs w:val="20"/>
              </w:rPr>
              <w:t>Počet podaných projektov</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15</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8</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28</w:t>
            </w:r>
          </w:p>
        </w:tc>
        <w:tc>
          <w:tcPr>
            <w:tcW w:w="850"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12</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4</w:t>
            </w:r>
          </w:p>
        </w:tc>
        <w:tc>
          <w:tcPr>
            <w:tcW w:w="709"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23</w:t>
            </w:r>
          </w:p>
        </w:tc>
        <w:tc>
          <w:tcPr>
            <w:tcW w:w="709"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10</w:t>
            </w:r>
          </w:p>
        </w:tc>
        <w:tc>
          <w:tcPr>
            <w:tcW w:w="1134"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2</w:t>
            </w:r>
          </w:p>
        </w:tc>
        <w:tc>
          <w:tcPr>
            <w:tcW w:w="1134"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5</w:t>
            </w:r>
          </w:p>
        </w:tc>
        <w:tc>
          <w:tcPr>
            <w:tcW w:w="816" w:type="dxa"/>
            <w:shd w:val="clear" w:color="auto" w:fill="FABF8F" w:themeFill="accent6" w:themeFillTint="99"/>
          </w:tcPr>
          <w:p w:rsidR="003C19C6" w:rsidRPr="00021D1B" w:rsidRDefault="003C19C6" w:rsidP="00520814">
            <w:pPr>
              <w:jc w:val="center"/>
              <w:rPr>
                <w:rFonts w:asciiTheme="minorHAnsi" w:hAnsiTheme="minorHAnsi"/>
                <w:b/>
                <w:sz w:val="20"/>
                <w:szCs w:val="20"/>
              </w:rPr>
            </w:pPr>
            <w:r w:rsidRPr="00021D1B">
              <w:rPr>
                <w:rFonts w:asciiTheme="minorHAnsi" w:hAnsiTheme="minorHAnsi"/>
                <w:b/>
                <w:sz w:val="20"/>
                <w:szCs w:val="20"/>
              </w:rPr>
              <w:t>110</w:t>
            </w:r>
          </w:p>
        </w:tc>
      </w:tr>
      <w:tr w:rsidR="003C19C6" w:rsidRPr="00021D1B" w:rsidTr="00520814">
        <w:tc>
          <w:tcPr>
            <w:tcW w:w="1668" w:type="dxa"/>
            <w:shd w:val="clear" w:color="auto" w:fill="FDE9D9" w:themeFill="accent6" w:themeFillTint="33"/>
          </w:tcPr>
          <w:p w:rsidR="003C19C6" w:rsidRPr="00021D1B" w:rsidRDefault="003C19C6" w:rsidP="00520814">
            <w:pPr>
              <w:jc w:val="center"/>
              <w:rPr>
                <w:rFonts w:asciiTheme="minorHAnsi" w:hAnsiTheme="minorHAnsi"/>
                <w:b/>
                <w:sz w:val="20"/>
                <w:szCs w:val="20"/>
              </w:rPr>
            </w:pPr>
            <w:r w:rsidRPr="00021D1B">
              <w:rPr>
                <w:rFonts w:asciiTheme="minorHAnsi" w:hAnsiTheme="minorHAnsi"/>
                <w:b/>
                <w:sz w:val="20"/>
                <w:szCs w:val="20"/>
              </w:rPr>
              <w:t>Financované</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2</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0</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5</w:t>
            </w:r>
          </w:p>
        </w:tc>
        <w:tc>
          <w:tcPr>
            <w:tcW w:w="850"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1</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0</w:t>
            </w:r>
          </w:p>
        </w:tc>
        <w:tc>
          <w:tcPr>
            <w:tcW w:w="709"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1</w:t>
            </w:r>
          </w:p>
        </w:tc>
        <w:tc>
          <w:tcPr>
            <w:tcW w:w="709"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0</w:t>
            </w:r>
          </w:p>
        </w:tc>
        <w:tc>
          <w:tcPr>
            <w:tcW w:w="1134"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0</w:t>
            </w:r>
          </w:p>
        </w:tc>
        <w:tc>
          <w:tcPr>
            <w:tcW w:w="1134"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0</w:t>
            </w:r>
          </w:p>
        </w:tc>
        <w:tc>
          <w:tcPr>
            <w:tcW w:w="816" w:type="dxa"/>
            <w:shd w:val="clear" w:color="auto" w:fill="FABF8F" w:themeFill="accent6" w:themeFillTint="99"/>
          </w:tcPr>
          <w:p w:rsidR="003C19C6" w:rsidRPr="00021D1B" w:rsidRDefault="003C19C6" w:rsidP="00520814">
            <w:pPr>
              <w:jc w:val="center"/>
              <w:rPr>
                <w:rFonts w:asciiTheme="minorHAnsi" w:hAnsiTheme="minorHAnsi"/>
                <w:b/>
                <w:sz w:val="20"/>
                <w:szCs w:val="20"/>
              </w:rPr>
            </w:pPr>
            <w:r w:rsidRPr="00021D1B">
              <w:rPr>
                <w:rFonts w:asciiTheme="minorHAnsi" w:hAnsiTheme="minorHAnsi"/>
                <w:b/>
                <w:sz w:val="20"/>
                <w:szCs w:val="20"/>
              </w:rPr>
              <w:t>10</w:t>
            </w:r>
          </w:p>
        </w:tc>
      </w:tr>
      <w:tr w:rsidR="003C19C6" w:rsidRPr="00021D1B" w:rsidTr="00520814">
        <w:tc>
          <w:tcPr>
            <w:tcW w:w="1668" w:type="dxa"/>
            <w:shd w:val="clear" w:color="auto" w:fill="FDE9D9" w:themeFill="accent6" w:themeFillTint="33"/>
          </w:tcPr>
          <w:p w:rsidR="003C19C6" w:rsidRPr="00021D1B" w:rsidRDefault="003C19C6" w:rsidP="00520814">
            <w:pPr>
              <w:jc w:val="center"/>
              <w:rPr>
                <w:rFonts w:asciiTheme="minorHAnsi" w:hAnsiTheme="minorHAnsi"/>
                <w:b/>
                <w:sz w:val="20"/>
                <w:szCs w:val="20"/>
              </w:rPr>
            </w:pPr>
            <w:r w:rsidRPr="00021D1B">
              <w:rPr>
                <w:rFonts w:asciiTheme="minorHAnsi" w:hAnsiTheme="minorHAnsi"/>
                <w:b/>
                <w:sz w:val="20"/>
                <w:szCs w:val="20"/>
              </w:rPr>
              <w:t>Nad prahom, ale nefinancované</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6</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1</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11</w:t>
            </w:r>
          </w:p>
        </w:tc>
        <w:tc>
          <w:tcPr>
            <w:tcW w:w="850"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3</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2</w:t>
            </w:r>
          </w:p>
        </w:tc>
        <w:tc>
          <w:tcPr>
            <w:tcW w:w="709"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6</w:t>
            </w:r>
          </w:p>
        </w:tc>
        <w:tc>
          <w:tcPr>
            <w:tcW w:w="709"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1</w:t>
            </w:r>
          </w:p>
        </w:tc>
        <w:tc>
          <w:tcPr>
            <w:tcW w:w="1134"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0</w:t>
            </w:r>
          </w:p>
        </w:tc>
        <w:tc>
          <w:tcPr>
            <w:tcW w:w="1134"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0</w:t>
            </w:r>
          </w:p>
        </w:tc>
        <w:tc>
          <w:tcPr>
            <w:tcW w:w="816" w:type="dxa"/>
            <w:shd w:val="clear" w:color="auto" w:fill="FABF8F" w:themeFill="accent6" w:themeFillTint="99"/>
          </w:tcPr>
          <w:p w:rsidR="003C19C6" w:rsidRPr="00021D1B" w:rsidRDefault="003C19C6" w:rsidP="00520814">
            <w:pPr>
              <w:jc w:val="center"/>
              <w:rPr>
                <w:rFonts w:asciiTheme="minorHAnsi" w:hAnsiTheme="minorHAnsi"/>
                <w:b/>
                <w:sz w:val="20"/>
                <w:szCs w:val="20"/>
              </w:rPr>
            </w:pPr>
            <w:r w:rsidRPr="00021D1B">
              <w:rPr>
                <w:rFonts w:asciiTheme="minorHAnsi" w:hAnsiTheme="minorHAnsi"/>
                <w:b/>
                <w:sz w:val="20"/>
                <w:szCs w:val="20"/>
              </w:rPr>
              <w:t>30</w:t>
            </w:r>
          </w:p>
        </w:tc>
      </w:tr>
      <w:tr w:rsidR="003C19C6" w:rsidRPr="00021D1B" w:rsidTr="00520814">
        <w:tc>
          <w:tcPr>
            <w:tcW w:w="1668" w:type="dxa"/>
            <w:shd w:val="clear" w:color="auto" w:fill="FDE9D9" w:themeFill="accent6" w:themeFillTint="33"/>
          </w:tcPr>
          <w:p w:rsidR="003C19C6" w:rsidRPr="00021D1B" w:rsidRDefault="003C19C6" w:rsidP="00520814">
            <w:pPr>
              <w:jc w:val="center"/>
              <w:rPr>
                <w:rFonts w:asciiTheme="minorHAnsi" w:hAnsiTheme="minorHAnsi"/>
                <w:b/>
                <w:sz w:val="20"/>
                <w:szCs w:val="20"/>
              </w:rPr>
            </w:pPr>
            <w:r w:rsidRPr="00021D1B">
              <w:rPr>
                <w:rFonts w:asciiTheme="minorHAnsi" w:hAnsiTheme="minorHAnsi"/>
                <w:b/>
                <w:sz w:val="20"/>
                <w:szCs w:val="20"/>
              </w:rPr>
              <w:t>Neúspešné</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6</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3</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2</w:t>
            </w:r>
          </w:p>
        </w:tc>
        <w:tc>
          <w:tcPr>
            <w:tcW w:w="850"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3</w:t>
            </w:r>
          </w:p>
        </w:tc>
        <w:tc>
          <w:tcPr>
            <w:tcW w:w="567"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1</w:t>
            </w:r>
          </w:p>
        </w:tc>
        <w:tc>
          <w:tcPr>
            <w:tcW w:w="709"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11</w:t>
            </w:r>
          </w:p>
        </w:tc>
        <w:tc>
          <w:tcPr>
            <w:tcW w:w="709"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5</w:t>
            </w:r>
          </w:p>
        </w:tc>
        <w:tc>
          <w:tcPr>
            <w:tcW w:w="1134"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0</w:t>
            </w:r>
          </w:p>
        </w:tc>
        <w:tc>
          <w:tcPr>
            <w:tcW w:w="1134" w:type="dxa"/>
            <w:shd w:val="clear" w:color="auto" w:fill="DAEEF3" w:themeFill="accent5" w:themeFillTint="33"/>
          </w:tcPr>
          <w:p w:rsidR="003C19C6" w:rsidRPr="00021D1B" w:rsidRDefault="003C19C6" w:rsidP="00520814">
            <w:pPr>
              <w:jc w:val="center"/>
              <w:rPr>
                <w:rFonts w:asciiTheme="minorHAnsi" w:hAnsiTheme="minorHAnsi"/>
                <w:sz w:val="20"/>
                <w:szCs w:val="20"/>
              </w:rPr>
            </w:pPr>
            <w:r w:rsidRPr="00021D1B">
              <w:rPr>
                <w:rFonts w:asciiTheme="minorHAnsi" w:hAnsiTheme="minorHAnsi"/>
                <w:sz w:val="20"/>
                <w:szCs w:val="20"/>
              </w:rPr>
              <w:t>0</w:t>
            </w:r>
          </w:p>
        </w:tc>
        <w:tc>
          <w:tcPr>
            <w:tcW w:w="816" w:type="dxa"/>
            <w:shd w:val="clear" w:color="auto" w:fill="FABF8F" w:themeFill="accent6" w:themeFillTint="99"/>
          </w:tcPr>
          <w:p w:rsidR="003C19C6" w:rsidRPr="00021D1B" w:rsidRDefault="003C19C6" w:rsidP="00520814">
            <w:pPr>
              <w:jc w:val="center"/>
              <w:rPr>
                <w:rFonts w:asciiTheme="minorHAnsi" w:hAnsiTheme="minorHAnsi"/>
                <w:b/>
                <w:sz w:val="20"/>
                <w:szCs w:val="20"/>
              </w:rPr>
            </w:pPr>
            <w:r w:rsidRPr="00021D1B">
              <w:rPr>
                <w:rFonts w:asciiTheme="minorHAnsi" w:hAnsiTheme="minorHAnsi"/>
                <w:b/>
                <w:sz w:val="20"/>
                <w:szCs w:val="20"/>
              </w:rPr>
              <w:t>32</w:t>
            </w:r>
          </w:p>
        </w:tc>
      </w:tr>
    </w:tbl>
    <w:p w:rsidR="003C19C6" w:rsidRPr="00021D1B" w:rsidRDefault="003C19C6" w:rsidP="003C19C6">
      <w:pPr>
        <w:rPr>
          <w:rFonts w:asciiTheme="minorHAnsi" w:eastAsia="Times New Roman" w:hAnsiTheme="minorHAnsi"/>
          <w:sz w:val="20"/>
          <w:szCs w:val="20"/>
          <w:lang w:eastAsia="sk-SK"/>
        </w:rPr>
      </w:pPr>
    </w:p>
    <w:p w:rsidR="00B51749" w:rsidRPr="002D7A10" w:rsidRDefault="00B51749" w:rsidP="00B51749">
      <w:pPr>
        <w:rPr>
          <w:rFonts w:asciiTheme="minorHAnsi" w:hAnsiTheme="minorHAnsi"/>
          <w:color w:val="FF0000"/>
        </w:rPr>
      </w:pPr>
    </w:p>
    <w:p w:rsidR="00B51749" w:rsidRDefault="00B51749" w:rsidP="00B51749">
      <w:pPr>
        <w:pStyle w:val="Nadpis3"/>
        <w:rPr>
          <w:rFonts w:asciiTheme="minorHAnsi" w:hAnsiTheme="minorHAnsi"/>
          <w:color w:val="auto"/>
        </w:rPr>
      </w:pPr>
      <w:bookmarkStart w:id="32" w:name="_Toc448261574"/>
      <w:r w:rsidRPr="002D7A10">
        <w:rPr>
          <w:rFonts w:asciiTheme="minorHAnsi" w:hAnsiTheme="minorHAnsi"/>
          <w:color w:val="auto"/>
        </w:rPr>
        <w:t>Publikačná aktivita STU</w:t>
      </w:r>
      <w:bookmarkEnd w:id="32"/>
      <w:r w:rsidR="00012C3E" w:rsidRPr="002D7A10">
        <w:rPr>
          <w:rFonts w:asciiTheme="minorHAnsi" w:hAnsiTheme="minorHAnsi"/>
          <w:color w:val="auto"/>
        </w:rPr>
        <w:t xml:space="preserve"> </w:t>
      </w:r>
    </w:p>
    <w:p w:rsidR="00A10053" w:rsidRPr="00A10053" w:rsidRDefault="00A10053" w:rsidP="00A10053">
      <w:pPr>
        <w:jc w:val="left"/>
        <w:rPr>
          <w:lang w:eastAsia="cs-CZ"/>
        </w:rPr>
      </w:pPr>
    </w:p>
    <w:tbl>
      <w:tblPr>
        <w:tblW w:w="19968" w:type="dxa"/>
        <w:tblCellMar>
          <w:left w:w="70" w:type="dxa"/>
          <w:right w:w="70" w:type="dxa"/>
        </w:tblCellMar>
        <w:tblLook w:val="04A0" w:firstRow="1" w:lastRow="0" w:firstColumn="1" w:lastColumn="0" w:noHBand="0" w:noVBand="1"/>
      </w:tblPr>
      <w:tblGrid>
        <w:gridCol w:w="9984"/>
        <w:gridCol w:w="9984"/>
      </w:tblGrid>
      <w:tr w:rsidR="003C19C6" w:rsidRPr="00A10053" w:rsidTr="00520814">
        <w:trPr>
          <w:trHeight w:val="269"/>
        </w:trPr>
        <w:tc>
          <w:tcPr>
            <w:tcW w:w="9984" w:type="dxa"/>
            <w:tcBorders>
              <w:top w:val="nil"/>
              <w:left w:val="nil"/>
              <w:bottom w:val="nil"/>
              <w:right w:val="nil"/>
            </w:tcBorders>
            <w:vAlign w:val="center"/>
          </w:tcPr>
          <w:p w:rsidR="003C19C6" w:rsidRPr="008D5555" w:rsidRDefault="003C19C6" w:rsidP="008D5555">
            <w:pPr>
              <w:rPr>
                <w:rFonts w:asciiTheme="minorHAnsi" w:hAnsiTheme="minorHAnsi"/>
              </w:rPr>
            </w:pPr>
            <w:r w:rsidRPr="008D5555">
              <w:rPr>
                <w:rFonts w:asciiTheme="minorHAnsi" w:hAnsiTheme="minorHAnsi"/>
              </w:rPr>
              <w:t xml:space="preserve">Tabuľka </w:t>
            </w:r>
            <w:r w:rsidR="00A10053" w:rsidRPr="008D5555">
              <w:rPr>
                <w:rFonts w:asciiTheme="minorHAnsi" w:hAnsiTheme="minorHAnsi"/>
              </w:rPr>
              <w:t>5.</w:t>
            </w:r>
            <w:r w:rsidR="00115561">
              <w:rPr>
                <w:rFonts w:asciiTheme="minorHAnsi" w:hAnsiTheme="minorHAnsi"/>
              </w:rPr>
              <w:t>6</w:t>
            </w:r>
            <w:r w:rsidRPr="008D5555">
              <w:rPr>
                <w:rFonts w:asciiTheme="minorHAnsi" w:hAnsiTheme="minorHAnsi"/>
              </w:rPr>
              <w:t xml:space="preserve"> dokumentuje počty publikačných výstupov (klasifikovaná podľa zaužívanej nomenklatúry A1, A2, B a C, D) v roku 2015 podľa súčastí univerzity, pričom sú znázornené zmeny oproti roku 2014 (červeným pokles, zeleným nárast). </w:t>
            </w:r>
            <w:r w:rsidR="008D5555">
              <w:rPr>
                <w:rFonts w:asciiTheme="minorHAnsi" w:hAnsiTheme="minorHAnsi"/>
              </w:rPr>
              <w:t>V</w:t>
            </w:r>
            <w:r w:rsidRPr="008D5555">
              <w:rPr>
                <w:rFonts w:asciiTheme="minorHAnsi" w:hAnsiTheme="minorHAnsi"/>
              </w:rPr>
              <w:t xml:space="preserve"> najhodnotnejších kategóriách (A1 a B) sme nezaznamenali pokles, v kategórii A1 (vedecké monografie) sa počet titulov takmer zdvojnásobil a v kategórii B </w:t>
            </w:r>
            <w:r w:rsidRPr="008D5555">
              <w:rPr>
                <w:rFonts w:asciiTheme="minorHAnsi" w:hAnsiTheme="minorHAnsi"/>
              </w:rPr>
              <w:lastRenderedPageBreak/>
              <w:t>(</w:t>
            </w:r>
            <w:proofErr w:type="spellStart"/>
            <w:r w:rsidRPr="008D5555">
              <w:rPr>
                <w:rFonts w:asciiTheme="minorHAnsi" w:hAnsiTheme="minorHAnsi"/>
              </w:rPr>
              <w:t>karentované</w:t>
            </w:r>
            <w:proofErr w:type="spellEnd"/>
            <w:r w:rsidRPr="008D5555">
              <w:rPr>
                <w:rFonts w:asciiTheme="minorHAnsi" w:hAnsiTheme="minorHAnsi"/>
              </w:rPr>
              <w:t xml:space="preserve"> publikácie) je nárast asi o 14 %. </w:t>
            </w:r>
          </w:p>
          <w:p w:rsidR="008D5555" w:rsidRPr="00247AAD" w:rsidRDefault="008D5555" w:rsidP="008D5555">
            <w:pPr>
              <w:rPr>
                <w:rFonts w:asciiTheme="minorHAnsi" w:hAnsiTheme="minorHAnsi"/>
                <w:b/>
              </w:rPr>
            </w:pPr>
            <w:r w:rsidRPr="008D5555">
              <w:rPr>
                <w:rFonts w:asciiTheme="minorHAnsi" w:hAnsiTheme="minorHAnsi"/>
                <w:b/>
              </w:rPr>
              <w:t>Potešiteľnou skutočnosťou je, že v najhodnotnejších bibliografických kategórii B (</w:t>
            </w:r>
            <w:proofErr w:type="spellStart"/>
            <w:r w:rsidRPr="008D5555">
              <w:rPr>
                <w:rFonts w:asciiTheme="minorHAnsi" w:hAnsiTheme="minorHAnsi"/>
                <w:b/>
              </w:rPr>
              <w:t>karentové</w:t>
            </w:r>
            <w:proofErr w:type="spellEnd"/>
            <w:r w:rsidRPr="008D5555">
              <w:rPr>
                <w:rFonts w:asciiTheme="minorHAnsi" w:hAnsiTheme="minorHAnsi"/>
                <w:b/>
              </w:rPr>
              <w:t xml:space="preserve"> publikácie a patenty) je možné pozorovať od roku 2012 výrazný nárast.</w:t>
            </w:r>
            <w:r w:rsidRPr="008D5555">
              <w:rPr>
                <w:rFonts w:asciiTheme="minorHAnsi" w:hAnsiTheme="minorHAnsi"/>
              </w:rPr>
              <w:t xml:space="preserve"> </w:t>
            </w:r>
            <w:r w:rsidRPr="008D5555">
              <w:rPr>
                <w:rFonts w:asciiTheme="minorHAnsi" w:hAnsiTheme="minorHAnsi"/>
                <w:b/>
              </w:rPr>
              <w:t>Treba to do určitej miery pripísať aj zmene kritérií na habilitačné a vymenovacie konania, kde sa explicitne vyžadujú výstupy v tejto kategórii.</w:t>
            </w:r>
          </w:p>
        </w:tc>
        <w:tc>
          <w:tcPr>
            <w:tcW w:w="9984" w:type="dxa"/>
            <w:tcBorders>
              <w:top w:val="nil"/>
              <w:left w:val="nil"/>
              <w:bottom w:val="nil"/>
              <w:right w:val="nil"/>
            </w:tcBorders>
            <w:shd w:val="clear" w:color="auto" w:fill="auto"/>
            <w:noWrap/>
            <w:vAlign w:val="center"/>
          </w:tcPr>
          <w:p w:rsidR="003C19C6" w:rsidRPr="00A10053" w:rsidRDefault="003C19C6" w:rsidP="00A10053">
            <w:pPr>
              <w:rPr>
                <w:rFonts w:asciiTheme="minorHAnsi" w:eastAsia="Times New Roman" w:hAnsiTheme="minorHAnsi"/>
                <w:b/>
                <w:bCs/>
                <w:color w:val="000000"/>
                <w:lang w:eastAsia="sk-SK"/>
              </w:rPr>
            </w:pPr>
          </w:p>
        </w:tc>
      </w:tr>
      <w:tr w:rsidR="003C19C6" w:rsidRPr="008414B8" w:rsidTr="00520814">
        <w:trPr>
          <w:trHeight w:val="269"/>
        </w:trPr>
        <w:tc>
          <w:tcPr>
            <w:tcW w:w="9984" w:type="dxa"/>
            <w:tcBorders>
              <w:top w:val="nil"/>
              <w:left w:val="nil"/>
              <w:bottom w:val="nil"/>
              <w:right w:val="nil"/>
            </w:tcBorders>
          </w:tcPr>
          <w:p w:rsidR="003C19C6" w:rsidRPr="008414B8" w:rsidRDefault="003C19C6" w:rsidP="008414B8">
            <w:pPr>
              <w:jc w:val="left"/>
              <w:rPr>
                <w:rFonts w:asciiTheme="minorHAnsi" w:eastAsia="Times New Roman" w:hAnsiTheme="minorHAnsi"/>
                <w:b/>
                <w:bCs/>
                <w:color w:val="000000"/>
                <w:sz w:val="20"/>
                <w:szCs w:val="20"/>
                <w:lang w:eastAsia="sk-SK"/>
              </w:rPr>
            </w:pPr>
          </w:p>
        </w:tc>
        <w:tc>
          <w:tcPr>
            <w:tcW w:w="9984" w:type="dxa"/>
            <w:tcBorders>
              <w:top w:val="nil"/>
              <w:left w:val="nil"/>
              <w:bottom w:val="nil"/>
              <w:right w:val="nil"/>
            </w:tcBorders>
            <w:shd w:val="clear" w:color="auto" w:fill="auto"/>
            <w:noWrap/>
            <w:vAlign w:val="center"/>
          </w:tcPr>
          <w:p w:rsidR="003C19C6" w:rsidRPr="008414B8" w:rsidRDefault="003C19C6" w:rsidP="008414B8">
            <w:pPr>
              <w:jc w:val="left"/>
              <w:rPr>
                <w:rFonts w:asciiTheme="minorHAnsi" w:eastAsia="Times New Roman" w:hAnsiTheme="minorHAnsi"/>
                <w:b/>
                <w:bCs/>
                <w:color w:val="000000"/>
                <w:sz w:val="20"/>
                <w:szCs w:val="20"/>
                <w:lang w:eastAsia="sk-SK"/>
              </w:rPr>
            </w:pPr>
          </w:p>
        </w:tc>
      </w:tr>
    </w:tbl>
    <w:p w:rsidR="003C19C6" w:rsidRPr="008D5555" w:rsidRDefault="008414B8" w:rsidP="008D5555">
      <w:pPr>
        <w:jc w:val="left"/>
        <w:rPr>
          <w:rFonts w:asciiTheme="minorHAnsi" w:hAnsiTheme="minorHAnsi"/>
          <w:b/>
          <w:sz w:val="20"/>
          <w:szCs w:val="20"/>
        </w:rPr>
      </w:pPr>
      <w:r w:rsidRPr="008414B8">
        <w:rPr>
          <w:rFonts w:asciiTheme="minorHAnsi" w:hAnsiTheme="minorHAnsi"/>
          <w:b/>
          <w:sz w:val="20"/>
          <w:szCs w:val="20"/>
        </w:rPr>
        <w:t>Ta</w:t>
      </w:r>
      <w:r w:rsidR="003C19C6" w:rsidRPr="008414B8">
        <w:rPr>
          <w:rFonts w:asciiTheme="minorHAnsi" w:hAnsiTheme="minorHAnsi"/>
          <w:b/>
          <w:sz w:val="20"/>
          <w:szCs w:val="20"/>
        </w:rPr>
        <w:t xml:space="preserve">buľka </w:t>
      </w:r>
      <w:r w:rsidR="00A10053" w:rsidRPr="008414B8">
        <w:rPr>
          <w:rFonts w:asciiTheme="minorHAnsi" w:hAnsiTheme="minorHAnsi"/>
          <w:b/>
          <w:sz w:val="20"/>
          <w:szCs w:val="20"/>
        </w:rPr>
        <w:t>5.</w:t>
      </w:r>
      <w:r w:rsidR="00115561">
        <w:rPr>
          <w:rFonts w:asciiTheme="minorHAnsi" w:hAnsiTheme="minorHAnsi"/>
          <w:b/>
          <w:sz w:val="20"/>
          <w:szCs w:val="20"/>
        </w:rPr>
        <w:t>6</w:t>
      </w:r>
      <w:r w:rsidR="00A10053" w:rsidRPr="008414B8">
        <w:rPr>
          <w:rFonts w:asciiTheme="minorHAnsi" w:hAnsiTheme="minorHAnsi"/>
          <w:b/>
          <w:sz w:val="20"/>
          <w:szCs w:val="20"/>
        </w:rPr>
        <w:t>:</w:t>
      </w:r>
      <w:r w:rsidR="003C19C6" w:rsidRPr="008414B8">
        <w:rPr>
          <w:rFonts w:asciiTheme="minorHAnsi" w:hAnsiTheme="minorHAnsi"/>
          <w:b/>
          <w:sz w:val="20"/>
          <w:szCs w:val="20"/>
        </w:rPr>
        <w:t xml:space="preserve"> Počty publikačných výstupov súčastí STU v roku 2015</w:t>
      </w:r>
      <w:r w:rsidR="003C19C6" w:rsidRPr="008414B8">
        <w:rPr>
          <w:rFonts w:asciiTheme="minorHAnsi" w:hAnsiTheme="minorHAnsi"/>
          <w:noProof/>
          <w:sz w:val="20"/>
          <w:szCs w:val="20"/>
          <w:lang w:eastAsia="sk-SK"/>
        </w:rPr>
        <mc:AlternateContent>
          <mc:Choice Requires="wps">
            <w:drawing>
              <wp:anchor distT="0" distB="0" distL="114300" distR="114300" simplePos="0" relativeHeight="251659264" behindDoc="0" locked="0" layoutInCell="1" allowOverlap="1" wp14:anchorId="465D4F07" wp14:editId="04AD8947">
                <wp:simplePos x="0" y="0"/>
                <wp:positionH relativeFrom="column">
                  <wp:posOffset>-504991</wp:posOffset>
                </wp:positionH>
                <wp:positionV relativeFrom="paragraph">
                  <wp:posOffset>137104</wp:posOffset>
                </wp:positionV>
                <wp:extent cx="5858069" cy="2075401"/>
                <wp:effectExtent l="0" t="0" r="9525" b="1270"/>
                <wp:wrapNone/>
                <wp:docPr id="4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069" cy="2075401"/>
                        </a:xfrm>
                        <a:prstGeom prst="rect">
                          <a:avLst/>
                        </a:prstGeom>
                        <a:solidFill>
                          <a:srgbClr val="FFFFFF"/>
                        </a:solidFill>
                        <a:ln w="9525">
                          <a:noFill/>
                          <a:miter lim="800000"/>
                          <a:headEnd/>
                          <a:tailEnd/>
                        </a:ln>
                      </wps:spPr>
                      <wps:txbx>
                        <w:txbxContent>
                          <w:tbl>
                            <w:tblPr>
                              <w:tblW w:w="6804"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156"/>
                              <w:gridCol w:w="1112"/>
                              <w:gridCol w:w="992"/>
                              <w:gridCol w:w="993"/>
                              <w:gridCol w:w="1134"/>
                              <w:gridCol w:w="1417"/>
                            </w:tblGrid>
                            <w:tr w:rsidR="00FC767B" w:rsidRPr="006F4830" w:rsidTr="00520814">
                              <w:trPr>
                                <w:trHeight w:val="264"/>
                              </w:trPr>
                              <w:tc>
                                <w:tcPr>
                                  <w:tcW w:w="1156" w:type="dxa"/>
                                  <w:shd w:val="clear" w:color="auto" w:fill="auto"/>
                                  <w:noWrap/>
                                  <w:vAlign w:val="bottom"/>
                                  <w:hideMark/>
                                </w:tcPr>
                                <w:p w:rsidR="00FC767B" w:rsidRPr="006F4830" w:rsidRDefault="00FC767B" w:rsidP="00520814">
                                  <w:pPr>
                                    <w:jc w:val="center"/>
                                    <w:rPr>
                                      <w:rFonts w:ascii="Arial" w:eastAsia="Times New Roman" w:hAnsi="Arial" w:cs="Arial"/>
                                      <w:sz w:val="20"/>
                                      <w:szCs w:val="20"/>
                                      <w:lang w:eastAsia="sk-SK"/>
                                    </w:rPr>
                                  </w:pPr>
                                </w:p>
                              </w:tc>
                              <w:tc>
                                <w:tcPr>
                                  <w:tcW w:w="1112" w:type="dxa"/>
                                  <w:tcBorders>
                                    <w:bottom w:val="single" w:sz="12" w:space="0" w:color="auto"/>
                                  </w:tcBorders>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A1</w:t>
                                  </w:r>
                                </w:p>
                              </w:tc>
                              <w:tc>
                                <w:tcPr>
                                  <w:tcW w:w="992" w:type="dxa"/>
                                  <w:tcBorders>
                                    <w:bottom w:val="single" w:sz="12" w:space="0" w:color="auto"/>
                                  </w:tcBorders>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A2</w:t>
                                  </w:r>
                                </w:p>
                              </w:tc>
                              <w:tc>
                                <w:tcPr>
                                  <w:tcW w:w="993" w:type="dxa"/>
                                  <w:tcBorders>
                                    <w:bottom w:val="single" w:sz="12" w:space="0" w:color="auto"/>
                                  </w:tcBorders>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B</w:t>
                                  </w:r>
                                </w:p>
                              </w:tc>
                              <w:tc>
                                <w:tcPr>
                                  <w:tcW w:w="1134" w:type="dxa"/>
                                  <w:tcBorders>
                                    <w:bottom w:val="single" w:sz="12" w:space="0" w:color="auto"/>
                                  </w:tcBorders>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C</w:t>
                                  </w:r>
                                </w:p>
                              </w:tc>
                              <w:tc>
                                <w:tcPr>
                                  <w:tcW w:w="1417" w:type="dxa"/>
                                  <w:tcBorders>
                                    <w:bottom w:val="single" w:sz="12" w:space="0" w:color="auto"/>
                                  </w:tcBorders>
                                  <w:shd w:val="clear" w:color="000000" w:fill="FDE9D9" w:themeFill="accent6" w:themeFillTint="33"/>
                                </w:tcPr>
                                <w:p w:rsidR="00FC767B" w:rsidRPr="0092440E" w:rsidRDefault="00FC767B" w:rsidP="00520814">
                                  <w:pPr>
                                    <w:jc w:val="center"/>
                                    <w:rPr>
                                      <w:rFonts w:ascii="Arial" w:eastAsia="Times New Roman" w:hAnsi="Arial" w:cs="Arial"/>
                                      <w:b/>
                                      <w:bCs/>
                                      <w:color w:val="000000" w:themeColor="text1"/>
                                      <w:sz w:val="20"/>
                                      <w:szCs w:val="20"/>
                                      <w:lang w:eastAsia="sk-SK"/>
                                    </w:rPr>
                                  </w:pPr>
                                  <w:r>
                                    <w:rPr>
                                      <w:rFonts w:ascii="Arial" w:eastAsia="Times New Roman" w:hAnsi="Arial" w:cs="Arial"/>
                                      <w:b/>
                                      <w:bCs/>
                                      <w:color w:val="000000" w:themeColor="text1"/>
                                      <w:sz w:val="20"/>
                                      <w:szCs w:val="20"/>
                                      <w:lang w:eastAsia="sk-SK"/>
                                    </w:rPr>
                                    <w:t>D</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SvF</w:t>
                                  </w:r>
                                </w:p>
                              </w:tc>
                              <w:tc>
                                <w:tcPr>
                                  <w:tcW w:w="1112" w:type="dxa"/>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23(7)</w:t>
                                  </w:r>
                                </w:p>
                              </w:tc>
                              <w:tc>
                                <w:tcPr>
                                  <w:tcW w:w="992"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44(-20)</w:t>
                                  </w:r>
                                </w:p>
                              </w:tc>
                              <w:tc>
                                <w:tcPr>
                                  <w:tcW w:w="993"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80(37)</w:t>
                                  </w:r>
                                </w:p>
                              </w:tc>
                              <w:tc>
                                <w:tcPr>
                                  <w:tcW w:w="1134"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20(-35)</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1166(-419)</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SjF</w:t>
                                  </w:r>
                                </w:p>
                              </w:tc>
                              <w:tc>
                                <w:tcPr>
                                  <w:tcW w:w="1112" w:type="dxa"/>
                                  <w:tcBorders>
                                    <w:bottom w:val="single" w:sz="12" w:space="0" w:color="auto"/>
                                  </w:tcBorders>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10(7)</w:t>
                                  </w:r>
                                </w:p>
                              </w:tc>
                              <w:tc>
                                <w:tcPr>
                                  <w:tcW w:w="992"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16(-13)</w:t>
                                  </w:r>
                                </w:p>
                              </w:tc>
                              <w:tc>
                                <w:tcPr>
                                  <w:tcW w:w="993"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18(7)</w:t>
                                  </w:r>
                                </w:p>
                              </w:tc>
                              <w:tc>
                                <w:tcPr>
                                  <w:tcW w:w="1134"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18(-4)</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264(-127)</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FEI</w:t>
                                  </w:r>
                                </w:p>
                              </w:tc>
                              <w:tc>
                                <w:tcPr>
                                  <w:tcW w:w="1112" w:type="dxa"/>
                                  <w:tcBorders>
                                    <w:bottom w:val="single" w:sz="12" w:space="0" w:color="auto"/>
                                  </w:tcBorders>
                                  <w:shd w:val="clear" w:color="auto" w:fill="FD7F1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11(-1)</w:t>
                                  </w:r>
                                </w:p>
                              </w:tc>
                              <w:tc>
                                <w:tcPr>
                                  <w:tcW w:w="992"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26(1)</w:t>
                                  </w:r>
                                </w:p>
                              </w:tc>
                              <w:tc>
                                <w:tcPr>
                                  <w:tcW w:w="993"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78(-30)</w:t>
                                  </w:r>
                                </w:p>
                              </w:tc>
                              <w:tc>
                                <w:tcPr>
                                  <w:tcW w:w="1134"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47(-24)</w:t>
                                  </w:r>
                                </w:p>
                              </w:tc>
                              <w:tc>
                                <w:tcPr>
                                  <w:tcW w:w="1417" w:type="dxa"/>
                                  <w:tcBorders>
                                    <w:bottom w:val="single" w:sz="12" w:space="0" w:color="auto"/>
                                  </w:tcBorders>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696(-365)</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proofErr w:type="spellStart"/>
                                  <w:r w:rsidRPr="0092440E">
                                    <w:rPr>
                                      <w:rFonts w:ascii="Arial" w:eastAsia="Times New Roman" w:hAnsi="Arial" w:cs="Arial"/>
                                      <w:b/>
                                      <w:bCs/>
                                      <w:color w:val="000000" w:themeColor="text1"/>
                                      <w:sz w:val="20"/>
                                      <w:szCs w:val="20"/>
                                      <w:lang w:eastAsia="sk-SK"/>
                                    </w:rPr>
                                    <w:t>FChPT</w:t>
                                  </w:r>
                                  <w:proofErr w:type="spellEnd"/>
                                </w:p>
                              </w:tc>
                              <w:tc>
                                <w:tcPr>
                                  <w:tcW w:w="1112" w:type="dxa"/>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6(4)</w:t>
                                  </w:r>
                                </w:p>
                              </w:tc>
                              <w:tc>
                                <w:tcPr>
                                  <w:tcW w:w="992"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21(9)</w:t>
                                  </w:r>
                                </w:p>
                              </w:tc>
                              <w:tc>
                                <w:tcPr>
                                  <w:tcW w:w="993"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240(35)</w:t>
                                  </w:r>
                                </w:p>
                              </w:tc>
                              <w:tc>
                                <w:tcPr>
                                  <w:tcW w:w="1134"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24(11)</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743(-148)</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FA</w:t>
                                  </w:r>
                                </w:p>
                              </w:tc>
                              <w:tc>
                                <w:tcPr>
                                  <w:tcW w:w="1112" w:type="dxa"/>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8(4)</w:t>
                                  </w:r>
                                </w:p>
                              </w:tc>
                              <w:tc>
                                <w:tcPr>
                                  <w:tcW w:w="992"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18(1)</w:t>
                                  </w:r>
                                </w:p>
                              </w:tc>
                              <w:tc>
                                <w:tcPr>
                                  <w:tcW w:w="993"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3(-1)</w:t>
                                  </w:r>
                                </w:p>
                              </w:tc>
                              <w:tc>
                                <w:tcPr>
                                  <w:tcW w:w="1134"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17(14)</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251(-234)</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MTF</w:t>
                                  </w:r>
                                </w:p>
                              </w:tc>
                              <w:tc>
                                <w:tcPr>
                                  <w:tcW w:w="1112" w:type="dxa"/>
                                  <w:tcBorders>
                                    <w:bottom w:val="single" w:sz="12" w:space="0" w:color="auto"/>
                                  </w:tcBorders>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18(16)</w:t>
                                  </w:r>
                                </w:p>
                              </w:tc>
                              <w:tc>
                                <w:tcPr>
                                  <w:tcW w:w="992"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27(3)</w:t>
                                  </w:r>
                                </w:p>
                              </w:tc>
                              <w:tc>
                                <w:tcPr>
                                  <w:tcW w:w="993"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48(7)</w:t>
                                  </w:r>
                                </w:p>
                              </w:tc>
                              <w:tc>
                                <w:tcPr>
                                  <w:tcW w:w="1134"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18(-82)</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445(-199)</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FIIT</w:t>
                                  </w:r>
                                </w:p>
                              </w:tc>
                              <w:tc>
                                <w:tcPr>
                                  <w:tcW w:w="1112" w:type="dxa"/>
                                  <w:shd w:val="clear" w:color="auto" w:fill="FD7F1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1(-2)</w:t>
                                  </w:r>
                                </w:p>
                              </w:tc>
                              <w:tc>
                                <w:tcPr>
                                  <w:tcW w:w="992"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7(1)</w:t>
                                  </w:r>
                                </w:p>
                              </w:tc>
                              <w:tc>
                                <w:tcPr>
                                  <w:tcW w:w="993"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4(1)</w:t>
                                  </w:r>
                                </w:p>
                              </w:tc>
                              <w:tc>
                                <w:tcPr>
                                  <w:tcW w:w="1134"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7(4)</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122(-86)</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ÚM</w:t>
                                  </w:r>
                                </w:p>
                              </w:tc>
                              <w:tc>
                                <w:tcPr>
                                  <w:tcW w:w="1112" w:type="dxa"/>
                                  <w:tcBorders>
                                    <w:bottom w:val="single" w:sz="12" w:space="0" w:color="auto"/>
                                  </w:tcBorders>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2(2)</w:t>
                                  </w:r>
                                </w:p>
                              </w:tc>
                              <w:tc>
                                <w:tcPr>
                                  <w:tcW w:w="992" w:type="dxa"/>
                                  <w:tcBorders>
                                    <w:bottom w:val="single" w:sz="12" w:space="0" w:color="auto"/>
                                  </w:tcBorders>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6(-1)</w:t>
                                  </w:r>
                                </w:p>
                              </w:tc>
                              <w:tc>
                                <w:tcPr>
                                  <w:tcW w:w="993"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13(11)</w:t>
                                  </w:r>
                                </w:p>
                              </w:tc>
                              <w:tc>
                                <w:tcPr>
                                  <w:tcW w:w="1134"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6(3)</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103(-56)</w:t>
                                  </w:r>
                                </w:p>
                              </w:tc>
                            </w:tr>
                            <w:tr w:rsidR="00FC767B" w:rsidRPr="006F4830" w:rsidTr="00520814">
                              <w:trPr>
                                <w:trHeight w:val="264"/>
                              </w:trPr>
                              <w:tc>
                                <w:tcPr>
                                  <w:tcW w:w="1156" w:type="dxa"/>
                                  <w:shd w:val="clear" w:color="auto" w:fill="F79646" w:themeFill="accent6"/>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STU</w:t>
                                  </w:r>
                                </w:p>
                              </w:tc>
                              <w:tc>
                                <w:tcPr>
                                  <w:tcW w:w="1112" w:type="dxa"/>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79(37)</w:t>
                                  </w:r>
                                </w:p>
                              </w:tc>
                              <w:tc>
                                <w:tcPr>
                                  <w:tcW w:w="992"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165(-19)</w:t>
                                  </w:r>
                                </w:p>
                              </w:tc>
                              <w:tc>
                                <w:tcPr>
                                  <w:tcW w:w="993"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475(67)</w:t>
                                  </w:r>
                                </w:p>
                              </w:tc>
                              <w:tc>
                                <w:tcPr>
                                  <w:tcW w:w="1134"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157(-113)</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3790(-1662)</w:t>
                                  </w:r>
                                </w:p>
                              </w:tc>
                            </w:tr>
                          </w:tbl>
                          <w:p w:rsidR="00FC767B" w:rsidRDefault="00FC767B" w:rsidP="003C1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39.75pt;margin-top:10.8pt;width:461.25pt;height:1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" stroked="f">
                <v:textbox>
                  <w:txbxContent>
                    <w:tbl>
                      <w:tblPr>
                        <w:tblW w:w="6804"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156"/>
                        <w:gridCol w:w="1112"/>
                        <w:gridCol w:w="992"/>
                        <w:gridCol w:w="993"/>
                        <w:gridCol w:w="1134"/>
                        <w:gridCol w:w="1417"/>
                      </w:tblGrid>
                      <w:tr w:rsidR="00FC767B" w:rsidRPr="006F4830" w:rsidTr="00520814">
                        <w:trPr>
                          <w:trHeight w:val="264"/>
                        </w:trPr>
                        <w:tc>
                          <w:tcPr>
                            <w:tcW w:w="1156" w:type="dxa"/>
                            <w:shd w:val="clear" w:color="auto" w:fill="auto"/>
                            <w:noWrap/>
                            <w:vAlign w:val="bottom"/>
                            <w:hideMark/>
                          </w:tcPr>
                          <w:p w:rsidR="00FC767B" w:rsidRPr="006F4830" w:rsidRDefault="00FC767B" w:rsidP="00520814">
                            <w:pPr>
                              <w:jc w:val="center"/>
                              <w:rPr>
                                <w:rFonts w:ascii="Arial" w:eastAsia="Times New Roman" w:hAnsi="Arial" w:cs="Arial"/>
                                <w:sz w:val="20"/>
                                <w:szCs w:val="20"/>
                                <w:lang w:eastAsia="sk-SK"/>
                              </w:rPr>
                            </w:pPr>
                          </w:p>
                        </w:tc>
                        <w:tc>
                          <w:tcPr>
                            <w:tcW w:w="1112" w:type="dxa"/>
                            <w:tcBorders>
                              <w:bottom w:val="single" w:sz="12" w:space="0" w:color="auto"/>
                            </w:tcBorders>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A1</w:t>
                            </w:r>
                          </w:p>
                        </w:tc>
                        <w:tc>
                          <w:tcPr>
                            <w:tcW w:w="992" w:type="dxa"/>
                            <w:tcBorders>
                              <w:bottom w:val="single" w:sz="12" w:space="0" w:color="auto"/>
                            </w:tcBorders>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A2</w:t>
                            </w:r>
                          </w:p>
                        </w:tc>
                        <w:tc>
                          <w:tcPr>
                            <w:tcW w:w="993" w:type="dxa"/>
                            <w:tcBorders>
                              <w:bottom w:val="single" w:sz="12" w:space="0" w:color="auto"/>
                            </w:tcBorders>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B</w:t>
                            </w:r>
                          </w:p>
                        </w:tc>
                        <w:tc>
                          <w:tcPr>
                            <w:tcW w:w="1134" w:type="dxa"/>
                            <w:tcBorders>
                              <w:bottom w:val="single" w:sz="12" w:space="0" w:color="auto"/>
                            </w:tcBorders>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C</w:t>
                            </w:r>
                          </w:p>
                        </w:tc>
                        <w:tc>
                          <w:tcPr>
                            <w:tcW w:w="1417" w:type="dxa"/>
                            <w:tcBorders>
                              <w:bottom w:val="single" w:sz="12" w:space="0" w:color="auto"/>
                            </w:tcBorders>
                            <w:shd w:val="clear" w:color="000000" w:fill="FDE9D9" w:themeFill="accent6" w:themeFillTint="33"/>
                          </w:tcPr>
                          <w:p w:rsidR="00FC767B" w:rsidRPr="0092440E" w:rsidRDefault="00FC767B" w:rsidP="00520814">
                            <w:pPr>
                              <w:jc w:val="center"/>
                              <w:rPr>
                                <w:rFonts w:ascii="Arial" w:eastAsia="Times New Roman" w:hAnsi="Arial" w:cs="Arial"/>
                                <w:b/>
                                <w:bCs/>
                                <w:color w:val="000000" w:themeColor="text1"/>
                                <w:sz w:val="20"/>
                                <w:szCs w:val="20"/>
                                <w:lang w:eastAsia="sk-SK"/>
                              </w:rPr>
                            </w:pPr>
                            <w:r>
                              <w:rPr>
                                <w:rFonts w:ascii="Arial" w:eastAsia="Times New Roman" w:hAnsi="Arial" w:cs="Arial"/>
                                <w:b/>
                                <w:bCs/>
                                <w:color w:val="000000" w:themeColor="text1"/>
                                <w:sz w:val="20"/>
                                <w:szCs w:val="20"/>
                                <w:lang w:eastAsia="sk-SK"/>
                              </w:rPr>
                              <w:t>D</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SvF</w:t>
                            </w:r>
                          </w:p>
                        </w:tc>
                        <w:tc>
                          <w:tcPr>
                            <w:tcW w:w="1112" w:type="dxa"/>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23(7)</w:t>
                            </w:r>
                          </w:p>
                        </w:tc>
                        <w:tc>
                          <w:tcPr>
                            <w:tcW w:w="992"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44(-20)</w:t>
                            </w:r>
                          </w:p>
                        </w:tc>
                        <w:tc>
                          <w:tcPr>
                            <w:tcW w:w="993"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80(37)</w:t>
                            </w:r>
                          </w:p>
                        </w:tc>
                        <w:tc>
                          <w:tcPr>
                            <w:tcW w:w="1134"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20(-35)</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1166(-419)</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SjF</w:t>
                            </w:r>
                          </w:p>
                        </w:tc>
                        <w:tc>
                          <w:tcPr>
                            <w:tcW w:w="1112" w:type="dxa"/>
                            <w:tcBorders>
                              <w:bottom w:val="single" w:sz="12" w:space="0" w:color="auto"/>
                            </w:tcBorders>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10(7)</w:t>
                            </w:r>
                          </w:p>
                        </w:tc>
                        <w:tc>
                          <w:tcPr>
                            <w:tcW w:w="992"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16(-13)</w:t>
                            </w:r>
                          </w:p>
                        </w:tc>
                        <w:tc>
                          <w:tcPr>
                            <w:tcW w:w="993"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18(7)</w:t>
                            </w:r>
                          </w:p>
                        </w:tc>
                        <w:tc>
                          <w:tcPr>
                            <w:tcW w:w="1134"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18(-4)</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264(-127)</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FEI</w:t>
                            </w:r>
                          </w:p>
                        </w:tc>
                        <w:tc>
                          <w:tcPr>
                            <w:tcW w:w="1112" w:type="dxa"/>
                            <w:tcBorders>
                              <w:bottom w:val="single" w:sz="12" w:space="0" w:color="auto"/>
                            </w:tcBorders>
                            <w:shd w:val="clear" w:color="auto" w:fill="FD7F1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11(-1)</w:t>
                            </w:r>
                          </w:p>
                        </w:tc>
                        <w:tc>
                          <w:tcPr>
                            <w:tcW w:w="992"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26(1)</w:t>
                            </w:r>
                          </w:p>
                        </w:tc>
                        <w:tc>
                          <w:tcPr>
                            <w:tcW w:w="993"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78(-30)</w:t>
                            </w:r>
                          </w:p>
                        </w:tc>
                        <w:tc>
                          <w:tcPr>
                            <w:tcW w:w="1134"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47(-24)</w:t>
                            </w:r>
                          </w:p>
                        </w:tc>
                        <w:tc>
                          <w:tcPr>
                            <w:tcW w:w="1417" w:type="dxa"/>
                            <w:tcBorders>
                              <w:bottom w:val="single" w:sz="12" w:space="0" w:color="auto"/>
                            </w:tcBorders>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696(-365)</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proofErr w:type="spellStart"/>
                            <w:r w:rsidRPr="0092440E">
                              <w:rPr>
                                <w:rFonts w:ascii="Arial" w:eastAsia="Times New Roman" w:hAnsi="Arial" w:cs="Arial"/>
                                <w:b/>
                                <w:bCs/>
                                <w:color w:val="000000" w:themeColor="text1"/>
                                <w:sz w:val="20"/>
                                <w:szCs w:val="20"/>
                                <w:lang w:eastAsia="sk-SK"/>
                              </w:rPr>
                              <w:t>FChPT</w:t>
                            </w:r>
                            <w:proofErr w:type="spellEnd"/>
                          </w:p>
                        </w:tc>
                        <w:tc>
                          <w:tcPr>
                            <w:tcW w:w="1112" w:type="dxa"/>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6(4)</w:t>
                            </w:r>
                          </w:p>
                        </w:tc>
                        <w:tc>
                          <w:tcPr>
                            <w:tcW w:w="992"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21(9)</w:t>
                            </w:r>
                          </w:p>
                        </w:tc>
                        <w:tc>
                          <w:tcPr>
                            <w:tcW w:w="993"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240(35)</w:t>
                            </w:r>
                          </w:p>
                        </w:tc>
                        <w:tc>
                          <w:tcPr>
                            <w:tcW w:w="1134"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24(11)</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743(-148)</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FA</w:t>
                            </w:r>
                          </w:p>
                        </w:tc>
                        <w:tc>
                          <w:tcPr>
                            <w:tcW w:w="1112" w:type="dxa"/>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8(4)</w:t>
                            </w:r>
                          </w:p>
                        </w:tc>
                        <w:tc>
                          <w:tcPr>
                            <w:tcW w:w="992"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18(1)</w:t>
                            </w:r>
                          </w:p>
                        </w:tc>
                        <w:tc>
                          <w:tcPr>
                            <w:tcW w:w="993"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3(-1)</w:t>
                            </w:r>
                          </w:p>
                        </w:tc>
                        <w:tc>
                          <w:tcPr>
                            <w:tcW w:w="1134"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17(14)</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251(-234)</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MTF</w:t>
                            </w:r>
                          </w:p>
                        </w:tc>
                        <w:tc>
                          <w:tcPr>
                            <w:tcW w:w="1112" w:type="dxa"/>
                            <w:tcBorders>
                              <w:bottom w:val="single" w:sz="12" w:space="0" w:color="auto"/>
                            </w:tcBorders>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18(16)</w:t>
                            </w:r>
                          </w:p>
                        </w:tc>
                        <w:tc>
                          <w:tcPr>
                            <w:tcW w:w="992"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27(3)</w:t>
                            </w:r>
                          </w:p>
                        </w:tc>
                        <w:tc>
                          <w:tcPr>
                            <w:tcW w:w="993"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48(7)</w:t>
                            </w:r>
                          </w:p>
                        </w:tc>
                        <w:tc>
                          <w:tcPr>
                            <w:tcW w:w="1134"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18(-82)</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445(-199)</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FIIT</w:t>
                            </w:r>
                          </w:p>
                        </w:tc>
                        <w:tc>
                          <w:tcPr>
                            <w:tcW w:w="1112" w:type="dxa"/>
                            <w:shd w:val="clear" w:color="auto" w:fill="FD7F1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1(-2)</w:t>
                            </w:r>
                          </w:p>
                        </w:tc>
                        <w:tc>
                          <w:tcPr>
                            <w:tcW w:w="992"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7(1)</w:t>
                            </w:r>
                          </w:p>
                        </w:tc>
                        <w:tc>
                          <w:tcPr>
                            <w:tcW w:w="993"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4(1)</w:t>
                            </w:r>
                          </w:p>
                        </w:tc>
                        <w:tc>
                          <w:tcPr>
                            <w:tcW w:w="1134"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7(4)</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122(-86)</w:t>
                            </w:r>
                          </w:p>
                        </w:tc>
                      </w:tr>
                      <w:tr w:rsidR="00FC767B" w:rsidRPr="006F4830" w:rsidTr="00520814">
                        <w:trPr>
                          <w:trHeight w:val="264"/>
                        </w:trPr>
                        <w:tc>
                          <w:tcPr>
                            <w:tcW w:w="1156" w:type="dxa"/>
                            <w:shd w:val="clear" w:color="000000" w:fill="FDE9D9" w:themeFill="accent6" w:themeFillTint="33"/>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ÚM</w:t>
                            </w:r>
                          </w:p>
                        </w:tc>
                        <w:tc>
                          <w:tcPr>
                            <w:tcW w:w="1112" w:type="dxa"/>
                            <w:tcBorders>
                              <w:bottom w:val="single" w:sz="12" w:space="0" w:color="auto"/>
                            </w:tcBorders>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2(2)</w:t>
                            </w:r>
                          </w:p>
                        </w:tc>
                        <w:tc>
                          <w:tcPr>
                            <w:tcW w:w="992" w:type="dxa"/>
                            <w:tcBorders>
                              <w:bottom w:val="single" w:sz="12" w:space="0" w:color="auto"/>
                            </w:tcBorders>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6(-1)</w:t>
                            </w:r>
                          </w:p>
                        </w:tc>
                        <w:tc>
                          <w:tcPr>
                            <w:tcW w:w="993"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13(11)</w:t>
                            </w:r>
                          </w:p>
                        </w:tc>
                        <w:tc>
                          <w:tcPr>
                            <w:tcW w:w="1134" w:type="dxa"/>
                            <w:tcBorders>
                              <w:bottom w:val="single" w:sz="12" w:space="0" w:color="auto"/>
                            </w:tcBorders>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6(3)</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103(-56)</w:t>
                            </w:r>
                          </w:p>
                        </w:tc>
                      </w:tr>
                      <w:tr w:rsidR="00FC767B" w:rsidRPr="006F4830" w:rsidTr="00520814">
                        <w:trPr>
                          <w:trHeight w:val="264"/>
                        </w:trPr>
                        <w:tc>
                          <w:tcPr>
                            <w:tcW w:w="1156" w:type="dxa"/>
                            <w:shd w:val="clear" w:color="auto" w:fill="F79646" w:themeFill="accent6"/>
                            <w:noWrap/>
                            <w:vAlign w:val="bottom"/>
                            <w:hideMark/>
                          </w:tcPr>
                          <w:p w:rsidR="00FC767B" w:rsidRPr="0092440E" w:rsidRDefault="00FC767B" w:rsidP="00520814">
                            <w:pPr>
                              <w:jc w:val="center"/>
                              <w:rPr>
                                <w:rFonts w:ascii="Arial" w:eastAsia="Times New Roman" w:hAnsi="Arial" w:cs="Arial"/>
                                <w:b/>
                                <w:bCs/>
                                <w:color w:val="000000" w:themeColor="text1"/>
                                <w:sz w:val="20"/>
                                <w:szCs w:val="20"/>
                                <w:lang w:eastAsia="sk-SK"/>
                              </w:rPr>
                            </w:pPr>
                            <w:r w:rsidRPr="0092440E">
                              <w:rPr>
                                <w:rFonts w:ascii="Arial" w:eastAsia="Times New Roman" w:hAnsi="Arial" w:cs="Arial"/>
                                <w:b/>
                                <w:bCs/>
                                <w:color w:val="000000" w:themeColor="text1"/>
                                <w:sz w:val="20"/>
                                <w:szCs w:val="20"/>
                                <w:lang w:eastAsia="sk-SK"/>
                              </w:rPr>
                              <w:t>STU</w:t>
                            </w:r>
                          </w:p>
                        </w:tc>
                        <w:tc>
                          <w:tcPr>
                            <w:tcW w:w="1112" w:type="dxa"/>
                            <w:shd w:val="clear" w:color="auto" w:fill="1EF647"/>
                            <w:noWrap/>
                            <w:vAlign w:val="bottom"/>
                          </w:tcPr>
                          <w:p w:rsidR="00FC767B" w:rsidRPr="00125761" w:rsidRDefault="00FC767B" w:rsidP="00520814">
                            <w:pPr>
                              <w:jc w:val="center"/>
                              <w:rPr>
                                <w:rFonts w:ascii="Calibri" w:eastAsia="Times New Roman" w:hAnsi="Calibri"/>
                                <w:b/>
                                <w:color w:val="000000"/>
                                <w:sz w:val="22"/>
                                <w:szCs w:val="22"/>
                                <w:lang w:eastAsia="sk-SK"/>
                              </w:rPr>
                            </w:pPr>
                            <w:r>
                              <w:rPr>
                                <w:rFonts w:ascii="Calibri" w:eastAsia="Times New Roman" w:hAnsi="Calibri"/>
                                <w:b/>
                                <w:color w:val="000000"/>
                                <w:sz w:val="22"/>
                                <w:szCs w:val="22"/>
                                <w:lang w:eastAsia="sk-SK"/>
                              </w:rPr>
                              <w:t>79(37)</w:t>
                            </w:r>
                          </w:p>
                        </w:tc>
                        <w:tc>
                          <w:tcPr>
                            <w:tcW w:w="992"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165(-19)</w:t>
                            </w:r>
                          </w:p>
                        </w:tc>
                        <w:tc>
                          <w:tcPr>
                            <w:tcW w:w="993" w:type="dxa"/>
                            <w:shd w:val="clear" w:color="auto" w:fill="1EF64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475(67)</w:t>
                            </w:r>
                          </w:p>
                        </w:tc>
                        <w:tc>
                          <w:tcPr>
                            <w:tcW w:w="1134" w:type="dxa"/>
                            <w:shd w:val="clear" w:color="auto" w:fill="FD7F17"/>
                            <w:noWrap/>
                            <w:vAlign w:val="bottom"/>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157(-113)</w:t>
                            </w:r>
                          </w:p>
                        </w:tc>
                        <w:tc>
                          <w:tcPr>
                            <w:tcW w:w="1417" w:type="dxa"/>
                            <w:shd w:val="clear" w:color="auto" w:fill="FD7F17"/>
                          </w:tcPr>
                          <w:p w:rsidR="00FC767B" w:rsidRPr="00125761" w:rsidRDefault="00FC767B" w:rsidP="00520814">
                            <w:pPr>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3790(-1662)</w:t>
                            </w:r>
                          </w:p>
                        </w:tc>
                      </w:tr>
                    </w:tbl>
                    <w:p w:rsidR="00FC767B" w:rsidRDefault="00FC767B" w:rsidP="003C19C6"/>
                  </w:txbxContent>
                </v:textbox>
              </v:shape>
            </w:pict>
          </mc:Fallback>
        </mc:AlternateContent>
      </w:r>
    </w:p>
    <w:p w:rsidR="003C19C6" w:rsidRPr="008414B8" w:rsidRDefault="003C19C6" w:rsidP="00A10053">
      <w:pPr>
        <w:rPr>
          <w:rFonts w:asciiTheme="minorHAnsi" w:hAnsiTheme="minorHAnsi"/>
          <w:sz w:val="20"/>
          <w:szCs w:val="20"/>
        </w:rPr>
      </w:pPr>
    </w:p>
    <w:p w:rsidR="003C19C6" w:rsidRPr="008414B8" w:rsidRDefault="003C19C6" w:rsidP="00A10053">
      <w:pPr>
        <w:rPr>
          <w:rFonts w:asciiTheme="minorHAnsi" w:hAnsiTheme="minorHAnsi"/>
          <w:sz w:val="20"/>
          <w:szCs w:val="20"/>
        </w:rPr>
      </w:pPr>
    </w:p>
    <w:p w:rsidR="003C19C6" w:rsidRPr="008414B8" w:rsidRDefault="003C19C6" w:rsidP="00A10053">
      <w:pPr>
        <w:rPr>
          <w:rFonts w:asciiTheme="minorHAnsi" w:hAnsiTheme="minorHAnsi"/>
          <w:sz w:val="20"/>
          <w:szCs w:val="20"/>
        </w:rPr>
      </w:pPr>
    </w:p>
    <w:p w:rsidR="003C19C6" w:rsidRPr="008414B8" w:rsidRDefault="003C19C6" w:rsidP="00A10053">
      <w:pPr>
        <w:rPr>
          <w:rFonts w:asciiTheme="minorHAnsi" w:hAnsiTheme="minorHAnsi"/>
          <w:sz w:val="20"/>
          <w:szCs w:val="20"/>
        </w:rPr>
      </w:pPr>
    </w:p>
    <w:p w:rsidR="003C19C6" w:rsidRPr="008414B8" w:rsidRDefault="003C19C6" w:rsidP="00A10053">
      <w:pPr>
        <w:rPr>
          <w:rFonts w:asciiTheme="minorHAnsi" w:hAnsiTheme="minorHAnsi"/>
          <w:sz w:val="20"/>
          <w:szCs w:val="20"/>
        </w:rPr>
      </w:pPr>
    </w:p>
    <w:p w:rsidR="003C19C6" w:rsidRPr="008414B8" w:rsidRDefault="003C19C6" w:rsidP="00A10053">
      <w:pPr>
        <w:rPr>
          <w:rFonts w:asciiTheme="minorHAnsi" w:hAnsiTheme="minorHAnsi"/>
          <w:sz w:val="20"/>
          <w:szCs w:val="20"/>
        </w:rPr>
      </w:pPr>
    </w:p>
    <w:p w:rsidR="003C19C6" w:rsidRPr="00A10053" w:rsidRDefault="003C19C6" w:rsidP="00A10053">
      <w:pPr>
        <w:rPr>
          <w:rFonts w:asciiTheme="minorHAnsi" w:hAnsiTheme="minorHAnsi"/>
        </w:rPr>
      </w:pPr>
    </w:p>
    <w:p w:rsidR="003C19C6" w:rsidRPr="00A10053" w:rsidRDefault="003C19C6" w:rsidP="00A10053">
      <w:pPr>
        <w:rPr>
          <w:rFonts w:asciiTheme="minorHAnsi" w:hAnsiTheme="minorHAnsi"/>
        </w:rPr>
      </w:pPr>
    </w:p>
    <w:p w:rsidR="003C19C6" w:rsidRPr="00A10053" w:rsidRDefault="003C19C6" w:rsidP="00A10053">
      <w:pPr>
        <w:rPr>
          <w:rFonts w:asciiTheme="minorHAnsi" w:hAnsiTheme="minorHAnsi"/>
        </w:rPr>
      </w:pPr>
    </w:p>
    <w:p w:rsidR="003C19C6" w:rsidRPr="00A10053" w:rsidRDefault="003C19C6" w:rsidP="00A10053">
      <w:pPr>
        <w:rPr>
          <w:rFonts w:asciiTheme="minorHAnsi" w:hAnsiTheme="minorHAnsi"/>
        </w:rPr>
      </w:pPr>
    </w:p>
    <w:p w:rsidR="003C19C6" w:rsidRPr="00A10053" w:rsidRDefault="003C19C6" w:rsidP="00A10053">
      <w:pPr>
        <w:rPr>
          <w:rFonts w:asciiTheme="minorHAnsi" w:hAnsiTheme="minorHAnsi"/>
        </w:rPr>
      </w:pPr>
      <w:r w:rsidRPr="00A10053">
        <w:rPr>
          <w:rFonts w:asciiTheme="minorHAnsi" w:hAnsiTheme="minorHAnsi"/>
        </w:rPr>
        <w:t>Obrázok 12 znázorňuje vývoj publikačnej aktivity STU za roky 2011-2015 podľa jednotlivých bibliografických kategórií.</w:t>
      </w:r>
    </w:p>
    <w:p w:rsidR="003C19C6" w:rsidRPr="00A10053" w:rsidRDefault="003C19C6" w:rsidP="00A10053">
      <w:pPr>
        <w:rPr>
          <w:rFonts w:asciiTheme="minorHAnsi" w:hAnsiTheme="minorHAnsi"/>
        </w:rPr>
      </w:pPr>
    </w:p>
    <w:p w:rsidR="008D5555" w:rsidRPr="008D5555" w:rsidRDefault="008D5555" w:rsidP="00E42977">
      <w:pPr>
        <w:rPr>
          <w:rFonts w:asciiTheme="minorHAnsi" w:hAnsiTheme="minorHAnsi"/>
          <w:sz w:val="20"/>
          <w:szCs w:val="20"/>
        </w:rPr>
      </w:pPr>
    </w:p>
    <w:p w:rsidR="003C19C6" w:rsidRDefault="008D5555" w:rsidP="00E114C7">
      <w:pPr>
        <w:jc w:val="left"/>
        <w:rPr>
          <w:rFonts w:asciiTheme="minorHAnsi" w:hAnsiTheme="minorHAnsi"/>
          <w:noProof/>
          <w:sz w:val="20"/>
          <w:szCs w:val="20"/>
          <w:lang w:eastAsia="sk-SK"/>
        </w:rPr>
      </w:pPr>
      <w:r w:rsidRPr="008D5555">
        <w:rPr>
          <w:rFonts w:asciiTheme="minorHAnsi" w:hAnsiTheme="minorHAnsi"/>
          <w:b/>
          <w:sz w:val="20"/>
          <w:szCs w:val="20"/>
        </w:rPr>
        <w:t>Graf 5.12: Vývoj publikačnej produktivity STU v rokoch 2011-2014 v kategóriách A1, A2, B, C a</w:t>
      </w:r>
      <w:r w:rsidR="00774E07">
        <w:rPr>
          <w:rFonts w:asciiTheme="minorHAnsi" w:hAnsiTheme="minorHAnsi"/>
          <w:b/>
          <w:sz w:val="20"/>
          <w:szCs w:val="20"/>
        </w:rPr>
        <w:t> </w:t>
      </w:r>
      <w:r w:rsidRPr="008D5555">
        <w:rPr>
          <w:rFonts w:asciiTheme="minorHAnsi" w:hAnsiTheme="minorHAnsi"/>
          <w:b/>
          <w:sz w:val="20"/>
          <w:szCs w:val="20"/>
        </w:rPr>
        <w:t>D</w:t>
      </w:r>
    </w:p>
    <w:p w:rsidR="00774E07" w:rsidRDefault="00774E07" w:rsidP="00E114C7">
      <w:pPr>
        <w:jc w:val="left"/>
        <w:rPr>
          <w:rFonts w:asciiTheme="minorHAnsi" w:hAnsiTheme="minorHAnsi"/>
          <w:sz w:val="20"/>
          <w:szCs w:val="20"/>
        </w:rPr>
      </w:pPr>
      <w:r>
        <w:rPr>
          <w:noProof/>
          <w:lang w:eastAsia="sk-SK"/>
        </w:rPr>
        <w:drawing>
          <wp:inline distT="0" distB="0" distL="0" distR="0" wp14:anchorId="10781215" wp14:editId="695A6653">
            <wp:extent cx="4593970" cy="2822322"/>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114C7" w:rsidRPr="00E114C7" w:rsidRDefault="00E114C7" w:rsidP="00E114C7">
      <w:pPr>
        <w:jc w:val="left"/>
        <w:rPr>
          <w:rFonts w:asciiTheme="minorHAnsi" w:hAnsiTheme="minorHAnsi"/>
          <w:sz w:val="20"/>
          <w:szCs w:val="20"/>
        </w:rPr>
      </w:pPr>
    </w:p>
    <w:p w:rsidR="00B51749" w:rsidRPr="00E114C7" w:rsidRDefault="00B51749" w:rsidP="00E114C7">
      <w:pPr>
        <w:pStyle w:val="Nadpis3"/>
        <w:rPr>
          <w:rFonts w:asciiTheme="minorHAnsi" w:hAnsiTheme="minorHAnsi"/>
        </w:rPr>
      </w:pPr>
      <w:bookmarkStart w:id="33" w:name="_Toc448261575"/>
      <w:r w:rsidRPr="00E114C7">
        <w:rPr>
          <w:rFonts w:asciiTheme="minorHAnsi" w:hAnsiTheme="minorHAnsi"/>
        </w:rPr>
        <w:t>Finančné prostriedky z projektov v rámci podnikateľskej činnosti</w:t>
      </w:r>
      <w:bookmarkEnd w:id="33"/>
    </w:p>
    <w:p w:rsidR="003C19C6" w:rsidRPr="00E114C7" w:rsidRDefault="003C19C6" w:rsidP="00E114C7">
      <w:pPr>
        <w:rPr>
          <w:rFonts w:asciiTheme="minorHAnsi" w:hAnsiTheme="minorHAnsi"/>
        </w:rPr>
      </w:pPr>
    </w:p>
    <w:p w:rsidR="005B52E1" w:rsidRPr="00E114C7" w:rsidRDefault="003C19C6" w:rsidP="00E114C7">
      <w:pPr>
        <w:rPr>
          <w:rFonts w:asciiTheme="minorHAnsi" w:hAnsiTheme="minorHAnsi"/>
        </w:rPr>
      </w:pPr>
      <w:r w:rsidRPr="00E114C7">
        <w:rPr>
          <w:rFonts w:asciiTheme="minorHAnsi" w:hAnsiTheme="minorHAnsi"/>
        </w:rPr>
        <w:t xml:space="preserve">Významný zdrojom financovania viacerých aktivít súčastí STU predstavujú zmluvy o dielo, ktoré </w:t>
      </w:r>
      <w:r w:rsidR="00E114C7">
        <w:rPr>
          <w:rFonts w:asciiTheme="minorHAnsi" w:hAnsiTheme="minorHAnsi"/>
        </w:rPr>
        <w:t xml:space="preserve">predstavovali </w:t>
      </w:r>
      <w:r w:rsidRPr="00E114C7">
        <w:rPr>
          <w:rFonts w:asciiTheme="minorHAnsi" w:hAnsiTheme="minorHAnsi"/>
        </w:rPr>
        <w:t xml:space="preserve">v uplynulom roku asi 1,2 % z celkového rozpočtu univerzity (okolo 2,2 mil. €). </w:t>
      </w:r>
      <w:r w:rsidR="00E114C7">
        <w:rPr>
          <w:rFonts w:asciiTheme="minorHAnsi" w:hAnsiTheme="minorHAnsi"/>
        </w:rPr>
        <w:t>Graf 5.13a</w:t>
      </w:r>
      <w:r w:rsidRPr="00E114C7">
        <w:rPr>
          <w:rFonts w:asciiTheme="minorHAnsi" w:hAnsiTheme="minorHAnsi"/>
        </w:rPr>
        <w:t xml:space="preserve"> znázorňuje vývoj takýchto finančných prostriedkov za roky 2011-2015 v rámci celej univerzity. </w:t>
      </w:r>
      <w:r w:rsidR="00E114C7">
        <w:rPr>
          <w:rFonts w:asciiTheme="minorHAnsi" w:hAnsiTheme="minorHAnsi"/>
        </w:rPr>
        <w:t>Graf 5.</w:t>
      </w:r>
      <w:r w:rsidRPr="00E114C7">
        <w:rPr>
          <w:rFonts w:asciiTheme="minorHAnsi" w:hAnsiTheme="minorHAnsi"/>
        </w:rPr>
        <w:t xml:space="preserve">13b detailizuje túto informáciu na úroveň jednotlivých súčastí STU. Z uvedeného </w:t>
      </w:r>
      <w:r w:rsidR="00E114C7">
        <w:rPr>
          <w:rFonts w:asciiTheme="minorHAnsi" w:hAnsiTheme="minorHAnsi"/>
        </w:rPr>
        <w:t>j</w:t>
      </w:r>
      <w:r w:rsidRPr="00E114C7">
        <w:rPr>
          <w:rFonts w:asciiTheme="minorHAnsi" w:hAnsiTheme="minorHAnsi"/>
        </w:rPr>
        <w:t xml:space="preserve">e zrejmé, že tradične </w:t>
      </w:r>
      <w:r w:rsidRPr="00E114C7">
        <w:rPr>
          <w:rFonts w:asciiTheme="minorHAnsi" w:hAnsiTheme="minorHAnsi"/>
        </w:rPr>
        <w:lastRenderedPageBreak/>
        <w:t xml:space="preserve">v získavaní takýchto mimorozpočtových prostriedkov najefektívnejšie postupuje SvF. Takmer žiadne príjmy dlhoročne </w:t>
      </w:r>
      <w:r w:rsidR="00E114C7">
        <w:rPr>
          <w:rFonts w:asciiTheme="minorHAnsi" w:hAnsiTheme="minorHAnsi"/>
        </w:rPr>
        <w:t>ne</w:t>
      </w:r>
      <w:r w:rsidRPr="00E114C7">
        <w:rPr>
          <w:rFonts w:asciiTheme="minorHAnsi" w:hAnsiTheme="minorHAnsi"/>
        </w:rPr>
        <w:t>vykazuje FIIT.</w:t>
      </w:r>
    </w:p>
    <w:p w:rsidR="005B52E1" w:rsidRPr="00E114C7" w:rsidRDefault="005B52E1" w:rsidP="00E114C7">
      <w:pPr>
        <w:rPr>
          <w:rFonts w:asciiTheme="minorHAnsi" w:hAnsiTheme="minorHAnsi"/>
        </w:rPr>
      </w:pPr>
    </w:p>
    <w:p w:rsidR="005B52E1" w:rsidRPr="00E114C7" w:rsidRDefault="005B52E1" w:rsidP="00E114C7">
      <w:pPr>
        <w:rPr>
          <w:rFonts w:asciiTheme="minorHAnsi" w:hAnsiTheme="minorHAnsi"/>
          <w:b/>
          <w:bCs/>
          <w:sz w:val="20"/>
          <w:szCs w:val="20"/>
        </w:rPr>
      </w:pPr>
      <w:r w:rsidRPr="00E114C7">
        <w:rPr>
          <w:rFonts w:asciiTheme="minorHAnsi" w:hAnsiTheme="minorHAnsi"/>
          <w:b/>
          <w:bCs/>
          <w:sz w:val="20"/>
          <w:szCs w:val="20"/>
        </w:rPr>
        <w:t>Graf 5.13: Vývoj v získavaní finančných prostriedkov (v €) zo zmlúv o dielo  za celú univerzitu (a) a podľa jednotlivých súčastí (b) za roky 2011-2015</w:t>
      </w:r>
    </w:p>
    <w:p w:rsidR="003C19C6" w:rsidRPr="00E114C7" w:rsidRDefault="003C19C6" w:rsidP="00E114C7">
      <w:pPr>
        <w:rPr>
          <w:rFonts w:asciiTheme="minorHAnsi" w:hAnsiTheme="minorHAnsi"/>
          <w:sz w:val="20"/>
          <w:szCs w:val="20"/>
        </w:rPr>
      </w:pPr>
      <w:r w:rsidRPr="00E114C7">
        <w:rPr>
          <w:rFonts w:asciiTheme="minorHAnsi" w:hAnsiTheme="minorHAnsi"/>
          <w:noProof/>
          <w:sz w:val="20"/>
          <w:szCs w:val="20"/>
          <w:lang w:eastAsia="sk-SK"/>
        </w:rPr>
        <w:t xml:space="preserve"> </w:t>
      </w:r>
      <w:r w:rsidRPr="00E114C7">
        <w:rPr>
          <w:rFonts w:asciiTheme="minorHAnsi" w:hAnsiTheme="minorHAnsi"/>
          <w:noProof/>
          <w:sz w:val="20"/>
          <w:szCs w:val="20"/>
          <w:lang w:eastAsia="sk-SK"/>
        </w:rPr>
        <w:drawing>
          <wp:inline distT="0" distB="0" distL="0" distR="0" wp14:anchorId="4C146EEB" wp14:editId="46F0155F">
            <wp:extent cx="5177214" cy="2493220"/>
            <wp:effectExtent l="0" t="0" r="4445" b="254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C19C6" w:rsidRPr="00E114C7" w:rsidRDefault="003C19C6" w:rsidP="00E114C7">
      <w:pPr>
        <w:rPr>
          <w:rFonts w:asciiTheme="minorHAnsi" w:hAnsiTheme="minorHAnsi"/>
          <w:b/>
          <w:bCs/>
          <w:sz w:val="20"/>
          <w:szCs w:val="20"/>
        </w:rPr>
      </w:pPr>
      <w:r w:rsidRPr="00E114C7">
        <w:rPr>
          <w:rFonts w:asciiTheme="minorHAnsi" w:hAnsiTheme="minorHAnsi"/>
          <w:b/>
          <w:bCs/>
          <w:sz w:val="20"/>
          <w:szCs w:val="20"/>
        </w:rPr>
        <w:t xml:space="preserve">a)  </w:t>
      </w:r>
    </w:p>
    <w:p w:rsidR="003C19C6" w:rsidRPr="00E114C7" w:rsidRDefault="003C19C6" w:rsidP="00E114C7">
      <w:pPr>
        <w:rPr>
          <w:rFonts w:asciiTheme="minorHAnsi" w:hAnsiTheme="minorHAnsi"/>
          <w:b/>
          <w:bCs/>
          <w:sz w:val="20"/>
          <w:szCs w:val="20"/>
        </w:rPr>
      </w:pPr>
      <w:r w:rsidRPr="00E114C7">
        <w:rPr>
          <w:rFonts w:asciiTheme="minorHAnsi" w:hAnsiTheme="minorHAnsi"/>
          <w:b/>
          <w:bCs/>
          <w:sz w:val="20"/>
          <w:szCs w:val="20"/>
        </w:rPr>
        <w:t xml:space="preserve">                                                                 </w:t>
      </w:r>
    </w:p>
    <w:p w:rsidR="003C19C6" w:rsidRPr="00E114C7" w:rsidRDefault="003C19C6" w:rsidP="00E114C7">
      <w:pPr>
        <w:rPr>
          <w:rFonts w:asciiTheme="minorHAnsi" w:hAnsiTheme="minorHAnsi"/>
          <w:b/>
          <w:bCs/>
          <w:sz w:val="20"/>
          <w:szCs w:val="20"/>
        </w:rPr>
      </w:pPr>
      <w:r w:rsidRPr="00E114C7">
        <w:rPr>
          <w:rFonts w:asciiTheme="minorHAnsi" w:hAnsiTheme="minorHAnsi"/>
          <w:noProof/>
          <w:sz w:val="20"/>
          <w:szCs w:val="20"/>
          <w:lang w:eastAsia="sk-SK"/>
        </w:rPr>
        <w:drawing>
          <wp:inline distT="0" distB="0" distL="0" distR="0" wp14:anchorId="0370BBDA" wp14:editId="16E3419C">
            <wp:extent cx="5394302" cy="2730043"/>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C19C6" w:rsidRPr="00E114C7" w:rsidRDefault="003C19C6" w:rsidP="00E114C7">
      <w:pPr>
        <w:rPr>
          <w:rFonts w:asciiTheme="minorHAnsi" w:hAnsiTheme="minorHAnsi"/>
          <w:b/>
          <w:bCs/>
          <w:sz w:val="20"/>
          <w:szCs w:val="20"/>
        </w:rPr>
      </w:pPr>
      <w:r w:rsidRPr="00E114C7">
        <w:rPr>
          <w:rFonts w:asciiTheme="minorHAnsi" w:hAnsiTheme="minorHAnsi"/>
          <w:b/>
          <w:bCs/>
          <w:sz w:val="20"/>
          <w:szCs w:val="20"/>
        </w:rPr>
        <w:t>b)</w:t>
      </w:r>
    </w:p>
    <w:p w:rsidR="003C19C6" w:rsidRDefault="003C19C6" w:rsidP="003C19C6">
      <w:pPr>
        <w:autoSpaceDE w:val="0"/>
        <w:autoSpaceDN w:val="0"/>
        <w:adjustRightInd w:val="0"/>
        <w:jc w:val="center"/>
        <w:rPr>
          <w:rFonts w:asciiTheme="minorHAnsi" w:hAnsiTheme="minorHAnsi"/>
          <w:b/>
          <w:bCs/>
          <w:sz w:val="20"/>
          <w:szCs w:val="20"/>
        </w:rPr>
      </w:pPr>
    </w:p>
    <w:p w:rsidR="00822A50" w:rsidRPr="005B52E1" w:rsidRDefault="00822A50" w:rsidP="003C19C6">
      <w:pPr>
        <w:autoSpaceDE w:val="0"/>
        <w:autoSpaceDN w:val="0"/>
        <w:adjustRightInd w:val="0"/>
        <w:jc w:val="center"/>
        <w:rPr>
          <w:rFonts w:asciiTheme="minorHAnsi" w:hAnsiTheme="minorHAnsi"/>
          <w:b/>
          <w:bCs/>
          <w:sz w:val="20"/>
          <w:szCs w:val="20"/>
        </w:rPr>
      </w:pPr>
    </w:p>
    <w:p w:rsidR="003C19C6" w:rsidRDefault="00B51749" w:rsidP="003C19C6">
      <w:pPr>
        <w:pStyle w:val="Nadpis2"/>
        <w:rPr>
          <w:rFonts w:asciiTheme="minorHAnsi" w:hAnsiTheme="minorHAnsi"/>
          <w:color w:val="auto"/>
          <w:sz w:val="24"/>
          <w:szCs w:val="24"/>
        </w:rPr>
      </w:pPr>
      <w:bookmarkStart w:id="34" w:name="_Toc448261576"/>
      <w:r w:rsidRPr="002D7A10">
        <w:rPr>
          <w:rFonts w:asciiTheme="minorHAnsi" w:hAnsiTheme="minorHAnsi"/>
          <w:color w:val="auto"/>
          <w:sz w:val="24"/>
          <w:szCs w:val="24"/>
        </w:rPr>
        <w:t>Motivačné aktivity STU na podporu vedy a</w:t>
      </w:r>
      <w:r w:rsidR="00822A50">
        <w:rPr>
          <w:rFonts w:asciiTheme="minorHAnsi" w:hAnsiTheme="minorHAnsi"/>
          <w:color w:val="auto"/>
          <w:sz w:val="24"/>
          <w:szCs w:val="24"/>
        </w:rPr>
        <w:t> </w:t>
      </w:r>
      <w:r w:rsidRPr="002D7A10">
        <w:rPr>
          <w:rFonts w:asciiTheme="minorHAnsi" w:hAnsiTheme="minorHAnsi"/>
          <w:color w:val="auto"/>
          <w:sz w:val="24"/>
          <w:szCs w:val="24"/>
        </w:rPr>
        <w:t>výskumu</w:t>
      </w:r>
      <w:bookmarkEnd w:id="34"/>
    </w:p>
    <w:p w:rsidR="00822A50" w:rsidRPr="00822A50" w:rsidRDefault="00822A50" w:rsidP="00822A50">
      <w:pPr>
        <w:rPr>
          <w:lang w:eastAsia="cs-CZ"/>
        </w:rPr>
      </w:pPr>
    </w:p>
    <w:p w:rsidR="00B51749" w:rsidRPr="002D7A10" w:rsidRDefault="00B51749" w:rsidP="00B51749">
      <w:pPr>
        <w:pStyle w:val="Nadpis3"/>
        <w:rPr>
          <w:rFonts w:asciiTheme="minorHAnsi" w:hAnsiTheme="minorHAnsi"/>
          <w:color w:val="auto"/>
        </w:rPr>
      </w:pPr>
      <w:bookmarkStart w:id="35" w:name="_Toc448261577"/>
      <w:r w:rsidRPr="002D7A10">
        <w:rPr>
          <w:rFonts w:asciiTheme="minorHAnsi" w:hAnsiTheme="minorHAnsi"/>
          <w:color w:val="auto"/>
        </w:rPr>
        <w:t>Projekty na podporu mladých výskumných pracovníkov</w:t>
      </w:r>
      <w:bookmarkEnd w:id="35"/>
    </w:p>
    <w:p w:rsidR="00822A50" w:rsidRDefault="00822A50" w:rsidP="00822A50">
      <w:pPr>
        <w:autoSpaceDE w:val="0"/>
        <w:autoSpaceDN w:val="0"/>
        <w:adjustRightInd w:val="0"/>
        <w:rPr>
          <w:rFonts w:asciiTheme="minorHAnsi" w:hAnsiTheme="minorHAnsi"/>
        </w:rPr>
      </w:pPr>
    </w:p>
    <w:p w:rsidR="00822A50" w:rsidRDefault="003C19C6" w:rsidP="00822A50">
      <w:pPr>
        <w:autoSpaceDE w:val="0"/>
        <w:autoSpaceDN w:val="0"/>
        <w:adjustRightInd w:val="0"/>
        <w:rPr>
          <w:rFonts w:asciiTheme="minorHAnsi" w:hAnsiTheme="minorHAnsi"/>
          <w:bCs/>
        </w:rPr>
      </w:pPr>
      <w:r w:rsidRPr="00B459B5">
        <w:rPr>
          <w:rFonts w:asciiTheme="minorHAnsi" w:hAnsiTheme="minorHAnsi"/>
        </w:rPr>
        <w:t xml:space="preserve">V súlade so Smernicou č. 12/2012 - N vyhlasuje </w:t>
      </w:r>
      <w:r w:rsidR="00CF7F9A">
        <w:rPr>
          <w:rFonts w:asciiTheme="minorHAnsi" w:hAnsiTheme="minorHAnsi"/>
        </w:rPr>
        <w:t xml:space="preserve">rektor </w:t>
      </w:r>
      <w:r w:rsidRPr="00B459B5">
        <w:rPr>
          <w:rFonts w:asciiTheme="minorHAnsi" w:hAnsiTheme="minorHAnsi"/>
        </w:rPr>
        <w:t>Slovens</w:t>
      </w:r>
      <w:r w:rsidR="00CF7F9A">
        <w:rPr>
          <w:rFonts w:asciiTheme="minorHAnsi" w:hAnsiTheme="minorHAnsi"/>
        </w:rPr>
        <w:t>kej</w:t>
      </w:r>
      <w:r w:rsidRPr="00B459B5">
        <w:rPr>
          <w:rFonts w:asciiTheme="minorHAnsi" w:hAnsiTheme="minorHAnsi"/>
        </w:rPr>
        <w:t xml:space="preserve"> technick</w:t>
      </w:r>
      <w:r w:rsidR="00CF7F9A">
        <w:rPr>
          <w:rFonts w:asciiTheme="minorHAnsi" w:hAnsiTheme="minorHAnsi"/>
        </w:rPr>
        <w:t>ej</w:t>
      </w:r>
      <w:r w:rsidRPr="00B459B5">
        <w:rPr>
          <w:rFonts w:asciiTheme="minorHAnsi" w:hAnsiTheme="minorHAnsi"/>
        </w:rPr>
        <w:t xml:space="preserve"> univerzit</w:t>
      </w:r>
      <w:r w:rsidR="00CF7F9A">
        <w:rPr>
          <w:rFonts w:asciiTheme="minorHAnsi" w:hAnsiTheme="minorHAnsi"/>
        </w:rPr>
        <w:t>y</w:t>
      </w:r>
      <w:r w:rsidRPr="00B459B5">
        <w:rPr>
          <w:rFonts w:asciiTheme="minorHAnsi" w:hAnsiTheme="minorHAnsi"/>
        </w:rPr>
        <w:t xml:space="preserve"> v Bratislave každoročne výzvu na predkladanie žiadostí o n</w:t>
      </w:r>
      <w:r w:rsidR="00822A50">
        <w:rPr>
          <w:rFonts w:asciiTheme="minorHAnsi" w:hAnsiTheme="minorHAnsi"/>
        </w:rPr>
        <w:t xml:space="preserve">enávratný </w:t>
      </w:r>
      <w:r w:rsidR="00822A50">
        <w:rPr>
          <w:rFonts w:asciiTheme="minorHAnsi" w:hAnsiTheme="minorHAnsi"/>
        </w:rPr>
        <w:lastRenderedPageBreak/>
        <w:t xml:space="preserve">finančný príspevok v </w:t>
      </w:r>
      <w:r w:rsidRPr="00B459B5">
        <w:rPr>
          <w:rFonts w:asciiTheme="minorHAnsi" w:hAnsiTheme="minorHAnsi"/>
        </w:rPr>
        <w:t>Program</w:t>
      </w:r>
      <w:r w:rsidR="00822A50">
        <w:rPr>
          <w:rFonts w:asciiTheme="minorHAnsi" w:hAnsiTheme="minorHAnsi"/>
        </w:rPr>
        <w:t>e</w:t>
      </w:r>
      <w:r w:rsidRPr="00B459B5">
        <w:rPr>
          <w:rFonts w:asciiTheme="minorHAnsi" w:hAnsiTheme="minorHAnsi"/>
        </w:rPr>
        <w:t xml:space="preserve"> na motiváciu a podporu zvyšovania kvality a efektívnosti vedecko-výskumnej činnosti mladých vedecko-výskumných pracovníkov. Slovenská technická univerzita každoročne vyčleňuje finančné prostriedky na podporu mladých </w:t>
      </w:r>
      <w:r w:rsidRPr="00822A50">
        <w:rPr>
          <w:rFonts w:asciiTheme="minorHAnsi" w:hAnsiTheme="minorHAnsi"/>
        </w:rPr>
        <w:t xml:space="preserve">výskumníkov s cieľom naučiť začínajúcich výskumníkov pripraviť kvalitný návrh žiadosti o grant a v priebehu jeho riešenia zvládnuť všetky úskalia spojené aj s takými aktivitami, ako je zúčtovanie pridelených finančných prostriedkov </w:t>
      </w:r>
      <w:r w:rsidR="00CF7F9A" w:rsidRPr="00822A50">
        <w:rPr>
          <w:rFonts w:asciiTheme="minorHAnsi" w:hAnsiTheme="minorHAnsi"/>
        </w:rPr>
        <w:t>či</w:t>
      </w:r>
      <w:r w:rsidRPr="00822A50">
        <w:rPr>
          <w:rFonts w:asciiTheme="minorHAnsi" w:hAnsiTheme="minorHAnsi"/>
        </w:rPr>
        <w:t xml:space="preserve"> napísanie záverečnej správy o riešení projektu. </w:t>
      </w:r>
      <w:r w:rsidR="00822A50" w:rsidRPr="00822A50">
        <w:rPr>
          <w:rFonts w:asciiTheme="minorHAnsi" w:hAnsiTheme="minorHAnsi"/>
          <w:lang w:eastAsia="sk-SK"/>
        </w:rPr>
        <w:t xml:space="preserve">V súlade s platnou smernicou mladí zamestnanci (PhD. študenti a zamestnanci do 30 rokov) v stanovenej lehote podali spolu 210 projektov, </w:t>
      </w:r>
      <w:r w:rsidR="00822A50" w:rsidRPr="00822A50">
        <w:rPr>
          <w:rFonts w:asciiTheme="minorHAnsi" w:hAnsiTheme="minorHAnsi"/>
          <w:b/>
          <w:lang w:eastAsia="sk-SK"/>
        </w:rPr>
        <w:t>komisia vybrala 111, ktoré získali podporu v rámci programu</w:t>
      </w:r>
      <w:r w:rsidR="00822A50" w:rsidRPr="00822A50">
        <w:rPr>
          <w:rFonts w:asciiTheme="minorHAnsi" w:hAnsiTheme="minorHAnsi"/>
          <w:lang w:eastAsia="sk-SK"/>
        </w:rPr>
        <w:t>. Slovenská technická univerzita na tento účel vyčlenila vyše 110 tisíc eur.</w:t>
      </w:r>
      <w:r w:rsidR="00822A50">
        <w:rPr>
          <w:rFonts w:asciiTheme="minorHAnsi" w:hAnsiTheme="minorHAnsi"/>
          <w:lang w:eastAsia="sk-SK"/>
        </w:rPr>
        <w:t xml:space="preserve"> </w:t>
      </w:r>
      <w:r w:rsidRPr="00B459B5">
        <w:rPr>
          <w:rFonts w:asciiTheme="minorHAnsi" w:hAnsiTheme="minorHAnsi"/>
        </w:rPr>
        <w:t xml:space="preserve">Tabuľka </w:t>
      </w:r>
      <w:r w:rsidR="00115561">
        <w:rPr>
          <w:rFonts w:asciiTheme="minorHAnsi" w:hAnsiTheme="minorHAnsi"/>
        </w:rPr>
        <w:t>5.7</w:t>
      </w:r>
      <w:r w:rsidRPr="00B459B5">
        <w:rPr>
          <w:rFonts w:asciiTheme="minorHAnsi" w:hAnsiTheme="minorHAnsi"/>
        </w:rPr>
        <w:t xml:space="preserve"> vyjadruje finančné prostriedky pridelené mladým výskumníkom na jednotlivých súčastiach STU v rokoch 2011-2015.</w:t>
      </w:r>
      <w:r w:rsidR="00822A50" w:rsidRPr="00822A50">
        <w:rPr>
          <w:rFonts w:asciiTheme="minorHAnsi" w:hAnsiTheme="minorHAnsi"/>
          <w:bCs/>
        </w:rPr>
        <w:t xml:space="preserve"> </w:t>
      </w:r>
    </w:p>
    <w:p w:rsidR="003C19C6" w:rsidRDefault="00822A50" w:rsidP="00822A50">
      <w:pPr>
        <w:autoSpaceDE w:val="0"/>
        <w:autoSpaceDN w:val="0"/>
        <w:adjustRightInd w:val="0"/>
        <w:rPr>
          <w:rFonts w:asciiTheme="minorHAnsi" w:hAnsiTheme="minorHAnsi"/>
          <w:bCs/>
        </w:rPr>
      </w:pPr>
      <w:r w:rsidRPr="00B459B5">
        <w:rPr>
          <w:rFonts w:asciiTheme="minorHAnsi" w:hAnsiTheme="minorHAnsi"/>
          <w:bCs/>
        </w:rPr>
        <w:t xml:space="preserve">Z tabuľky je zrejmé že STU od roku 2011 takmer zdvojnásobila objem finančných prostriedkov na podporu mladých výskumníkov, </w:t>
      </w:r>
      <w:r>
        <w:rPr>
          <w:rFonts w:asciiTheme="minorHAnsi" w:hAnsiTheme="minorHAnsi"/>
          <w:bCs/>
        </w:rPr>
        <w:t xml:space="preserve">pretože to </w:t>
      </w:r>
      <w:r w:rsidRPr="00B459B5">
        <w:rPr>
          <w:rFonts w:asciiTheme="minorHAnsi" w:hAnsiTheme="minorHAnsi"/>
          <w:bCs/>
        </w:rPr>
        <w:t xml:space="preserve">považuje za dobrú investíciu v oblasti personálneho </w:t>
      </w:r>
      <w:r>
        <w:rPr>
          <w:rFonts w:asciiTheme="minorHAnsi" w:hAnsiTheme="minorHAnsi"/>
          <w:bCs/>
        </w:rPr>
        <w:t>budovania pracovísk univerzity.</w:t>
      </w:r>
    </w:p>
    <w:p w:rsidR="00822A50" w:rsidRPr="00822A50" w:rsidRDefault="00822A50" w:rsidP="00822A50">
      <w:pPr>
        <w:autoSpaceDE w:val="0"/>
        <w:autoSpaceDN w:val="0"/>
        <w:adjustRightInd w:val="0"/>
        <w:rPr>
          <w:rFonts w:asciiTheme="minorHAnsi" w:hAnsiTheme="minorHAnsi"/>
          <w:bCs/>
        </w:rPr>
      </w:pPr>
    </w:p>
    <w:p w:rsidR="003C19C6" w:rsidRPr="00E114C7" w:rsidRDefault="003C19C6" w:rsidP="00E114C7">
      <w:pPr>
        <w:autoSpaceDE w:val="0"/>
        <w:autoSpaceDN w:val="0"/>
        <w:adjustRightInd w:val="0"/>
        <w:jc w:val="left"/>
        <w:rPr>
          <w:rFonts w:asciiTheme="minorHAnsi" w:hAnsiTheme="minorHAnsi"/>
          <w:b/>
          <w:sz w:val="20"/>
          <w:szCs w:val="20"/>
        </w:rPr>
      </w:pPr>
      <w:r w:rsidRPr="00E114C7">
        <w:rPr>
          <w:rFonts w:asciiTheme="minorHAnsi" w:hAnsiTheme="minorHAnsi"/>
          <w:b/>
          <w:sz w:val="20"/>
          <w:szCs w:val="20"/>
        </w:rPr>
        <w:t xml:space="preserve">Tabuľka </w:t>
      </w:r>
      <w:r w:rsidR="00E114C7" w:rsidRPr="00E114C7">
        <w:rPr>
          <w:rFonts w:asciiTheme="minorHAnsi" w:hAnsiTheme="minorHAnsi"/>
          <w:b/>
          <w:sz w:val="20"/>
          <w:szCs w:val="20"/>
        </w:rPr>
        <w:t>5.</w:t>
      </w:r>
      <w:r w:rsidR="00115561">
        <w:rPr>
          <w:rFonts w:asciiTheme="minorHAnsi" w:hAnsiTheme="minorHAnsi"/>
          <w:b/>
          <w:sz w:val="20"/>
          <w:szCs w:val="20"/>
        </w:rPr>
        <w:t>7</w:t>
      </w:r>
      <w:r w:rsidR="00E114C7" w:rsidRPr="00E114C7">
        <w:rPr>
          <w:rFonts w:asciiTheme="minorHAnsi" w:hAnsiTheme="minorHAnsi"/>
          <w:b/>
          <w:sz w:val="20"/>
          <w:szCs w:val="20"/>
        </w:rPr>
        <w:t>:</w:t>
      </w:r>
      <w:r w:rsidRPr="00E114C7">
        <w:rPr>
          <w:rFonts w:asciiTheme="minorHAnsi" w:hAnsiTheme="minorHAnsi"/>
          <w:b/>
          <w:sz w:val="20"/>
          <w:szCs w:val="20"/>
        </w:rPr>
        <w:t xml:space="preserve"> Pridelené finančné prostriedky v rámci výzvy Projekty mladých výskumníkov</w:t>
      </w:r>
    </w:p>
    <w:tbl>
      <w:tblPr>
        <w:tblW w:w="8236" w:type="dxa"/>
        <w:tblCellMar>
          <w:left w:w="70" w:type="dxa"/>
          <w:right w:w="70" w:type="dxa"/>
        </w:tblCellMar>
        <w:tblLook w:val="04A0" w:firstRow="1" w:lastRow="0" w:firstColumn="1" w:lastColumn="0" w:noHBand="0" w:noVBand="1"/>
      </w:tblPr>
      <w:tblGrid>
        <w:gridCol w:w="1008"/>
        <w:gridCol w:w="1417"/>
        <w:gridCol w:w="1560"/>
        <w:gridCol w:w="1417"/>
        <w:gridCol w:w="1417"/>
        <w:gridCol w:w="1417"/>
      </w:tblGrid>
      <w:tr w:rsidR="003C19C6" w:rsidRPr="00E114C7" w:rsidTr="00520814">
        <w:trPr>
          <w:trHeight w:val="264"/>
        </w:trPr>
        <w:tc>
          <w:tcPr>
            <w:tcW w:w="1008" w:type="dxa"/>
            <w:tcBorders>
              <w:bottom w:val="single" w:sz="12" w:space="0" w:color="auto"/>
              <w:right w:val="single" w:sz="12" w:space="0" w:color="auto"/>
            </w:tcBorders>
            <w:shd w:val="clear" w:color="000000" w:fill="auto"/>
            <w:vAlign w:val="bottom"/>
            <w:hideMark/>
          </w:tcPr>
          <w:p w:rsidR="003C19C6" w:rsidRPr="00E114C7" w:rsidRDefault="003C19C6" w:rsidP="00520814">
            <w:pPr>
              <w:jc w:val="center"/>
              <w:rPr>
                <w:rFonts w:asciiTheme="minorHAnsi" w:eastAsia="Times New Roman" w:hAnsiTheme="minorHAnsi" w:cs="Arial"/>
                <w:sz w:val="20"/>
                <w:szCs w:val="20"/>
                <w:lang w:eastAsia="sk-SK"/>
              </w:rPr>
            </w:pPr>
          </w:p>
        </w:tc>
        <w:tc>
          <w:tcPr>
            <w:tcW w:w="1417" w:type="dxa"/>
            <w:tcBorders>
              <w:top w:val="single" w:sz="12" w:space="0" w:color="auto"/>
              <w:left w:val="single" w:sz="12" w:space="0" w:color="auto"/>
              <w:bottom w:val="single" w:sz="12" w:space="0" w:color="auto"/>
              <w:right w:val="single" w:sz="12" w:space="0" w:color="auto"/>
            </w:tcBorders>
            <w:shd w:val="clear" w:color="000000" w:fill="FDE9D9" w:themeFill="accent6" w:themeFillTint="33"/>
            <w:vAlign w:val="bottom"/>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2011</w:t>
            </w:r>
          </w:p>
        </w:tc>
        <w:tc>
          <w:tcPr>
            <w:tcW w:w="1560" w:type="dxa"/>
            <w:tcBorders>
              <w:top w:val="single" w:sz="12" w:space="0" w:color="auto"/>
              <w:left w:val="single" w:sz="12" w:space="0" w:color="auto"/>
              <w:bottom w:val="single" w:sz="12" w:space="0" w:color="auto"/>
              <w:right w:val="single" w:sz="12" w:space="0" w:color="auto"/>
            </w:tcBorders>
            <w:shd w:val="clear" w:color="000000" w:fill="FDE9D9" w:themeFill="accent6" w:themeFillTint="33"/>
            <w:vAlign w:val="bottom"/>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2012</w:t>
            </w:r>
          </w:p>
        </w:tc>
        <w:tc>
          <w:tcPr>
            <w:tcW w:w="1417" w:type="dxa"/>
            <w:tcBorders>
              <w:top w:val="single" w:sz="12" w:space="0" w:color="auto"/>
              <w:left w:val="single" w:sz="12" w:space="0" w:color="auto"/>
              <w:bottom w:val="single" w:sz="12" w:space="0" w:color="auto"/>
              <w:right w:val="single" w:sz="12" w:space="0" w:color="auto"/>
            </w:tcBorders>
            <w:shd w:val="clear" w:color="000000" w:fill="FDE9D9" w:themeFill="accent6" w:themeFillTint="33"/>
            <w:vAlign w:val="bottom"/>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2013</w:t>
            </w:r>
          </w:p>
        </w:tc>
        <w:tc>
          <w:tcPr>
            <w:tcW w:w="1417" w:type="dxa"/>
            <w:tcBorders>
              <w:top w:val="single" w:sz="12" w:space="0" w:color="auto"/>
              <w:left w:val="single" w:sz="12" w:space="0" w:color="auto"/>
              <w:bottom w:val="single" w:sz="12" w:space="0" w:color="auto"/>
              <w:right w:val="single" w:sz="12" w:space="0" w:color="auto"/>
            </w:tcBorders>
            <w:shd w:val="clear" w:color="000000" w:fill="FDE9D9" w:themeFill="accent6" w:themeFillTint="33"/>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2014</w:t>
            </w:r>
          </w:p>
        </w:tc>
        <w:tc>
          <w:tcPr>
            <w:tcW w:w="1417" w:type="dxa"/>
            <w:tcBorders>
              <w:top w:val="single" w:sz="12" w:space="0" w:color="auto"/>
              <w:left w:val="single" w:sz="12" w:space="0" w:color="auto"/>
              <w:bottom w:val="single" w:sz="12" w:space="0" w:color="auto"/>
              <w:right w:val="single" w:sz="12" w:space="0" w:color="auto"/>
            </w:tcBorders>
            <w:shd w:val="clear" w:color="000000" w:fill="FDE9D9" w:themeFill="accent6" w:themeFillTint="33"/>
            <w:vAlign w:val="bottom"/>
          </w:tcPr>
          <w:p w:rsidR="003C19C6" w:rsidRPr="00E114C7" w:rsidRDefault="003C19C6" w:rsidP="00520814">
            <w:pPr>
              <w:jc w:val="center"/>
              <w:rPr>
                <w:rFonts w:asciiTheme="minorHAnsi" w:hAnsiTheme="minorHAnsi" w:cs="Arial"/>
                <w:sz w:val="20"/>
                <w:szCs w:val="20"/>
              </w:rPr>
            </w:pPr>
            <w:r w:rsidRPr="00E114C7">
              <w:rPr>
                <w:rFonts w:asciiTheme="minorHAnsi" w:hAnsiTheme="minorHAnsi" w:cs="Arial"/>
                <w:sz w:val="20"/>
                <w:szCs w:val="20"/>
              </w:rPr>
              <w:t>2015</w:t>
            </w:r>
          </w:p>
        </w:tc>
      </w:tr>
      <w:tr w:rsidR="003C19C6" w:rsidRPr="00E114C7" w:rsidTr="00520814">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SvF</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9 780</w:t>
            </w:r>
          </w:p>
        </w:tc>
        <w:tc>
          <w:tcPr>
            <w:tcW w:w="1560"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17 102</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29 586</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26929</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bottom"/>
          </w:tcPr>
          <w:p w:rsidR="003C19C6" w:rsidRPr="00E114C7" w:rsidRDefault="003C19C6" w:rsidP="00520814">
            <w:pPr>
              <w:jc w:val="center"/>
              <w:rPr>
                <w:rFonts w:asciiTheme="minorHAnsi" w:hAnsiTheme="minorHAnsi" w:cs="Arial"/>
                <w:bCs/>
                <w:sz w:val="20"/>
                <w:szCs w:val="20"/>
              </w:rPr>
            </w:pPr>
            <w:r w:rsidRPr="00E114C7">
              <w:rPr>
                <w:rFonts w:asciiTheme="minorHAnsi" w:hAnsiTheme="minorHAnsi" w:cs="Arial"/>
                <w:bCs/>
                <w:sz w:val="20"/>
                <w:szCs w:val="20"/>
              </w:rPr>
              <w:t>26 673</w:t>
            </w:r>
          </w:p>
        </w:tc>
      </w:tr>
      <w:tr w:rsidR="003C19C6" w:rsidRPr="00E114C7" w:rsidTr="00520814">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SjF</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8 517</w:t>
            </w:r>
          </w:p>
        </w:tc>
        <w:tc>
          <w:tcPr>
            <w:tcW w:w="1560"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7 910</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14 766</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8942</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bottom"/>
          </w:tcPr>
          <w:p w:rsidR="003C19C6" w:rsidRPr="00E114C7" w:rsidRDefault="003C19C6" w:rsidP="00520814">
            <w:pPr>
              <w:jc w:val="center"/>
              <w:rPr>
                <w:rFonts w:asciiTheme="minorHAnsi" w:hAnsiTheme="minorHAnsi" w:cs="Arial"/>
                <w:bCs/>
                <w:sz w:val="20"/>
                <w:szCs w:val="20"/>
              </w:rPr>
            </w:pPr>
            <w:r w:rsidRPr="00E114C7">
              <w:rPr>
                <w:rFonts w:asciiTheme="minorHAnsi" w:hAnsiTheme="minorHAnsi" w:cs="Arial"/>
                <w:bCs/>
                <w:sz w:val="20"/>
                <w:szCs w:val="20"/>
              </w:rPr>
              <w:t>8 997</w:t>
            </w:r>
          </w:p>
        </w:tc>
      </w:tr>
      <w:tr w:rsidR="003C19C6" w:rsidRPr="00E114C7" w:rsidTr="00520814">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FEI</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8 280</w:t>
            </w:r>
          </w:p>
        </w:tc>
        <w:tc>
          <w:tcPr>
            <w:tcW w:w="1560"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15 880</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16 715</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19797</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bottom"/>
          </w:tcPr>
          <w:p w:rsidR="003C19C6" w:rsidRPr="00E114C7" w:rsidRDefault="003C19C6" w:rsidP="00520814">
            <w:pPr>
              <w:jc w:val="center"/>
              <w:rPr>
                <w:rFonts w:asciiTheme="minorHAnsi" w:hAnsiTheme="minorHAnsi" w:cs="Arial"/>
                <w:bCs/>
                <w:sz w:val="20"/>
                <w:szCs w:val="20"/>
              </w:rPr>
            </w:pPr>
            <w:r w:rsidRPr="00E114C7">
              <w:rPr>
                <w:rFonts w:asciiTheme="minorHAnsi" w:hAnsiTheme="minorHAnsi" w:cs="Arial"/>
                <w:bCs/>
                <w:sz w:val="20"/>
                <w:szCs w:val="20"/>
              </w:rPr>
              <w:t>16 892</w:t>
            </w:r>
          </w:p>
        </w:tc>
      </w:tr>
      <w:tr w:rsidR="003C19C6" w:rsidRPr="00E114C7" w:rsidTr="00520814">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hideMark/>
          </w:tcPr>
          <w:p w:rsidR="003C19C6" w:rsidRPr="00E114C7" w:rsidRDefault="003C19C6" w:rsidP="00520814">
            <w:pPr>
              <w:jc w:val="center"/>
              <w:rPr>
                <w:rFonts w:asciiTheme="minorHAnsi" w:eastAsia="Times New Roman" w:hAnsiTheme="minorHAnsi" w:cs="Arial"/>
                <w:sz w:val="20"/>
                <w:szCs w:val="20"/>
                <w:lang w:eastAsia="sk-SK"/>
              </w:rPr>
            </w:pPr>
            <w:proofErr w:type="spellStart"/>
            <w:r w:rsidRPr="00E114C7">
              <w:rPr>
                <w:rFonts w:asciiTheme="minorHAnsi" w:eastAsia="Times New Roman" w:hAnsiTheme="minorHAnsi" w:cs="Arial"/>
                <w:sz w:val="20"/>
                <w:szCs w:val="20"/>
                <w:lang w:eastAsia="sk-SK"/>
              </w:rPr>
              <w:t>FChPT</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13 820</w:t>
            </w:r>
          </w:p>
        </w:tc>
        <w:tc>
          <w:tcPr>
            <w:tcW w:w="1560"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16 945</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28 367</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27000</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bottom"/>
          </w:tcPr>
          <w:p w:rsidR="003C19C6" w:rsidRPr="00E114C7" w:rsidRDefault="003C19C6" w:rsidP="00520814">
            <w:pPr>
              <w:jc w:val="center"/>
              <w:rPr>
                <w:rFonts w:asciiTheme="minorHAnsi" w:hAnsiTheme="minorHAnsi" w:cs="Arial"/>
                <w:bCs/>
                <w:sz w:val="20"/>
                <w:szCs w:val="20"/>
              </w:rPr>
            </w:pPr>
            <w:r w:rsidRPr="00E114C7">
              <w:rPr>
                <w:rFonts w:asciiTheme="minorHAnsi" w:hAnsiTheme="minorHAnsi" w:cs="Arial"/>
                <w:bCs/>
                <w:sz w:val="20"/>
                <w:szCs w:val="20"/>
              </w:rPr>
              <w:t>25 990</w:t>
            </w:r>
          </w:p>
        </w:tc>
      </w:tr>
      <w:tr w:rsidR="003C19C6" w:rsidRPr="00E114C7" w:rsidTr="00520814">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FA</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6 790</w:t>
            </w:r>
          </w:p>
        </w:tc>
        <w:tc>
          <w:tcPr>
            <w:tcW w:w="1560"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6 565</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8 760</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7000</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bottom"/>
          </w:tcPr>
          <w:p w:rsidR="003C19C6" w:rsidRPr="00E114C7" w:rsidRDefault="003C19C6" w:rsidP="00520814">
            <w:pPr>
              <w:jc w:val="center"/>
              <w:rPr>
                <w:rFonts w:asciiTheme="minorHAnsi" w:hAnsiTheme="minorHAnsi" w:cs="Arial"/>
                <w:bCs/>
                <w:sz w:val="20"/>
                <w:szCs w:val="20"/>
              </w:rPr>
            </w:pPr>
            <w:r w:rsidRPr="00E114C7">
              <w:rPr>
                <w:rFonts w:asciiTheme="minorHAnsi" w:hAnsiTheme="minorHAnsi" w:cs="Arial"/>
                <w:bCs/>
                <w:sz w:val="20"/>
                <w:szCs w:val="20"/>
              </w:rPr>
              <w:t>6 830</w:t>
            </w:r>
          </w:p>
        </w:tc>
      </w:tr>
      <w:tr w:rsidR="003C19C6" w:rsidRPr="00E114C7" w:rsidTr="00520814">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MTF</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5 826</w:t>
            </w:r>
          </w:p>
        </w:tc>
        <w:tc>
          <w:tcPr>
            <w:tcW w:w="1560"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9 723</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10 998</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10882</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bottom"/>
          </w:tcPr>
          <w:p w:rsidR="003C19C6" w:rsidRPr="00E114C7" w:rsidRDefault="003C19C6" w:rsidP="00520814">
            <w:pPr>
              <w:jc w:val="center"/>
              <w:rPr>
                <w:rFonts w:asciiTheme="minorHAnsi" w:hAnsiTheme="minorHAnsi" w:cs="Arial"/>
                <w:bCs/>
                <w:sz w:val="20"/>
                <w:szCs w:val="20"/>
              </w:rPr>
            </w:pPr>
            <w:r w:rsidRPr="00E114C7">
              <w:rPr>
                <w:rFonts w:asciiTheme="minorHAnsi" w:hAnsiTheme="minorHAnsi" w:cs="Arial"/>
                <w:bCs/>
                <w:sz w:val="20"/>
                <w:szCs w:val="20"/>
              </w:rPr>
              <w:t>13 000</w:t>
            </w:r>
          </w:p>
        </w:tc>
      </w:tr>
      <w:tr w:rsidR="003C19C6" w:rsidRPr="00E114C7" w:rsidTr="00520814">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FIIT</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5 896</w:t>
            </w:r>
          </w:p>
        </w:tc>
        <w:tc>
          <w:tcPr>
            <w:tcW w:w="1560"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4 970</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8 000</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7990</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bottom"/>
          </w:tcPr>
          <w:p w:rsidR="003C19C6" w:rsidRPr="00E114C7" w:rsidRDefault="003C19C6" w:rsidP="00520814">
            <w:pPr>
              <w:jc w:val="center"/>
              <w:rPr>
                <w:rFonts w:asciiTheme="minorHAnsi" w:hAnsiTheme="minorHAnsi" w:cs="Arial"/>
                <w:bCs/>
                <w:sz w:val="20"/>
                <w:szCs w:val="20"/>
              </w:rPr>
            </w:pPr>
            <w:r w:rsidRPr="00E114C7">
              <w:rPr>
                <w:rFonts w:asciiTheme="minorHAnsi" w:hAnsiTheme="minorHAnsi" w:cs="Arial"/>
                <w:bCs/>
                <w:sz w:val="20"/>
                <w:szCs w:val="20"/>
              </w:rPr>
              <w:t>9 679</w:t>
            </w:r>
          </w:p>
        </w:tc>
      </w:tr>
      <w:tr w:rsidR="003C19C6" w:rsidRPr="00E114C7" w:rsidTr="00520814">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ÚM</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1 000</w:t>
            </w:r>
          </w:p>
        </w:tc>
        <w:tc>
          <w:tcPr>
            <w:tcW w:w="1560"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1 000</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3 000</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3C19C6" w:rsidRPr="00E114C7" w:rsidRDefault="003C19C6" w:rsidP="00520814">
            <w:pPr>
              <w:jc w:val="center"/>
              <w:rPr>
                <w:rFonts w:asciiTheme="minorHAnsi" w:eastAsia="Times New Roman" w:hAnsiTheme="minorHAnsi" w:cs="Arial"/>
                <w:sz w:val="20"/>
                <w:szCs w:val="20"/>
                <w:lang w:eastAsia="sk-SK"/>
              </w:rPr>
            </w:pPr>
            <w:r w:rsidRPr="00E114C7">
              <w:rPr>
                <w:rFonts w:asciiTheme="minorHAnsi" w:eastAsia="Times New Roman" w:hAnsiTheme="minorHAnsi" w:cs="Arial"/>
                <w:sz w:val="20"/>
                <w:szCs w:val="20"/>
                <w:lang w:eastAsia="sk-SK"/>
              </w:rPr>
              <w:t>2000</w:t>
            </w:r>
          </w:p>
        </w:tc>
        <w:tc>
          <w:tcPr>
            <w:tcW w:w="1417"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bottom"/>
          </w:tcPr>
          <w:p w:rsidR="003C19C6" w:rsidRPr="00E114C7" w:rsidRDefault="003C19C6" w:rsidP="00520814">
            <w:pPr>
              <w:jc w:val="center"/>
              <w:rPr>
                <w:rFonts w:asciiTheme="minorHAnsi" w:hAnsiTheme="minorHAnsi" w:cs="Arial"/>
                <w:bCs/>
                <w:sz w:val="20"/>
                <w:szCs w:val="20"/>
              </w:rPr>
            </w:pPr>
            <w:r w:rsidRPr="00E114C7">
              <w:rPr>
                <w:rFonts w:asciiTheme="minorHAnsi" w:hAnsiTheme="minorHAnsi" w:cs="Arial"/>
                <w:bCs/>
                <w:sz w:val="20"/>
                <w:szCs w:val="20"/>
              </w:rPr>
              <w:t>2 000</w:t>
            </w:r>
          </w:p>
        </w:tc>
      </w:tr>
      <w:tr w:rsidR="003C19C6" w:rsidRPr="00E114C7" w:rsidTr="00520814">
        <w:trPr>
          <w:trHeight w:val="264"/>
        </w:trPr>
        <w:tc>
          <w:tcPr>
            <w:tcW w:w="1008" w:type="dxa"/>
            <w:tcBorders>
              <w:top w:val="single" w:sz="12" w:space="0" w:color="auto"/>
              <w:left w:val="single" w:sz="12" w:space="0" w:color="auto"/>
              <w:bottom w:val="single" w:sz="12" w:space="0" w:color="auto"/>
              <w:right w:val="single" w:sz="12" w:space="0" w:color="auto"/>
            </w:tcBorders>
            <w:shd w:val="clear" w:color="auto" w:fill="FABF8F" w:themeFill="accent6" w:themeFillTint="99"/>
            <w:noWrap/>
            <w:vAlign w:val="bottom"/>
            <w:hideMark/>
          </w:tcPr>
          <w:p w:rsidR="003C19C6" w:rsidRPr="00E114C7" w:rsidRDefault="003C19C6" w:rsidP="00520814">
            <w:pPr>
              <w:jc w:val="center"/>
              <w:rPr>
                <w:rFonts w:asciiTheme="minorHAnsi" w:eastAsia="Times New Roman" w:hAnsiTheme="minorHAnsi" w:cs="Arial"/>
                <w:b/>
                <w:sz w:val="20"/>
                <w:szCs w:val="20"/>
                <w:lang w:eastAsia="sk-SK"/>
              </w:rPr>
            </w:pPr>
            <w:r w:rsidRPr="00E114C7">
              <w:rPr>
                <w:rFonts w:asciiTheme="minorHAnsi" w:eastAsia="Times New Roman" w:hAnsiTheme="minorHAnsi" w:cs="Arial"/>
                <w:b/>
                <w:sz w:val="20"/>
                <w:szCs w:val="20"/>
                <w:lang w:eastAsia="sk-SK"/>
              </w:rPr>
              <w:t>Spolu</w:t>
            </w:r>
          </w:p>
        </w:tc>
        <w:tc>
          <w:tcPr>
            <w:tcW w:w="1417" w:type="dxa"/>
            <w:tcBorders>
              <w:top w:val="single" w:sz="12" w:space="0" w:color="auto"/>
              <w:left w:val="single" w:sz="12" w:space="0" w:color="auto"/>
              <w:bottom w:val="single" w:sz="12" w:space="0" w:color="auto"/>
              <w:right w:val="single" w:sz="12" w:space="0" w:color="auto"/>
            </w:tcBorders>
            <w:shd w:val="clear" w:color="auto" w:fill="FABF8F" w:themeFill="accent6" w:themeFillTint="99"/>
            <w:noWrap/>
            <w:vAlign w:val="center"/>
            <w:hideMark/>
          </w:tcPr>
          <w:p w:rsidR="003C19C6" w:rsidRPr="00E114C7" w:rsidRDefault="003C19C6" w:rsidP="00520814">
            <w:pPr>
              <w:jc w:val="center"/>
              <w:rPr>
                <w:rFonts w:asciiTheme="minorHAnsi" w:eastAsia="Times New Roman" w:hAnsiTheme="minorHAnsi" w:cs="Arial"/>
                <w:b/>
                <w:sz w:val="20"/>
                <w:szCs w:val="20"/>
                <w:lang w:eastAsia="sk-SK"/>
              </w:rPr>
            </w:pPr>
            <w:r w:rsidRPr="00E114C7">
              <w:rPr>
                <w:rFonts w:asciiTheme="minorHAnsi" w:eastAsia="Times New Roman" w:hAnsiTheme="minorHAnsi" w:cs="Arial"/>
                <w:b/>
                <w:sz w:val="20"/>
                <w:szCs w:val="20"/>
                <w:lang w:eastAsia="sk-SK"/>
              </w:rPr>
              <w:t>59 911</w:t>
            </w:r>
          </w:p>
        </w:tc>
        <w:tc>
          <w:tcPr>
            <w:tcW w:w="1560" w:type="dxa"/>
            <w:tcBorders>
              <w:top w:val="single" w:sz="12" w:space="0" w:color="auto"/>
              <w:left w:val="single" w:sz="12" w:space="0" w:color="auto"/>
              <w:bottom w:val="single" w:sz="12" w:space="0" w:color="auto"/>
              <w:right w:val="single" w:sz="12" w:space="0" w:color="auto"/>
            </w:tcBorders>
            <w:shd w:val="clear" w:color="auto" w:fill="FABF8F" w:themeFill="accent6" w:themeFillTint="99"/>
            <w:noWrap/>
            <w:vAlign w:val="center"/>
            <w:hideMark/>
          </w:tcPr>
          <w:p w:rsidR="003C19C6" w:rsidRPr="00E114C7" w:rsidRDefault="003C19C6" w:rsidP="00520814">
            <w:pPr>
              <w:jc w:val="center"/>
              <w:rPr>
                <w:rFonts w:asciiTheme="minorHAnsi" w:eastAsia="Times New Roman" w:hAnsiTheme="minorHAnsi" w:cs="Arial"/>
                <w:b/>
                <w:sz w:val="20"/>
                <w:szCs w:val="20"/>
                <w:lang w:eastAsia="sk-SK"/>
              </w:rPr>
            </w:pPr>
            <w:r w:rsidRPr="00E114C7">
              <w:rPr>
                <w:rFonts w:asciiTheme="minorHAnsi" w:eastAsia="Times New Roman" w:hAnsiTheme="minorHAnsi" w:cs="Arial"/>
                <w:b/>
                <w:sz w:val="20"/>
                <w:szCs w:val="20"/>
                <w:lang w:eastAsia="sk-SK"/>
              </w:rPr>
              <w:t>80 095</w:t>
            </w:r>
          </w:p>
        </w:tc>
        <w:tc>
          <w:tcPr>
            <w:tcW w:w="1417" w:type="dxa"/>
            <w:tcBorders>
              <w:top w:val="single" w:sz="12" w:space="0" w:color="auto"/>
              <w:left w:val="single" w:sz="12" w:space="0" w:color="auto"/>
              <w:bottom w:val="single" w:sz="12" w:space="0" w:color="auto"/>
              <w:right w:val="single" w:sz="12" w:space="0" w:color="auto"/>
            </w:tcBorders>
            <w:shd w:val="clear" w:color="auto" w:fill="FABF8F" w:themeFill="accent6" w:themeFillTint="99"/>
            <w:noWrap/>
            <w:vAlign w:val="center"/>
            <w:hideMark/>
          </w:tcPr>
          <w:p w:rsidR="003C19C6" w:rsidRPr="00E114C7" w:rsidRDefault="003C19C6" w:rsidP="00520814">
            <w:pPr>
              <w:jc w:val="center"/>
              <w:rPr>
                <w:rFonts w:asciiTheme="minorHAnsi" w:eastAsia="Times New Roman" w:hAnsiTheme="minorHAnsi" w:cs="Arial"/>
                <w:b/>
                <w:sz w:val="20"/>
                <w:szCs w:val="20"/>
                <w:lang w:eastAsia="sk-SK"/>
              </w:rPr>
            </w:pPr>
            <w:r w:rsidRPr="00E114C7">
              <w:rPr>
                <w:rFonts w:asciiTheme="minorHAnsi" w:eastAsia="Times New Roman" w:hAnsiTheme="minorHAnsi" w:cs="Arial"/>
                <w:b/>
                <w:sz w:val="20"/>
                <w:szCs w:val="20"/>
                <w:lang w:eastAsia="sk-SK"/>
              </w:rPr>
              <w:t>120 193</w:t>
            </w:r>
          </w:p>
        </w:tc>
        <w:tc>
          <w:tcPr>
            <w:tcW w:w="1417"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3C19C6" w:rsidRPr="00E114C7" w:rsidRDefault="003C19C6" w:rsidP="00520814">
            <w:pPr>
              <w:jc w:val="center"/>
              <w:rPr>
                <w:rFonts w:asciiTheme="minorHAnsi" w:eastAsia="Times New Roman" w:hAnsiTheme="minorHAnsi" w:cs="Arial"/>
                <w:b/>
                <w:sz w:val="20"/>
                <w:szCs w:val="20"/>
                <w:lang w:eastAsia="sk-SK"/>
              </w:rPr>
            </w:pPr>
            <w:r w:rsidRPr="00E114C7">
              <w:rPr>
                <w:rFonts w:asciiTheme="minorHAnsi" w:eastAsia="Times New Roman" w:hAnsiTheme="minorHAnsi" w:cs="Arial"/>
                <w:b/>
                <w:sz w:val="20"/>
                <w:szCs w:val="20"/>
                <w:lang w:eastAsia="sk-SK"/>
              </w:rPr>
              <w:t>110545</w:t>
            </w:r>
          </w:p>
        </w:tc>
        <w:tc>
          <w:tcPr>
            <w:tcW w:w="1417"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bottom"/>
          </w:tcPr>
          <w:p w:rsidR="003C19C6" w:rsidRPr="00E114C7" w:rsidRDefault="003C19C6" w:rsidP="00520814">
            <w:pPr>
              <w:jc w:val="center"/>
              <w:rPr>
                <w:rFonts w:asciiTheme="minorHAnsi" w:hAnsiTheme="minorHAnsi" w:cs="Arial"/>
                <w:b/>
                <w:bCs/>
                <w:sz w:val="20"/>
                <w:szCs w:val="20"/>
              </w:rPr>
            </w:pPr>
            <w:r w:rsidRPr="00E114C7">
              <w:rPr>
                <w:rFonts w:asciiTheme="minorHAnsi" w:hAnsiTheme="minorHAnsi" w:cs="Arial"/>
                <w:b/>
                <w:bCs/>
                <w:sz w:val="20"/>
                <w:szCs w:val="20"/>
              </w:rPr>
              <w:t>110 061</w:t>
            </w:r>
          </w:p>
        </w:tc>
      </w:tr>
    </w:tbl>
    <w:p w:rsidR="003C19C6" w:rsidRPr="00B459B5" w:rsidRDefault="003C19C6" w:rsidP="003C19C6">
      <w:pPr>
        <w:autoSpaceDE w:val="0"/>
        <w:autoSpaceDN w:val="0"/>
        <w:adjustRightInd w:val="0"/>
        <w:rPr>
          <w:rFonts w:ascii="Times New Roman" w:hAnsi="Times New Roman"/>
          <w:bCs/>
        </w:rPr>
      </w:pPr>
    </w:p>
    <w:p w:rsidR="003C19C6" w:rsidRPr="00B459B5" w:rsidRDefault="003C19C6" w:rsidP="003C19C6">
      <w:pPr>
        <w:autoSpaceDE w:val="0"/>
        <w:autoSpaceDN w:val="0"/>
        <w:adjustRightInd w:val="0"/>
        <w:rPr>
          <w:rFonts w:asciiTheme="minorHAnsi" w:hAnsiTheme="minorHAnsi"/>
          <w:bCs/>
        </w:rPr>
      </w:pPr>
      <w:r w:rsidRPr="00B459B5">
        <w:rPr>
          <w:rFonts w:asciiTheme="minorHAnsi" w:hAnsiTheme="minorHAnsi"/>
          <w:bCs/>
        </w:rPr>
        <w:t xml:space="preserve">V roku 2015 Slovenská technická univerzita vyhlásila výzvu o predkladanie žiadostí o granty pre tímy mladých výskumníkov. Požadovalo sa, aby </w:t>
      </w:r>
      <w:proofErr w:type="spellStart"/>
      <w:r w:rsidRPr="00B459B5">
        <w:rPr>
          <w:rFonts w:asciiTheme="minorHAnsi" w:hAnsiTheme="minorHAnsi"/>
          <w:bCs/>
        </w:rPr>
        <w:t>žiadateľ-zodpovedný</w:t>
      </w:r>
      <w:proofErr w:type="spellEnd"/>
      <w:r w:rsidRPr="00B459B5">
        <w:rPr>
          <w:rFonts w:asciiTheme="minorHAnsi" w:hAnsiTheme="minorHAnsi"/>
          <w:bCs/>
        </w:rPr>
        <w:t xml:space="preserve"> riešiteľ bol úspešným riešiteľom projektov mladých a vykazoval ďalšie vedecko-výskumné aktivity. Univerzita takto udelila  8 žiadateľom finančnú dotáciu na riešenie ich projektov do výšky 4.000.- € a </w:t>
      </w:r>
      <w:proofErr w:type="spellStart"/>
      <w:r w:rsidRPr="00B459B5">
        <w:rPr>
          <w:rFonts w:asciiTheme="minorHAnsi" w:hAnsiTheme="minorHAnsi"/>
          <w:bCs/>
        </w:rPr>
        <w:t>ďaľším</w:t>
      </w:r>
      <w:proofErr w:type="spellEnd"/>
      <w:r w:rsidRPr="00B459B5">
        <w:rPr>
          <w:rFonts w:asciiTheme="minorHAnsi" w:hAnsiTheme="minorHAnsi"/>
          <w:bCs/>
        </w:rPr>
        <w:t xml:space="preserve"> 4 do výšky 2.000.- €, ktorých téma projektu korešpondovala s tematickými oblasťami vymedzenými Vedením STU.</w:t>
      </w:r>
    </w:p>
    <w:p w:rsidR="00B51749" w:rsidRPr="002D7A10" w:rsidRDefault="00B51749" w:rsidP="00B51749">
      <w:pPr>
        <w:autoSpaceDE w:val="0"/>
        <w:autoSpaceDN w:val="0"/>
        <w:adjustRightInd w:val="0"/>
        <w:rPr>
          <w:rFonts w:asciiTheme="minorHAnsi" w:hAnsiTheme="minorHAnsi"/>
          <w:color w:val="FF0000"/>
        </w:rPr>
      </w:pPr>
    </w:p>
    <w:p w:rsidR="00B51749" w:rsidRPr="002D7A10" w:rsidRDefault="00B51749" w:rsidP="00B51749">
      <w:pPr>
        <w:autoSpaceDE w:val="0"/>
        <w:autoSpaceDN w:val="0"/>
        <w:adjustRightInd w:val="0"/>
        <w:rPr>
          <w:rFonts w:asciiTheme="minorHAnsi" w:hAnsiTheme="minorHAnsi"/>
          <w:b/>
          <w:bCs/>
          <w:color w:val="FF0000"/>
        </w:rPr>
      </w:pPr>
    </w:p>
    <w:p w:rsidR="00B51749" w:rsidRPr="002D7A10" w:rsidRDefault="00B51749" w:rsidP="00B51749">
      <w:pPr>
        <w:pStyle w:val="Nadpis3"/>
        <w:rPr>
          <w:rFonts w:asciiTheme="minorHAnsi" w:hAnsiTheme="minorHAnsi"/>
          <w:color w:val="auto"/>
        </w:rPr>
      </w:pPr>
      <w:bookmarkStart w:id="36" w:name="_Toc448261578"/>
      <w:r w:rsidRPr="002D7A10">
        <w:rPr>
          <w:rFonts w:asciiTheme="minorHAnsi" w:hAnsiTheme="minorHAnsi"/>
          <w:color w:val="auto"/>
        </w:rPr>
        <w:t>Ocenenie Vedec roka STU</w:t>
      </w:r>
      <w:bookmarkEnd w:id="36"/>
    </w:p>
    <w:p w:rsidR="00B51749" w:rsidRPr="002D7A10" w:rsidRDefault="00B51749" w:rsidP="00B51749">
      <w:pPr>
        <w:autoSpaceDE w:val="0"/>
        <w:autoSpaceDN w:val="0"/>
        <w:adjustRightInd w:val="0"/>
        <w:rPr>
          <w:rFonts w:asciiTheme="minorHAnsi" w:hAnsiTheme="minorHAnsi"/>
          <w:bCs/>
          <w:color w:val="FF0000"/>
        </w:rPr>
      </w:pPr>
    </w:p>
    <w:p w:rsidR="00B51749" w:rsidRPr="00D947F5" w:rsidRDefault="00B51749" w:rsidP="00520814">
      <w:pPr>
        <w:autoSpaceDE w:val="0"/>
        <w:autoSpaceDN w:val="0"/>
        <w:adjustRightInd w:val="0"/>
        <w:rPr>
          <w:rFonts w:asciiTheme="minorHAnsi" w:hAnsiTheme="minorHAnsi"/>
        </w:rPr>
      </w:pPr>
      <w:r w:rsidRPr="002D7A10">
        <w:rPr>
          <w:rFonts w:asciiTheme="minorHAnsi" w:hAnsiTheme="minorHAnsi"/>
        </w:rPr>
        <w:t xml:space="preserve">Od roku 2007 sa každoročne vyhlasuje súťaž Vedec roka STU. Súťaž je vyjadrením osobitného uznania a ocenenia najlepších vedcov a vedeckých kolektívov na STU. </w:t>
      </w:r>
      <w:r w:rsidRPr="00C827AC">
        <w:rPr>
          <w:rFonts w:asciiTheme="minorHAnsi" w:hAnsiTheme="minorHAnsi"/>
        </w:rPr>
        <w:t>Súťaž prebiehala v 2 kategóriách: mladý vedecký pracovník (do 35 ro</w:t>
      </w:r>
      <w:r w:rsidR="00D947F5">
        <w:rPr>
          <w:rFonts w:asciiTheme="minorHAnsi" w:hAnsiTheme="minorHAnsi"/>
        </w:rPr>
        <w:t>kov) a významný vedecký prínos.</w:t>
      </w:r>
    </w:p>
    <w:p w:rsidR="00B07AF0" w:rsidRPr="00C827AC" w:rsidRDefault="00B07AF0" w:rsidP="00520814">
      <w:pPr>
        <w:pStyle w:val="Default"/>
        <w:spacing w:before="100"/>
        <w:jc w:val="both"/>
        <w:rPr>
          <w:rFonts w:asciiTheme="minorHAnsi" w:eastAsia="Times New Roman" w:hAnsiTheme="minorHAnsi"/>
          <w:lang w:val="sk-SK" w:eastAsia="sk-SK"/>
        </w:rPr>
      </w:pPr>
      <w:r w:rsidRPr="00C827AC">
        <w:rPr>
          <w:rFonts w:asciiTheme="minorHAnsi" w:hAnsiTheme="minorHAnsi"/>
          <w:color w:val="auto"/>
          <w:lang w:val="sk-SK"/>
        </w:rPr>
        <w:t>Cenu Vedec roka STU 2015 získal</w:t>
      </w:r>
      <w:r w:rsidRPr="00C827AC">
        <w:rPr>
          <w:rFonts w:asciiTheme="minorHAnsi" w:eastAsia="Times New Roman" w:hAnsiTheme="minorHAnsi"/>
          <w:b/>
          <w:bCs/>
          <w:color w:val="auto"/>
          <w:lang w:val="sk-SK" w:eastAsia="sk-SK"/>
        </w:rPr>
        <w:t xml:space="preserve"> prof. Ing. Marcel </w:t>
      </w:r>
      <w:proofErr w:type="spellStart"/>
      <w:r w:rsidRPr="00C827AC">
        <w:rPr>
          <w:rFonts w:asciiTheme="minorHAnsi" w:eastAsia="Times New Roman" w:hAnsiTheme="minorHAnsi"/>
          <w:b/>
          <w:bCs/>
          <w:color w:val="auto"/>
          <w:lang w:val="sk-SK" w:eastAsia="sk-SK"/>
        </w:rPr>
        <w:t>Miglierini</w:t>
      </w:r>
      <w:proofErr w:type="spellEnd"/>
      <w:r w:rsidRPr="00C827AC">
        <w:rPr>
          <w:rFonts w:asciiTheme="minorHAnsi" w:eastAsia="Times New Roman" w:hAnsiTheme="minorHAnsi"/>
          <w:b/>
          <w:bCs/>
          <w:color w:val="auto"/>
          <w:lang w:val="sk-SK" w:eastAsia="sk-SK"/>
        </w:rPr>
        <w:t xml:space="preserve">, </w:t>
      </w:r>
      <w:proofErr w:type="spellStart"/>
      <w:r w:rsidRPr="00C827AC">
        <w:rPr>
          <w:rFonts w:asciiTheme="minorHAnsi" w:eastAsia="Times New Roman" w:hAnsiTheme="minorHAnsi"/>
          <w:b/>
          <w:bCs/>
          <w:color w:val="auto"/>
          <w:lang w:val="sk-SK" w:eastAsia="sk-SK"/>
        </w:rPr>
        <w:t>DrSC</w:t>
      </w:r>
      <w:proofErr w:type="spellEnd"/>
      <w:r w:rsidRPr="00C827AC">
        <w:rPr>
          <w:rFonts w:asciiTheme="minorHAnsi" w:eastAsia="Times New Roman" w:hAnsiTheme="minorHAnsi"/>
          <w:b/>
          <w:bCs/>
          <w:color w:val="auto"/>
          <w:lang w:val="sk-SK" w:eastAsia="sk-SK"/>
        </w:rPr>
        <w:t xml:space="preserve">.. </w:t>
      </w:r>
      <w:r w:rsidRPr="00C827AC">
        <w:rPr>
          <w:rFonts w:asciiTheme="minorHAnsi" w:eastAsia="Times New Roman" w:hAnsiTheme="minorHAnsi"/>
          <w:color w:val="auto"/>
          <w:lang w:val="sk-SK" w:eastAsia="sk-SK"/>
        </w:rPr>
        <w:t xml:space="preserve">Ocenený bol za súbor vedeckých prác, ktoré sa venujú </w:t>
      </w:r>
      <w:r w:rsidR="00C827AC" w:rsidRPr="00C827AC">
        <w:rPr>
          <w:rFonts w:asciiTheme="minorHAnsi" w:eastAsia="Times New Roman" w:hAnsiTheme="minorHAnsi"/>
          <w:color w:val="auto"/>
          <w:lang w:val="sk-SK" w:eastAsia="sk-SK"/>
        </w:rPr>
        <w:t>aplikáciám</w:t>
      </w:r>
      <w:r w:rsidRPr="00C827AC">
        <w:rPr>
          <w:rFonts w:asciiTheme="minorHAnsi" w:eastAsia="Times New Roman" w:hAnsiTheme="minorHAnsi"/>
          <w:color w:val="auto"/>
          <w:lang w:val="sk-SK" w:eastAsia="sk-SK"/>
        </w:rPr>
        <w:t xml:space="preserve"> jadrového rezonančného rozptylu </w:t>
      </w:r>
      <w:proofErr w:type="spellStart"/>
      <w:r w:rsidRPr="00C827AC">
        <w:rPr>
          <w:rFonts w:asciiTheme="minorHAnsi" w:eastAsia="Times New Roman" w:hAnsiTheme="minorHAnsi"/>
          <w:color w:val="auto"/>
          <w:lang w:val="sk-SK" w:eastAsia="sk-SK"/>
        </w:rPr>
        <w:lastRenderedPageBreak/>
        <w:t>synchrotónového</w:t>
      </w:r>
      <w:proofErr w:type="spellEnd"/>
      <w:r w:rsidRPr="00C827AC">
        <w:rPr>
          <w:rFonts w:asciiTheme="minorHAnsi" w:eastAsia="Times New Roman" w:hAnsiTheme="minorHAnsi"/>
          <w:color w:val="auto"/>
          <w:lang w:val="sk-SK" w:eastAsia="sk-SK"/>
        </w:rPr>
        <w:t xml:space="preserve"> žiarenia a za intenzívny výskum vlastností rôznych typov materiálov s využitím </w:t>
      </w:r>
      <w:proofErr w:type="spellStart"/>
      <w:r w:rsidRPr="00C827AC">
        <w:rPr>
          <w:rFonts w:asciiTheme="minorHAnsi" w:eastAsia="Times New Roman" w:hAnsiTheme="minorHAnsi"/>
          <w:color w:val="auto"/>
          <w:lang w:val="sk-SK" w:eastAsia="sk-SK"/>
        </w:rPr>
        <w:t>Mössbauerovej</w:t>
      </w:r>
      <w:proofErr w:type="spellEnd"/>
      <w:r w:rsidRPr="00C827AC">
        <w:rPr>
          <w:rFonts w:asciiTheme="minorHAnsi" w:eastAsia="Times New Roman" w:hAnsiTheme="minorHAnsi"/>
          <w:color w:val="auto"/>
          <w:lang w:val="sk-SK" w:eastAsia="sk-SK"/>
        </w:rPr>
        <w:t xml:space="preserve"> </w:t>
      </w:r>
      <w:proofErr w:type="spellStart"/>
      <w:r w:rsidRPr="00C827AC">
        <w:rPr>
          <w:rFonts w:asciiTheme="minorHAnsi" w:eastAsia="Times New Roman" w:hAnsiTheme="minorHAnsi"/>
          <w:color w:val="auto"/>
          <w:lang w:val="sk-SK" w:eastAsia="sk-SK"/>
        </w:rPr>
        <w:t>spektrometrie</w:t>
      </w:r>
      <w:proofErr w:type="spellEnd"/>
      <w:r w:rsidRPr="00C827AC">
        <w:rPr>
          <w:rFonts w:asciiTheme="minorHAnsi" w:eastAsia="Times New Roman" w:hAnsiTheme="minorHAnsi"/>
          <w:color w:val="auto"/>
          <w:lang w:val="sk-SK" w:eastAsia="sk-SK"/>
        </w:rPr>
        <w:t xml:space="preserve">. </w:t>
      </w:r>
      <w:r w:rsidRPr="00C827AC">
        <w:rPr>
          <w:rFonts w:asciiTheme="minorHAnsi" w:eastAsia="Times New Roman" w:hAnsiTheme="minorHAnsi"/>
          <w:lang w:val="sk-SK" w:eastAsia="sk-SK"/>
        </w:rPr>
        <w:t xml:space="preserve">Profesor </w:t>
      </w:r>
      <w:proofErr w:type="spellStart"/>
      <w:r w:rsidRPr="00C827AC">
        <w:rPr>
          <w:rFonts w:asciiTheme="minorHAnsi" w:eastAsia="Times New Roman" w:hAnsiTheme="minorHAnsi"/>
          <w:lang w:val="sk-SK" w:eastAsia="sk-SK"/>
        </w:rPr>
        <w:t>Miglierini</w:t>
      </w:r>
      <w:proofErr w:type="spellEnd"/>
      <w:r w:rsidRPr="00C827AC">
        <w:rPr>
          <w:rFonts w:asciiTheme="minorHAnsi" w:eastAsia="Times New Roman" w:hAnsiTheme="minorHAnsi"/>
          <w:lang w:val="sk-SK" w:eastAsia="sk-SK"/>
        </w:rPr>
        <w:t xml:space="preserve"> je autorom množstva príspevkov v najkvalitnejších vedeckých </w:t>
      </w:r>
      <w:r w:rsidR="00C827AC" w:rsidRPr="00C827AC">
        <w:rPr>
          <w:rFonts w:asciiTheme="minorHAnsi" w:eastAsia="Times New Roman" w:hAnsiTheme="minorHAnsi"/>
          <w:lang w:val="sk-SK" w:eastAsia="sk-SK"/>
        </w:rPr>
        <w:t>publikáciách</w:t>
      </w:r>
      <w:r w:rsidRPr="00C827AC">
        <w:rPr>
          <w:rFonts w:asciiTheme="minorHAnsi" w:eastAsia="Times New Roman" w:hAnsiTheme="minorHAnsi"/>
          <w:lang w:val="sk-SK" w:eastAsia="sk-SK"/>
        </w:rPr>
        <w:t xml:space="preserve">, za čo získal v roku 2001 aj ocenenie ako jeden zo štyroch najplodnejších autorom na svete publikujúcich práce z oblasti </w:t>
      </w:r>
      <w:proofErr w:type="spellStart"/>
      <w:r w:rsidRPr="00C827AC">
        <w:rPr>
          <w:rFonts w:asciiTheme="minorHAnsi" w:eastAsia="Times New Roman" w:hAnsiTheme="minorHAnsi"/>
          <w:lang w:val="sk-SK" w:eastAsia="sk-SK"/>
        </w:rPr>
        <w:t>Mössbauer</w:t>
      </w:r>
      <w:r w:rsidR="00D947F5">
        <w:rPr>
          <w:rFonts w:asciiTheme="minorHAnsi" w:eastAsia="Times New Roman" w:hAnsiTheme="minorHAnsi"/>
          <w:lang w:val="sk-SK" w:eastAsia="sk-SK"/>
        </w:rPr>
        <w:t>ovej</w:t>
      </w:r>
      <w:proofErr w:type="spellEnd"/>
      <w:r w:rsidR="00D947F5">
        <w:rPr>
          <w:rFonts w:asciiTheme="minorHAnsi" w:eastAsia="Times New Roman" w:hAnsiTheme="minorHAnsi"/>
          <w:lang w:val="sk-SK" w:eastAsia="sk-SK"/>
        </w:rPr>
        <w:t xml:space="preserve"> </w:t>
      </w:r>
      <w:proofErr w:type="spellStart"/>
      <w:r w:rsidR="00D947F5">
        <w:rPr>
          <w:rFonts w:asciiTheme="minorHAnsi" w:eastAsia="Times New Roman" w:hAnsiTheme="minorHAnsi"/>
          <w:lang w:val="sk-SK" w:eastAsia="sk-SK"/>
        </w:rPr>
        <w:t>spektrometrometrie</w:t>
      </w:r>
      <w:proofErr w:type="spellEnd"/>
      <w:r w:rsidR="00D947F5">
        <w:rPr>
          <w:rFonts w:asciiTheme="minorHAnsi" w:eastAsia="Times New Roman" w:hAnsiTheme="minorHAnsi"/>
          <w:lang w:val="sk-SK" w:eastAsia="sk-SK"/>
        </w:rPr>
        <w:t>.</w:t>
      </w:r>
    </w:p>
    <w:p w:rsidR="00B07AF0" w:rsidRPr="00C827AC" w:rsidRDefault="00B07AF0" w:rsidP="00B07AF0">
      <w:pPr>
        <w:pStyle w:val="Default"/>
        <w:spacing w:before="100"/>
        <w:jc w:val="both"/>
        <w:rPr>
          <w:rFonts w:asciiTheme="minorHAnsi" w:eastAsia="Times New Roman" w:hAnsiTheme="minorHAnsi"/>
          <w:lang w:val="sk-SK" w:eastAsia="sk-SK"/>
        </w:rPr>
      </w:pPr>
      <w:r w:rsidRPr="00C827AC">
        <w:rPr>
          <w:rFonts w:asciiTheme="minorHAnsi" w:eastAsia="Times New Roman" w:hAnsiTheme="minorHAnsi"/>
          <w:b/>
          <w:lang w:val="sk-SK" w:eastAsia="sk-SK"/>
        </w:rPr>
        <w:t>Mladým vedeckým pracovníkom STU 2015</w:t>
      </w:r>
      <w:r w:rsidRPr="00C827AC">
        <w:rPr>
          <w:rFonts w:asciiTheme="minorHAnsi" w:eastAsia="Times New Roman" w:hAnsiTheme="minorHAnsi"/>
          <w:lang w:val="sk-SK" w:eastAsia="sk-SK"/>
        </w:rPr>
        <w:t xml:space="preserve"> sa stal </w:t>
      </w:r>
      <w:r w:rsidRPr="00C827AC">
        <w:rPr>
          <w:rFonts w:asciiTheme="minorHAnsi" w:eastAsia="Times New Roman" w:hAnsiTheme="minorHAnsi"/>
          <w:b/>
          <w:bCs/>
          <w:lang w:val="sk-SK" w:eastAsia="sk-SK"/>
        </w:rPr>
        <w:t xml:space="preserve">Ing. Tomáš </w:t>
      </w:r>
      <w:proofErr w:type="spellStart"/>
      <w:r w:rsidRPr="00C827AC">
        <w:rPr>
          <w:rFonts w:asciiTheme="minorHAnsi" w:eastAsia="Times New Roman" w:hAnsiTheme="minorHAnsi"/>
          <w:b/>
          <w:bCs/>
          <w:lang w:val="sk-SK" w:eastAsia="sk-SK"/>
        </w:rPr>
        <w:t>Mackuľak</w:t>
      </w:r>
      <w:proofErr w:type="spellEnd"/>
      <w:r w:rsidRPr="00C827AC">
        <w:rPr>
          <w:rFonts w:asciiTheme="minorHAnsi" w:eastAsia="Times New Roman" w:hAnsiTheme="minorHAnsi"/>
          <w:b/>
          <w:bCs/>
          <w:lang w:val="sk-SK" w:eastAsia="sk-SK"/>
        </w:rPr>
        <w:t xml:space="preserve">, PhD. </w:t>
      </w:r>
      <w:r w:rsidRPr="00C827AC">
        <w:rPr>
          <w:rFonts w:asciiTheme="minorHAnsi" w:eastAsia="Times New Roman" w:hAnsiTheme="minorHAnsi"/>
          <w:lang w:val="sk-SK" w:eastAsia="sk-SK"/>
        </w:rPr>
        <w:t xml:space="preserve">Vo svojej práci sa zaoberá analýzou a monitoringom prítomnosti drog,  liečiv či pesticídov v odpadových vodách vo vybraných mestách Slovenska. Následne spolu s tímom hľadajú spôsoby degradácie týchto </w:t>
      </w:r>
      <w:proofErr w:type="spellStart"/>
      <w:r w:rsidRPr="00C827AC">
        <w:rPr>
          <w:rFonts w:asciiTheme="minorHAnsi" w:eastAsia="Times New Roman" w:hAnsiTheme="minorHAnsi"/>
          <w:lang w:val="sk-SK" w:eastAsia="sk-SK"/>
        </w:rPr>
        <w:t>mikropolutantov</w:t>
      </w:r>
      <w:proofErr w:type="spellEnd"/>
      <w:r w:rsidRPr="00C827AC">
        <w:rPr>
          <w:rFonts w:asciiTheme="minorHAnsi" w:eastAsia="Times New Roman" w:hAnsiTheme="minorHAnsi"/>
          <w:lang w:val="sk-SK" w:eastAsia="sk-SK"/>
        </w:rPr>
        <w:t xml:space="preserve">. Inžinier </w:t>
      </w:r>
      <w:proofErr w:type="spellStart"/>
      <w:r w:rsidRPr="00C827AC">
        <w:rPr>
          <w:rFonts w:asciiTheme="minorHAnsi" w:eastAsia="Times New Roman" w:hAnsiTheme="minorHAnsi"/>
          <w:lang w:val="sk-SK" w:eastAsia="sk-SK"/>
        </w:rPr>
        <w:t>Mackuľak</w:t>
      </w:r>
      <w:proofErr w:type="spellEnd"/>
      <w:r w:rsidRPr="00C827AC">
        <w:rPr>
          <w:rFonts w:asciiTheme="minorHAnsi" w:eastAsia="Times New Roman" w:hAnsiTheme="minorHAnsi"/>
          <w:lang w:val="sk-SK" w:eastAsia="sk-SK"/>
        </w:rPr>
        <w:t xml:space="preserve"> sa podieľal tiež na riešení problematiky čistenia odpadových vôd s významnými podnikmi na Slovensku, je riešiteľom viac ako 10 zmlúv s praxou.</w:t>
      </w:r>
    </w:p>
    <w:p w:rsidR="00B51749" w:rsidRDefault="00B51749" w:rsidP="00B51749">
      <w:pPr>
        <w:rPr>
          <w:rFonts w:asciiTheme="minorHAnsi" w:hAnsiTheme="minorHAnsi"/>
          <w:color w:val="FF0000"/>
        </w:rPr>
      </w:pPr>
    </w:p>
    <w:p w:rsidR="00D947F5" w:rsidRPr="00C827AC" w:rsidRDefault="00D947F5" w:rsidP="00B51749">
      <w:pPr>
        <w:rPr>
          <w:rFonts w:asciiTheme="minorHAnsi" w:hAnsiTheme="minorHAnsi"/>
          <w:color w:val="FF0000"/>
        </w:rPr>
      </w:pPr>
    </w:p>
    <w:p w:rsidR="00B51749" w:rsidRDefault="00B51749" w:rsidP="00B51749">
      <w:pPr>
        <w:pStyle w:val="Nadpis3"/>
        <w:rPr>
          <w:rFonts w:asciiTheme="minorHAnsi" w:hAnsiTheme="minorHAnsi"/>
          <w:color w:val="auto"/>
        </w:rPr>
      </w:pPr>
      <w:bookmarkStart w:id="37" w:name="_Toc448261579"/>
      <w:r w:rsidRPr="00C827AC">
        <w:rPr>
          <w:rFonts w:asciiTheme="minorHAnsi" w:hAnsiTheme="minorHAnsi"/>
          <w:color w:val="auto"/>
        </w:rPr>
        <w:t>Výzva o najlepšiu publikáciu</w:t>
      </w:r>
      <w:bookmarkEnd w:id="37"/>
    </w:p>
    <w:p w:rsidR="00D947F5" w:rsidRPr="00D947F5" w:rsidRDefault="00D947F5" w:rsidP="00520814">
      <w:pPr>
        <w:rPr>
          <w:lang w:eastAsia="cs-CZ"/>
        </w:rPr>
      </w:pPr>
    </w:p>
    <w:p w:rsidR="003C19C6" w:rsidRPr="00822A50" w:rsidRDefault="00B51749" w:rsidP="00520814">
      <w:pPr>
        <w:ind w:left="-142"/>
        <w:rPr>
          <w:rFonts w:asciiTheme="minorHAnsi" w:hAnsiTheme="minorHAnsi"/>
        </w:rPr>
      </w:pPr>
      <w:r w:rsidRPr="002D7A10">
        <w:rPr>
          <w:rFonts w:asciiTheme="minorHAnsi" w:hAnsiTheme="minorHAnsi"/>
        </w:rPr>
        <w:t xml:space="preserve">Všetky medzinárodné </w:t>
      </w:r>
      <w:proofErr w:type="spellStart"/>
      <w:r w:rsidRPr="002D7A10">
        <w:rPr>
          <w:rFonts w:asciiTheme="minorHAnsi" w:hAnsiTheme="minorHAnsi"/>
        </w:rPr>
        <w:t>rankingové</w:t>
      </w:r>
      <w:proofErr w:type="spellEnd"/>
      <w:r w:rsidRPr="002D7A10">
        <w:rPr>
          <w:rFonts w:asciiTheme="minorHAnsi" w:hAnsiTheme="minorHAnsi"/>
        </w:rPr>
        <w:t xml:space="preserve"> agentúry ako jeden z primárnych vstupov pre hodnotenie aplikujú informácie o publikačných aktivitách hodnoteného subjektu s akcentom na vedecké publikácie v špičkových vysoko </w:t>
      </w:r>
      <w:proofErr w:type="spellStart"/>
      <w:r w:rsidRPr="002D7A10">
        <w:rPr>
          <w:rFonts w:asciiTheme="minorHAnsi" w:hAnsiTheme="minorHAnsi"/>
        </w:rPr>
        <w:t>impaktovaných</w:t>
      </w:r>
      <w:proofErr w:type="spellEnd"/>
      <w:r w:rsidRPr="002D7A10">
        <w:rPr>
          <w:rFonts w:asciiTheme="minorHAnsi" w:hAnsiTheme="minorHAnsi"/>
        </w:rPr>
        <w:t xml:space="preserve"> periodikách.</w:t>
      </w:r>
      <w:r w:rsidR="00822A50">
        <w:rPr>
          <w:rFonts w:asciiTheme="minorHAnsi" w:hAnsiTheme="minorHAnsi"/>
        </w:rPr>
        <w:t xml:space="preserve"> </w:t>
      </w:r>
      <w:r w:rsidRPr="002D7A10">
        <w:rPr>
          <w:rFonts w:asciiTheme="minorHAnsi" w:hAnsiTheme="minorHAnsi"/>
        </w:rPr>
        <w:t xml:space="preserve">Takto </w:t>
      </w:r>
      <w:r w:rsidRPr="00822A50">
        <w:rPr>
          <w:rFonts w:asciiTheme="minorHAnsi" w:hAnsiTheme="minorHAnsi"/>
        </w:rPr>
        <w:t xml:space="preserve">napr. špeciálne miesto v hodnotiacich kritériách má publikovanie v časopisoch </w:t>
      </w:r>
      <w:proofErr w:type="spellStart"/>
      <w:r w:rsidRPr="00822A50">
        <w:rPr>
          <w:rFonts w:asciiTheme="minorHAnsi" w:hAnsiTheme="minorHAnsi"/>
        </w:rPr>
        <w:t>Nature</w:t>
      </w:r>
      <w:proofErr w:type="spellEnd"/>
      <w:r w:rsidRPr="00822A50">
        <w:rPr>
          <w:rFonts w:asciiTheme="minorHAnsi" w:hAnsiTheme="minorHAnsi"/>
        </w:rPr>
        <w:t xml:space="preserve"> a </w:t>
      </w:r>
      <w:proofErr w:type="spellStart"/>
      <w:r w:rsidRPr="00822A50">
        <w:rPr>
          <w:rFonts w:asciiTheme="minorHAnsi" w:hAnsiTheme="minorHAnsi"/>
        </w:rPr>
        <w:t>Science</w:t>
      </w:r>
      <w:proofErr w:type="spellEnd"/>
      <w:r w:rsidRPr="00822A50">
        <w:rPr>
          <w:rFonts w:asciiTheme="minorHAnsi" w:hAnsiTheme="minorHAnsi"/>
        </w:rPr>
        <w:t>. Od roku 1996 podľa informácií dostupných z databázy SCOPUS žiaden pracovník STU nepublikoval v uvedených periodikách, pričom v časopise NATURE (IF=38,1) bolo na Slovensku 20 publikácií a v časopise SCIENCE (IF=31,0) 39 publikácií, väčšinou v spoluautorstve od pracovníkov SAV prípadne UK.</w:t>
      </w:r>
      <w:r w:rsidR="003C19C6" w:rsidRPr="00822A50">
        <w:rPr>
          <w:rFonts w:asciiTheme="minorHAnsi" w:hAnsiTheme="minorHAnsi"/>
        </w:rPr>
        <w:t xml:space="preserve"> Rektor STU </w:t>
      </w:r>
      <w:r w:rsidR="003C19C6" w:rsidRPr="00822A50">
        <w:rPr>
          <w:rFonts w:asciiTheme="minorHAnsi" w:hAnsiTheme="minorHAnsi" w:cs="Calibri"/>
          <w:bCs/>
        </w:rPr>
        <w:t>v snahe naplniť jednu z kľúčových úloh Vedenia STU smerujúcu k posilneniu motivácie pracovníkov STU na publikovanie v špičkových a </w:t>
      </w:r>
      <w:proofErr w:type="spellStart"/>
      <w:r w:rsidR="003C19C6" w:rsidRPr="00822A50">
        <w:rPr>
          <w:rFonts w:asciiTheme="minorHAnsi" w:hAnsiTheme="minorHAnsi" w:cs="Calibri"/>
          <w:bCs/>
        </w:rPr>
        <w:t>vysokoimpaktovaných</w:t>
      </w:r>
      <w:proofErr w:type="spellEnd"/>
      <w:r w:rsidR="003C19C6" w:rsidRPr="00822A50">
        <w:rPr>
          <w:rFonts w:asciiTheme="minorHAnsi" w:hAnsiTheme="minorHAnsi" w:cs="Calibri"/>
          <w:bCs/>
        </w:rPr>
        <w:t xml:space="preserve"> periodikách </w:t>
      </w:r>
      <w:proofErr w:type="spellStart"/>
      <w:r w:rsidR="003C19C6" w:rsidRPr="00822A50">
        <w:rPr>
          <w:rFonts w:asciiTheme="minorHAnsi" w:hAnsiTheme="minorHAnsi" w:cs="Calibri"/>
          <w:bCs/>
        </w:rPr>
        <w:t>vyhlasil</w:t>
      </w:r>
      <w:proofErr w:type="spellEnd"/>
      <w:r w:rsidR="003C19C6" w:rsidRPr="00822A50">
        <w:rPr>
          <w:rFonts w:asciiTheme="minorHAnsi" w:hAnsiTheme="minorHAnsi" w:cs="Calibri"/>
          <w:bCs/>
        </w:rPr>
        <w:t xml:space="preserve"> finančne dotovanú výzvu o :</w:t>
      </w:r>
    </w:p>
    <w:p w:rsidR="003C19C6" w:rsidRPr="00822A50" w:rsidRDefault="003C19C6" w:rsidP="00520814">
      <w:pPr>
        <w:pStyle w:val="Odsekzoznamu"/>
        <w:numPr>
          <w:ilvl w:val="0"/>
          <w:numId w:val="6"/>
        </w:numPr>
        <w:spacing w:line="240" w:lineRule="auto"/>
        <w:rPr>
          <w:rFonts w:asciiTheme="minorHAnsi" w:hAnsiTheme="minorHAnsi"/>
          <w:sz w:val="24"/>
          <w:szCs w:val="24"/>
        </w:rPr>
      </w:pPr>
      <w:r w:rsidRPr="00822A50">
        <w:rPr>
          <w:rFonts w:asciiTheme="minorHAnsi" w:hAnsiTheme="minorHAnsi"/>
          <w:sz w:val="24"/>
          <w:szCs w:val="24"/>
        </w:rPr>
        <w:t xml:space="preserve">Publikácie v časopise NATURE alebo SCIENCE alebo autora  publikácií s najvyšším počtom citácií podľa databázy najcitovanejších publikácií evidovaných na </w:t>
      </w:r>
      <w:proofErr w:type="spellStart"/>
      <w:r w:rsidRPr="00822A50">
        <w:rPr>
          <w:rFonts w:asciiTheme="minorHAnsi" w:hAnsiTheme="minorHAnsi"/>
          <w:sz w:val="24"/>
          <w:szCs w:val="24"/>
        </w:rPr>
        <w:t>www</w:t>
      </w:r>
      <w:proofErr w:type="spellEnd"/>
      <w:r w:rsidRPr="00822A50">
        <w:rPr>
          <w:rFonts w:asciiTheme="minorHAnsi" w:hAnsiTheme="minorHAnsi"/>
          <w:sz w:val="24"/>
          <w:szCs w:val="24"/>
        </w:rPr>
        <w:t xml:space="preserve"> stránke </w:t>
      </w:r>
      <w:proofErr w:type="spellStart"/>
      <w:r w:rsidRPr="00822A50">
        <w:rPr>
          <w:rFonts w:asciiTheme="minorHAnsi" w:hAnsiTheme="minorHAnsi"/>
          <w:sz w:val="24"/>
          <w:szCs w:val="24"/>
        </w:rPr>
        <w:t>Thomson</w:t>
      </w:r>
      <w:proofErr w:type="spellEnd"/>
      <w:r w:rsidRPr="00822A50">
        <w:rPr>
          <w:rFonts w:asciiTheme="minorHAnsi" w:hAnsiTheme="minorHAnsi"/>
          <w:sz w:val="24"/>
          <w:szCs w:val="24"/>
        </w:rPr>
        <w:t xml:space="preserve"> </w:t>
      </w:r>
      <w:proofErr w:type="spellStart"/>
      <w:r w:rsidRPr="00822A50">
        <w:rPr>
          <w:rFonts w:asciiTheme="minorHAnsi" w:hAnsiTheme="minorHAnsi"/>
          <w:sz w:val="24"/>
          <w:szCs w:val="24"/>
        </w:rPr>
        <w:t>Reuters</w:t>
      </w:r>
      <w:proofErr w:type="spellEnd"/>
      <w:r w:rsidRPr="00822A50">
        <w:rPr>
          <w:rFonts w:asciiTheme="minorHAnsi" w:hAnsiTheme="minorHAnsi"/>
          <w:sz w:val="24"/>
          <w:szCs w:val="24"/>
        </w:rPr>
        <w:t xml:space="preserve"> : </w:t>
      </w:r>
      <w:hyperlink r:id="rId54" w:tgtFrame="_blank" w:history="1">
        <w:r w:rsidRPr="00822A50">
          <w:rPr>
            <w:rStyle w:val="Hypertextovprepojenie"/>
            <w:rFonts w:asciiTheme="minorHAnsi" w:hAnsiTheme="minorHAnsi" w:cs="Courier New"/>
            <w:sz w:val="24"/>
            <w:szCs w:val="24"/>
          </w:rPr>
          <w:t>http://highlycited.com/</w:t>
        </w:r>
      </w:hyperlink>
      <w:r w:rsidRPr="00822A50">
        <w:rPr>
          <w:rFonts w:asciiTheme="minorHAnsi" w:hAnsiTheme="minorHAnsi"/>
          <w:sz w:val="24"/>
          <w:szCs w:val="24"/>
        </w:rPr>
        <w:t>.</w:t>
      </w:r>
    </w:p>
    <w:p w:rsidR="003C19C6" w:rsidRPr="00651908" w:rsidRDefault="003C19C6" w:rsidP="00520814">
      <w:pPr>
        <w:pStyle w:val="Odsekzoznamu"/>
        <w:numPr>
          <w:ilvl w:val="0"/>
          <w:numId w:val="6"/>
        </w:numPr>
        <w:spacing w:after="0" w:line="240" w:lineRule="auto"/>
        <w:rPr>
          <w:rFonts w:asciiTheme="minorHAnsi" w:hAnsiTheme="minorHAnsi"/>
          <w:sz w:val="24"/>
          <w:szCs w:val="24"/>
        </w:rPr>
      </w:pPr>
      <w:r w:rsidRPr="00822A50">
        <w:rPr>
          <w:rFonts w:asciiTheme="minorHAnsi" w:hAnsiTheme="minorHAnsi"/>
          <w:sz w:val="24"/>
          <w:szCs w:val="24"/>
        </w:rPr>
        <w:t xml:space="preserve">Publikácie, ktoré vyšli v roku 2015 v časopisoch, ktoré spadajú do 10 % </w:t>
      </w:r>
      <w:proofErr w:type="spellStart"/>
      <w:r w:rsidRPr="00822A50">
        <w:rPr>
          <w:rFonts w:asciiTheme="minorHAnsi" w:hAnsiTheme="minorHAnsi"/>
          <w:sz w:val="24"/>
          <w:szCs w:val="24"/>
        </w:rPr>
        <w:t>percentilu</w:t>
      </w:r>
      <w:proofErr w:type="spellEnd"/>
      <w:r w:rsidRPr="00822A50">
        <w:rPr>
          <w:rFonts w:asciiTheme="minorHAnsi" w:hAnsiTheme="minorHAnsi"/>
          <w:sz w:val="24"/>
          <w:szCs w:val="24"/>
        </w:rPr>
        <w:t xml:space="preserve"> časopisov podľa </w:t>
      </w:r>
      <w:proofErr w:type="spellStart"/>
      <w:r w:rsidRPr="00822A50">
        <w:rPr>
          <w:rFonts w:asciiTheme="minorHAnsi" w:hAnsiTheme="minorHAnsi"/>
          <w:sz w:val="24"/>
          <w:szCs w:val="24"/>
        </w:rPr>
        <w:t>impakt</w:t>
      </w:r>
      <w:proofErr w:type="spellEnd"/>
      <w:r w:rsidRPr="00822A50">
        <w:rPr>
          <w:rFonts w:asciiTheme="minorHAnsi" w:hAnsiTheme="minorHAnsi"/>
          <w:sz w:val="24"/>
          <w:szCs w:val="24"/>
        </w:rPr>
        <w:t xml:space="preserve"> faktorov (IF podľa jednotlivých vedných odborov vedených v JCR </w:t>
      </w:r>
      <w:proofErr w:type="spellStart"/>
      <w:r w:rsidRPr="00822A50">
        <w:rPr>
          <w:rFonts w:asciiTheme="minorHAnsi" w:hAnsiTheme="minorHAnsi"/>
          <w:sz w:val="24"/>
          <w:szCs w:val="24"/>
        </w:rPr>
        <w:t>Thomson</w:t>
      </w:r>
      <w:proofErr w:type="spellEnd"/>
      <w:r w:rsidRPr="00822A50">
        <w:rPr>
          <w:rFonts w:asciiTheme="minorHAnsi" w:hAnsiTheme="minorHAnsi"/>
          <w:sz w:val="24"/>
          <w:szCs w:val="24"/>
        </w:rPr>
        <w:t xml:space="preserve"> </w:t>
      </w:r>
      <w:proofErr w:type="spellStart"/>
      <w:r w:rsidRPr="00822A50">
        <w:rPr>
          <w:rFonts w:asciiTheme="minorHAnsi" w:hAnsiTheme="minorHAnsi"/>
          <w:sz w:val="24"/>
          <w:szCs w:val="24"/>
        </w:rPr>
        <w:t>Reuters</w:t>
      </w:r>
      <w:proofErr w:type="spellEnd"/>
      <w:r w:rsidRPr="00822A50">
        <w:rPr>
          <w:rFonts w:asciiTheme="minorHAnsi" w:hAnsiTheme="minorHAnsi"/>
          <w:sz w:val="24"/>
          <w:szCs w:val="24"/>
        </w:rPr>
        <w:t>, viď Príloha). V </w:t>
      </w:r>
      <w:r w:rsidRPr="00651908">
        <w:rPr>
          <w:rFonts w:asciiTheme="minorHAnsi" w:hAnsiTheme="minorHAnsi"/>
          <w:sz w:val="24"/>
          <w:szCs w:val="24"/>
        </w:rPr>
        <w:t xml:space="preserve">prípade viacerých publikácií predložených na ocenenie, rektor rozhodne o ocenených </w:t>
      </w:r>
      <w:proofErr w:type="spellStart"/>
      <w:r w:rsidRPr="00651908">
        <w:rPr>
          <w:rFonts w:asciiTheme="minorHAnsi" w:hAnsiTheme="minorHAnsi"/>
          <w:sz w:val="24"/>
          <w:szCs w:val="24"/>
        </w:rPr>
        <w:t>publikáciach</w:t>
      </w:r>
      <w:proofErr w:type="spellEnd"/>
      <w:r w:rsidRPr="00651908">
        <w:rPr>
          <w:rFonts w:asciiTheme="minorHAnsi" w:hAnsiTheme="minorHAnsi"/>
          <w:sz w:val="24"/>
          <w:szCs w:val="24"/>
        </w:rPr>
        <w:t>.</w:t>
      </w:r>
    </w:p>
    <w:p w:rsidR="00822A50" w:rsidRDefault="003C19C6" w:rsidP="00520814">
      <w:pPr>
        <w:pStyle w:val="Odsekzoznamu"/>
        <w:numPr>
          <w:ilvl w:val="0"/>
          <w:numId w:val="6"/>
        </w:numPr>
        <w:spacing w:after="0" w:line="240" w:lineRule="auto"/>
        <w:rPr>
          <w:rFonts w:asciiTheme="minorHAnsi" w:hAnsiTheme="minorHAnsi"/>
          <w:sz w:val="24"/>
          <w:szCs w:val="24"/>
        </w:rPr>
      </w:pPr>
      <w:r w:rsidRPr="00651908">
        <w:rPr>
          <w:rFonts w:asciiTheme="minorHAnsi" w:hAnsiTheme="minorHAnsi"/>
          <w:sz w:val="24"/>
          <w:szCs w:val="24"/>
        </w:rPr>
        <w:t>Publikáciu, ktorá bola publikovaná v rokoch 2013-2015 a mala n</w:t>
      </w:r>
      <w:r w:rsidR="00822A50" w:rsidRPr="00651908">
        <w:rPr>
          <w:rFonts w:asciiTheme="minorHAnsi" w:hAnsiTheme="minorHAnsi"/>
          <w:sz w:val="24"/>
          <w:szCs w:val="24"/>
        </w:rPr>
        <w:t>ajvyšší počet ohlasov podľa SCI.</w:t>
      </w:r>
    </w:p>
    <w:p w:rsidR="00651908" w:rsidRPr="00651908" w:rsidRDefault="00651908" w:rsidP="00651908">
      <w:pPr>
        <w:pStyle w:val="Odsekzoznamu"/>
        <w:spacing w:after="0" w:line="240" w:lineRule="auto"/>
        <w:ind w:left="1068"/>
        <w:rPr>
          <w:rFonts w:asciiTheme="minorHAnsi" w:hAnsiTheme="minorHAnsi"/>
          <w:sz w:val="24"/>
          <w:szCs w:val="24"/>
        </w:rPr>
      </w:pPr>
    </w:p>
    <w:p w:rsidR="00651908" w:rsidRDefault="00651908" w:rsidP="00651908">
      <w:pPr>
        <w:rPr>
          <w:rFonts w:asciiTheme="minorHAnsi" w:hAnsiTheme="minorHAnsi"/>
        </w:rPr>
      </w:pPr>
      <w:r w:rsidRPr="00651908">
        <w:rPr>
          <w:rFonts w:asciiTheme="minorHAnsi" w:hAnsiTheme="minorHAnsi"/>
        </w:rPr>
        <w:t xml:space="preserve">Za rok 2015 boli ocenení nasledovní pracovníci </w:t>
      </w:r>
      <w:proofErr w:type="spellStart"/>
      <w:r w:rsidRPr="00651908">
        <w:rPr>
          <w:rFonts w:asciiTheme="minorHAnsi" w:hAnsiTheme="minorHAnsi"/>
        </w:rPr>
        <w:t>SLovenskej</w:t>
      </w:r>
      <w:proofErr w:type="spellEnd"/>
      <w:r w:rsidRPr="00651908">
        <w:rPr>
          <w:rFonts w:asciiTheme="minorHAnsi" w:hAnsiTheme="minorHAnsi"/>
        </w:rPr>
        <w:t xml:space="preserve"> technickej univerzity :</w:t>
      </w:r>
    </w:p>
    <w:p w:rsidR="00651908" w:rsidRPr="00651908" w:rsidRDefault="00651908" w:rsidP="00651908">
      <w:pPr>
        <w:rPr>
          <w:rFonts w:asciiTheme="minorHAnsi" w:hAnsiTheme="minorHAnsi"/>
        </w:rPr>
      </w:pPr>
    </w:p>
    <w:p w:rsidR="00651908" w:rsidRDefault="00651908" w:rsidP="00651908">
      <w:pPr>
        <w:rPr>
          <w:rFonts w:asciiTheme="minorHAnsi" w:hAnsiTheme="minorHAnsi"/>
          <w:b/>
        </w:rPr>
      </w:pPr>
      <w:r w:rsidRPr="00651908">
        <w:rPr>
          <w:rFonts w:asciiTheme="minorHAnsi" w:hAnsiTheme="minorHAnsi"/>
          <w:b/>
        </w:rPr>
        <w:t>V kategórii 1</w:t>
      </w:r>
      <w:r>
        <w:rPr>
          <w:rFonts w:asciiTheme="minorHAnsi" w:hAnsiTheme="minorHAnsi"/>
          <w:b/>
        </w:rPr>
        <w:t xml:space="preserve"> - </w:t>
      </w:r>
      <w:r w:rsidRPr="00651908">
        <w:rPr>
          <w:rFonts w:asciiTheme="minorHAnsi" w:hAnsiTheme="minorHAnsi"/>
        </w:rPr>
        <w:t>(práca evidovaná v databáze</w:t>
      </w:r>
      <w:r w:rsidRPr="00651908">
        <w:rPr>
          <w:rFonts w:asciiTheme="minorHAnsi" w:hAnsiTheme="minorHAnsi"/>
          <w:b/>
        </w:rPr>
        <w:t xml:space="preserve"> </w:t>
      </w:r>
      <w:hyperlink r:id="rId55" w:history="1">
        <w:r w:rsidRPr="00651908">
          <w:rPr>
            <w:rStyle w:val="Hypertextovprepojenie"/>
            <w:rFonts w:asciiTheme="minorHAnsi" w:hAnsiTheme="minorHAnsi"/>
            <w:color w:val="auto"/>
          </w:rPr>
          <w:t>www.mostcited.com</w:t>
        </w:r>
      </w:hyperlink>
      <w:r w:rsidR="00126701">
        <w:rPr>
          <w:rStyle w:val="Hypertextovprepojenie"/>
          <w:rFonts w:asciiTheme="minorHAnsi" w:hAnsiTheme="minorHAnsi"/>
          <w:color w:val="auto"/>
        </w:rPr>
        <w:t xml:space="preserve">. </w:t>
      </w:r>
      <w:r w:rsidR="00126701" w:rsidRPr="00126701">
        <w:rPr>
          <w:rFonts w:asciiTheme="minorHAnsi" w:hAnsiTheme="minorHAnsi"/>
        </w:rPr>
        <w:t>Je jediným autorom zo Slovenska medzi najcitovanejšími autormi</w:t>
      </w:r>
      <w:r w:rsidR="00115561">
        <w:rPr>
          <w:rFonts w:asciiTheme="minorHAnsi" w:hAnsiTheme="minorHAnsi"/>
        </w:rPr>
        <w:t xml:space="preserve"> sveta</w:t>
      </w:r>
      <w:r w:rsidR="00126701" w:rsidRPr="00126701">
        <w:rPr>
          <w:rFonts w:asciiTheme="minorHAnsi" w:hAnsiTheme="minorHAnsi"/>
        </w:rPr>
        <w:t>.</w:t>
      </w:r>
      <w:r w:rsidRPr="00126701">
        <w:rPr>
          <w:rStyle w:val="Hypertextovprepojenie"/>
          <w:rFonts w:asciiTheme="minorHAnsi" w:hAnsiTheme="minorHAnsi"/>
          <w:color w:val="auto"/>
        </w:rPr>
        <w:t xml:space="preserve"> </w:t>
      </w:r>
      <w:proofErr w:type="spellStart"/>
      <w:r w:rsidRPr="00126701">
        <w:rPr>
          <w:rStyle w:val="Hypertextovprepojenie"/>
          <w:rFonts w:asciiTheme="minorHAnsi" w:hAnsiTheme="minorHAnsi"/>
          <w:color w:val="auto"/>
        </w:rPr>
        <w:t>Th</w:t>
      </w:r>
      <w:r w:rsidRPr="00651908">
        <w:rPr>
          <w:rStyle w:val="Hypertextovprepojenie"/>
          <w:rFonts w:asciiTheme="minorHAnsi" w:hAnsiTheme="minorHAnsi"/>
          <w:color w:val="auto"/>
        </w:rPr>
        <w:t>omson</w:t>
      </w:r>
      <w:proofErr w:type="spellEnd"/>
      <w:r w:rsidRPr="00651908">
        <w:rPr>
          <w:rStyle w:val="Hypertextovprepojenie"/>
          <w:rFonts w:asciiTheme="minorHAnsi" w:hAnsiTheme="minorHAnsi"/>
          <w:color w:val="auto"/>
        </w:rPr>
        <w:t xml:space="preserve"> </w:t>
      </w:r>
      <w:proofErr w:type="spellStart"/>
      <w:r w:rsidRPr="00651908">
        <w:rPr>
          <w:rStyle w:val="Hypertextovprepojenie"/>
          <w:rFonts w:asciiTheme="minorHAnsi" w:hAnsiTheme="minorHAnsi"/>
          <w:color w:val="auto"/>
        </w:rPr>
        <w:t>Reuters</w:t>
      </w:r>
      <w:proofErr w:type="spellEnd"/>
      <w:r w:rsidRPr="00651908">
        <w:rPr>
          <w:rStyle w:val="Hypertextovprepojenie"/>
          <w:rFonts w:asciiTheme="minorHAnsi" w:hAnsiTheme="minorHAnsi"/>
          <w:color w:val="auto"/>
        </w:rPr>
        <w:t xml:space="preserve"> vydal v r. 2016 publikáciu THE WORLD’S MOST INFLUENTIAL SCIENTIFIC MINDS 2015, kde je rovnako uvedený</w:t>
      </w:r>
      <w:r>
        <w:rPr>
          <w:rFonts w:asciiTheme="minorHAnsi" w:hAnsiTheme="minorHAnsi"/>
          <w:b/>
        </w:rPr>
        <w:t xml:space="preserve">): </w:t>
      </w:r>
      <w:r w:rsidRPr="00651908">
        <w:rPr>
          <w:rFonts w:asciiTheme="minorHAnsi" w:hAnsiTheme="minorHAnsi"/>
          <w:b/>
        </w:rPr>
        <w:t xml:space="preserve">Ing. Marián Valko, </w:t>
      </w:r>
      <w:proofErr w:type="spellStart"/>
      <w:r w:rsidRPr="00651908">
        <w:rPr>
          <w:rFonts w:asciiTheme="minorHAnsi" w:hAnsiTheme="minorHAnsi"/>
          <w:b/>
        </w:rPr>
        <w:t>DrSc</w:t>
      </w:r>
      <w:proofErr w:type="spellEnd"/>
      <w:r w:rsidRPr="00651908">
        <w:rPr>
          <w:rFonts w:asciiTheme="minorHAnsi" w:hAnsiTheme="minorHAnsi"/>
          <w:b/>
        </w:rPr>
        <w:t>, FCHPT</w:t>
      </w:r>
      <w:r>
        <w:rPr>
          <w:rFonts w:asciiTheme="minorHAnsi" w:hAnsiTheme="minorHAnsi"/>
          <w:b/>
        </w:rPr>
        <w:t xml:space="preserve"> </w:t>
      </w:r>
      <w:r w:rsidRPr="00651908">
        <w:rPr>
          <w:rFonts w:asciiTheme="minorHAnsi" w:hAnsiTheme="minorHAnsi"/>
          <w:b/>
        </w:rPr>
        <w:t>(celkove 10 648 citácií)</w:t>
      </w:r>
      <w:r>
        <w:rPr>
          <w:rFonts w:asciiTheme="minorHAnsi" w:hAnsiTheme="minorHAnsi"/>
          <w:b/>
        </w:rPr>
        <w:t>.</w:t>
      </w:r>
    </w:p>
    <w:p w:rsidR="00651908" w:rsidRPr="00651908" w:rsidRDefault="00651908" w:rsidP="00651908">
      <w:pPr>
        <w:rPr>
          <w:rFonts w:asciiTheme="minorHAnsi" w:hAnsiTheme="minorHAnsi"/>
          <w:b/>
        </w:rPr>
      </w:pPr>
    </w:p>
    <w:p w:rsidR="00651908" w:rsidRDefault="00651908" w:rsidP="00651908">
      <w:pPr>
        <w:rPr>
          <w:rFonts w:asciiTheme="minorHAnsi" w:hAnsiTheme="minorHAnsi"/>
          <w:b/>
        </w:rPr>
      </w:pPr>
      <w:r w:rsidRPr="00651908">
        <w:rPr>
          <w:rFonts w:asciiTheme="minorHAnsi" w:hAnsiTheme="minorHAnsi"/>
          <w:b/>
        </w:rPr>
        <w:lastRenderedPageBreak/>
        <w:t>V kategórii 2</w:t>
      </w:r>
      <w:r w:rsidRPr="00651908">
        <w:rPr>
          <w:rFonts w:asciiTheme="minorHAnsi" w:hAnsiTheme="minorHAnsi"/>
        </w:rPr>
        <w:t xml:space="preserve">(práca s najvyšším </w:t>
      </w:r>
      <w:proofErr w:type="spellStart"/>
      <w:r w:rsidRPr="00651908">
        <w:rPr>
          <w:rFonts w:asciiTheme="minorHAnsi" w:hAnsiTheme="minorHAnsi"/>
        </w:rPr>
        <w:t>impact</w:t>
      </w:r>
      <w:proofErr w:type="spellEnd"/>
      <w:r w:rsidRPr="00651908">
        <w:rPr>
          <w:rFonts w:asciiTheme="minorHAnsi" w:hAnsiTheme="minorHAnsi"/>
        </w:rPr>
        <w:t xml:space="preserve"> faktorom v 10% </w:t>
      </w:r>
      <w:proofErr w:type="spellStart"/>
      <w:r w:rsidRPr="00651908">
        <w:rPr>
          <w:rFonts w:asciiTheme="minorHAnsi" w:hAnsiTheme="minorHAnsi"/>
        </w:rPr>
        <w:t>nom</w:t>
      </w:r>
      <w:proofErr w:type="spellEnd"/>
      <w:r w:rsidRPr="00651908">
        <w:rPr>
          <w:rFonts w:asciiTheme="minorHAnsi" w:hAnsiTheme="minorHAnsi"/>
        </w:rPr>
        <w:t xml:space="preserve"> </w:t>
      </w:r>
      <w:proofErr w:type="spellStart"/>
      <w:r w:rsidRPr="00651908">
        <w:rPr>
          <w:rFonts w:asciiTheme="minorHAnsi" w:hAnsiTheme="minorHAnsi"/>
        </w:rPr>
        <w:t>percentile</w:t>
      </w:r>
      <w:proofErr w:type="spellEnd"/>
      <w:r w:rsidRPr="00651908">
        <w:rPr>
          <w:rFonts w:asciiTheme="minorHAnsi" w:hAnsiTheme="minorHAnsi"/>
        </w:rPr>
        <w:t xml:space="preserve"> časopisov v danej vednej oblasti podľa databázy JC</w:t>
      </w:r>
      <w:r>
        <w:rPr>
          <w:rFonts w:asciiTheme="minorHAnsi" w:hAnsiTheme="minorHAnsi"/>
        </w:rPr>
        <w:t>R WOS)</w:t>
      </w:r>
      <w:r w:rsidRPr="00651908">
        <w:rPr>
          <w:rFonts w:asciiTheme="minorHAnsi" w:hAnsiTheme="minorHAnsi"/>
        </w:rPr>
        <w:t>:</w:t>
      </w:r>
      <w:r>
        <w:rPr>
          <w:rFonts w:asciiTheme="minorHAnsi" w:hAnsiTheme="minorHAnsi"/>
          <w:b/>
        </w:rPr>
        <w:t xml:space="preserve"> </w:t>
      </w:r>
    </w:p>
    <w:p w:rsidR="00651908" w:rsidRPr="00651908" w:rsidRDefault="00651908" w:rsidP="00651908">
      <w:pPr>
        <w:rPr>
          <w:rFonts w:asciiTheme="minorHAnsi" w:hAnsiTheme="minorHAnsi"/>
          <w:b/>
        </w:rPr>
      </w:pPr>
      <w:r w:rsidRPr="00651908">
        <w:rPr>
          <w:rFonts w:asciiTheme="minorHAnsi" w:hAnsiTheme="minorHAnsi"/>
          <w:b/>
        </w:rPr>
        <w:t xml:space="preserve">Prof. RNDr. Radko </w:t>
      </w:r>
      <w:proofErr w:type="spellStart"/>
      <w:r w:rsidRPr="00651908">
        <w:rPr>
          <w:rFonts w:asciiTheme="minorHAnsi" w:hAnsiTheme="minorHAnsi"/>
          <w:b/>
        </w:rPr>
        <w:t>Mesiar</w:t>
      </w:r>
      <w:proofErr w:type="spellEnd"/>
      <w:r w:rsidRPr="00651908">
        <w:rPr>
          <w:rFonts w:asciiTheme="minorHAnsi" w:hAnsiTheme="minorHAnsi"/>
          <w:b/>
        </w:rPr>
        <w:t xml:space="preserve">, DrSc.  (SvF) - </w:t>
      </w:r>
      <w:r w:rsidRPr="00651908">
        <w:rPr>
          <w:rFonts w:asciiTheme="minorHAnsi" w:hAnsiTheme="minorHAnsi"/>
        </w:rPr>
        <w:t xml:space="preserve">za súbor 4 prác publikovaných v časopise </w:t>
      </w:r>
      <w:r w:rsidRPr="00651908">
        <w:rPr>
          <w:rFonts w:asciiTheme="minorHAnsi" w:hAnsiTheme="minorHAnsi"/>
          <w:i/>
        </w:rPr>
        <w:t xml:space="preserve">IEEE </w:t>
      </w:r>
      <w:proofErr w:type="spellStart"/>
      <w:r w:rsidRPr="00651908">
        <w:rPr>
          <w:rFonts w:asciiTheme="minorHAnsi" w:hAnsiTheme="minorHAnsi"/>
          <w:i/>
        </w:rPr>
        <w:t>Transactions</w:t>
      </w:r>
      <w:proofErr w:type="spellEnd"/>
      <w:r w:rsidRPr="00651908">
        <w:rPr>
          <w:rFonts w:asciiTheme="minorHAnsi" w:hAnsiTheme="minorHAnsi"/>
          <w:i/>
        </w:rPr>
        <w:t xml:space="preserve"> on </w:t>
      </w:r>
      <w:proofErr w:type="spellStart"/>
      <w:r w:rsidRPr="00651908">
        <w:rPr>
          <w:rFonts w:asciiTheme="minorHAnsi" w:hAnsiTheme="minorHAnsi"/>
          <w:i/>
        </w:rPr>
        <w:t>Fuzzy</w:t>
      </w:r>
      <w:proofErr w:type="spellEnd"/>
      <w:r w:rsidRPr="00651908">
        <w:rPr>
          <w:rFonts w:asciiTheme="minorHAnsi" w:hAnsiTheme="minorHAnsi"/>
          <w:i/>
        </w:rPr>
        <w:t xml:space="preserve"> </w:t>
      </w:r>
      <w:proofErr w:type="spellStart"/>
      <w:r w:rsidRPr="00651908">
        <w:rPr>
          <w:rFonts w:asciiTheme="minorHAnsi" w:hAnsiTheme="minorHAnsi"/>
          <w:i/>
        </w:rPr>
        <w:t>Systems</w:t>
      </w:r>
      <w:proofErr w:type="spellEnd"/>
      <w:r w:rsidRPr="00651908">
        <w:rPr>
          <w:rFonts w:asciiTheme="minorHAnsi" w:hAnsiTheme="minorHAnsi"/>
        </w:rPr>
        <w:t xml:space="preserve"> (IF=8,75) (publikácie autora z STU v časopise s najvyšším IF v kategórii podľa JCR </w:t>
      </w:r>
      <w:proofErr w:type="spellStart"/>
      <w:r w:rsidRPr="00651908">
        <w:rPr>
          <w:rFonts w:asciiTheme="minorHAnsi" w:hAnsiTheme="minorHAnsi"/>
        </w:rPr>
        <w:t>Artificial</w:t>
      </w:r>
      <w:proofErr w:type="spellEnd"/>
      <w:r w:rsidRPr="00651908">
        <w:rPr>
          <w:rFonts w:asciiTheme="minorHAnsi" w:hAnsiTheme="minorHAnsi"/>
        </w:rPr>
        <w:t xml:space="preserve"> </w:t>
      </w:r>
      <w:proofErr w:type="spellStart"/>
      <w:r w:rsidRPr="00651908">
        <w:rPr>
          <w:rFonts w:asciiTheme="minorHAnsi" w:hAnsiTheme="minorHAnsi"/>
        </w:rPr>
        <w:t>Intelligence</w:t>
      </w:r>
      <w:proofErr w:type="spellEnd"/>
      <w:r w:rsidRPr="00651908">
        <w:rPr>
          <w:rFonts w:asciiTheme="minorHAnsi" w:hAnsiTheme="minorHAnsi"/>
        </w:rPr>
        <w:t xml:space="preserve"> </w:t>
      </w:r>
      <w:proofErr w:type="spellStart"/>
      <w:r w:rsidRPr="00651908">
        <w:rPr>
          <w:rFonts w:asciiTheme="minorHAnsi" w:hAnsiTheme="minorHAnsi"/>
        </w:rPr>
        <w:t>Sci</w:t>
      </w:r>
      <w:proofErr w:type="spellEnd"/>
      <w:r w:rsidRPr="00651908">
        <w:rPr>
          <w:rFonts w:asciiTheme="minorHAnsi" w:hAnsiTheme="minorHAnsi"/>
        </w:rPr>
        <w:t xml:space="preserve">.). </w:t>
      </w:r>
    </w:p>
    <w:p w:rsidR="00651908" w:rsidRPr="00651908" w:rsidRDefault="00651908" w:rsidP="00651908">
      <w:pPr>
        <w:rPr>
          <w:rFonts w:asciiTheme="minorHAnsi" w:hAnsiTheme="minorHAnsi"/>
          <w:b/>
        </w:rPr>
      </w:pPr>
      <w:r w:rsidRPr="00651908">
        <w:rPr>
          <w:rFonts w:asciiTheme="minorHAnsi" w:hAnsiTheme="minorHAnsi"/>
          <w:b/>
        </w:rPr>
        <w:t xml:space="preserve">Ing. Ivan </w:t>
      </w:r>
      <w:proofErr w:type="spellStart"/>
      <w:r w:rsidRPr="00651908">
        <w:rPr>
          <w:rFonts w:asciiTheme="minorHAnsi" w:hAnsiTheme="minorHAnsi"/>
          <w:b/>
        </w:rPr>
        <w:t>Šalitroš</w:t>
      </w:r>
      <w:proofErr w:type="spellEnd"/>
      <w:r w:rsidRPr="00651908">
        <w:rPr>
          <w:rFonts w:asciiTheme="minorHAnsi" w:hAnsiTheme="minorHAnsi"/>
          <w:b/>
        </w:rPr>
        <w:t>, PhD. (FCHPT)</w:t>
      </w:r>
      <w:r>
        <w:rPr>
          <w:rFonts w:asciiTheme="minorHAnsi" w:hAnsiTheme="minorHAnsi"/>
          <w:b/>
        </w:rPr>
        <w:t xml:space="preserve">- </w:t>
      </w:r>
      <w:r w:rsidRPr="00651908">
        <w:rPr>
          <w:rFonts w:asciiTheme="minorHAnsi" w:hAnsiTheme="minorHAnsi"/>
          <w:b/>
        </w:rPr>
        <w:t xml:space="preserve"> </w:t>
      </w:r>
      <w:r w:rsidRPr="00651908">
        <w:rPr>
          <w:rFonts w:asciiTheme="minorHAnsi" w:hAnsiTheme="minorHAnsi"/>
        </w:rPr>
        <w:t xml:space="preserve">za prácu autora z STU publikovanú v časopise </w:t>
      </w:r>
      <w:r w:rsidRPr="00651908">
        <w:rPr>
          <w:rFonts w:asciiTheme="minorHAnsi" w:hAnsiTheme="minorHAnsi"/>
          <w:i/>
        </w:rPr>
        <w:t xml:space="preserve">ACS </w:t>
      </w:r>
      <w:proofErr w:type="spellStart"/>
      <w:r w:rsidRPr="00651908">
        <w:rPr>
          <w:rFonts w:asciiTheme="minorHAnsi" w:hAnsiTheme="minorHAnsi"/>
          <w:i/>
        </w:rPr>
        <w:t>Nano</w:t>
      </w:r>
      <w:proofErr w:type="spellEnd"/>
      <w:r w:rsidRPr="00651908">
        <w:rPr>
          <w:rFonts w:asciiTheme="minorHAnsi" w:hAnsiTheme="minorHAnsi"/>
        </w:rPr>
        <w:t xml:space="preserve"> (IF=12,88)</w:t>
      </w:r>
      <w:r>
        <w:rPr>
          <w:rFonts w:asciiTheme="minorHAnsi" w:hAnsiTheme="minorHAnsi"/>
          <w:b/>
        </w:rPr>
        <w:t xml:space="preserve"> </w:t>
      </w:r>
      <w:r w:rsidRPr="00651908">
        <w:rPr>
          <w:rFonts w:asciiTheme="minorHAnsi" w:hAnsiTheme="minorHAnsi"/>
        </w:rPr>
        <w:t>(publikácia s najvyšším absolútnym IF)</w:t>
      </w:r>
      <w:r>
        <w:rPr>
          <w:rFonts w:asciiTheme="minorHAnsi" w:hAnsiTheme="minorHAnsi"/>
        </w:rPr>
        <w:t>.</w:t>
      </w:r>
    </w:p>
    <w:p w:rsidR="00651908" w:rsidRPr="00651908" w:rsidRDefault="00651908" w:rsidP="00651908">
      <w:pPr>
        <w:rPr>
          <w:rFonts w:asciiTheme="minorHAnsi" w:hAnsiTheme="minorHAnsi"/>
          <w:b/>
        </w:rPr>
      </w:pPr>
      <w:r w:rsidRPr="00651908">
        <w:rPr>
          <w:rFonts w:asciiTheme="minorHAnsi" w:hAnsiTheme="minorHAnsi"/>
          <w:b/>
        </w:rPr>
        <w:t>Mgr. Monika Kováčová, PhD. (SjF)</w:t>
      </w:r>
      <w:r>
        <w:rPr>
          <w:rFonts w:asciiTheme="minorHAnsi" w:hAnsiTheme="minorHAnsi"/>
          <w:b/>
        </w:rPr>
        <w:t xml:space="preserve"> - </w:t>
      </w:r>
      <w:r w:rsidRPr="00651908">
        <w:rPr>
          <w:rFonts w:asciiTheme="minorHAnsi" w:hAnsiTheme="minorHAnsi"/>
        </w:rPr>
        <w:t xml:space="preserve">za 2 práce autorky z STU publikované v časopise </w:t>
      </w:r>
      <w:proofErr w:type="spellStart"/>
      <w:r w:rsidRPr="00651908">
        <w:rPr>
          <w:rFonts w:asciiTheme="minorHAnsi" w:hAnsiTheme="minorHAnsi"/>
          <w:i/>
        </w:rPr>
        <w:t>Nature</w:t>
      </w:r>
      <w:proofErr w:type="spellEnd"/>
      <w:r w:rsidRPr="00651908">
        <w:rPr>
          <w:rFonts w:asciiTheme="minorHAnsi" w:hAnsiTheme="minorHAnsi"/>
          <w:i/>
        </w:rPr>
        <w:t xml:space="preserve"> </w:t>
      </w:r>
      <w:proofErr w:type="spellStart"/>
      <w:r w:rsidRPr="00651908">
        <w:rPr>
          <w:rFonts w:asciiTheme="minorHAnsi" w:hAnsiTheme="minorHAnsi"/>
          <w:i/>
        </w:rPr>
        <w:t>Communications</w:t>
      </w:r>
      <w:proofErr w:type="spellEnd"/>
      <w:r w:rsidRPr="00651908">
        <w:rPr>
          <w:rFonts w:asciiTheme="minorHAnsi" w:hAnsiTheme="minorHAnsi"/>
        </w:rPr>
        <w:t xml:space="preserve"> (IF=11,47)</w:t>
      </w:r>
      <w:r>
        <w:rPr>
          <w:rFonts w:asciiTheme="minorHAnsi" w:hAnsiTheme="minorHAnsi"/>
          <w:b/>
        </w:rPr>
        <w:t xml:space="preserve"> </w:t>
      </w:r>
      <w:r w:rsidRPr="00651908">
        <w:rPr>
          <w:rFonts w:asciiTheme="minorHAnsi" w:hAnsiTheme="minorHAnsi"/>
        </w:rPr>
        <w:t>(publikácie s druhým najvyšším absolútnym IF)</w:t>
      </w:r>
    </w:p>
    <w:p w:rsidR="00651908" w:rsidRPr="00651908" w:rsidRDefault="00651908" w:rsidP="00651908">
      <w:pPr>
        <w:rPr>
          <w:rFonts w:asciiTheme="minorHAnsi" w:hAnsiTheme="minorHAnsi"/>
          <w:b/>
        </w:rPr>
      </w:pPr>
      <w:r w:rsidRPr="00651908">
        <w:rPr>
          <w:rFonts w:asciiTheme="minorHAnsi" w:hAnsiTheme="minorHAnsi"/>
          <w:b/>
        </w:rPr>
        <w:t xml:space="preserve">Prof. Ing. Ján </w:t>
      </w:r>
      <w:proofErr w:type="spellStart"/>
      <w:r w:rsidRPr="00651908">
        <w:rPr>
          <w:rFonts w:asciiTheme="minorHAnsi" w:hAnsiTheme="minorHAnsi"/>
          <w:b/>
        </w:rPr>
        <w:t>Szolgay</w:t>
      </w:r>
      <w:proofErr w:type="spellEnd"/>
      <w:r w:rsidRPr="00651908">
        <w:rPr>
          <w:rFonts w:asciiTheme="minorHAnsi" w:hAnsiTheme="minorHAnsi"/>
          <w:b/>
        </w:rPr>
        <w:t>, PhD. (SvF)</w:t>
      </w:r>
      <w:r>
        <w:rPr>
          <w:rFonts w:asciiTheme="minorHAnsi" w:hAnsiTheme="minorHAnsi"/>
          <w:b/>
        </w:rPr>
        <w:t xml:space="preserve">  - </w:t>
      </w:r>
      <w:r w:rsidRPr="00651908">
        <w:rPr>
          <w:rFonts w:asciiTheme="minorHAnsi" w:hAnsiTheme="minorHAnsi"/>
        </w:rPr>
        <w:t xml:space="preserve">za prácu autora z STU publikovanú v časopise </w:t>
      </w:r>
      <w:proofErr w:type="spellStart"/>
      <w:r w:rsidRPr="00651908">
        <w:rPr>
          <w:rFonts w:asciiTheme="minorHAnsi" w:hAnsiTheme="minorHAnsi"/>
          <w:i/>
        </w:rPr>
        <w:t>Hydrology</w:t>
      </w:r>
      <w:proofErr w:type="spellEnd"/>
      <w:r w:rsidRPr="00651908">
        <w:rPr>
          <w:rFonts w:asciiTheme="minorHAnsi" w:hAnsiTheme="minorHAnsi"/>
          <w:i/>
        </w:rPr>
        <w:t xml:space="preserve"> and </w:t>
      </w:r>
      <w:proofErr w:type="spellStart"/>
      <w:r w:rsidRPr="00651908">
        <w:rPr>
          <w:rFonts w:asciiTheme="minorHAnsi" w:hAnsiTheme="minorHAnsi"/>
          <w:i/>
        </w:rPr>
        <w:t>EarthSystem</w:t>
      </w:r>
      <w:proofErr w:type="spellEnd"/>
      <w:r w:rsidRPr="00651908">
        <w:rPr>
          <w:rFonts w:asciiTheme="minorHAnsi" w:hAnsiTheme="minorHAnsi"/>
          <w:i/>
        </w:rPr>
        <w:t xml:space="preserve"> </w:t>
      </w:r>
      <w:proofErr w:type="spellStart"/>
      <w:r w:rsidRPr="00651908">
        <w:rPr>
          <w:rFonts w:asciiTheme="minorHAnsi" w:hAnsiTheme="minorHAnsi"/>
          <w:i/>
        </w:rPr>
        <w:t>Sciences</w:t>
      </w:r>
      <w:proofErr w:type="spellEnd"/>
      <w:r w:rsidRPr="00651908">
        <w:rPr>
          <w:rFonts w:asciiTheme="minorHAnsi" w:hAnsiTheme="minorHAnsi"/>
        </w:rPr>
        <w:t xml:space="preserve"> (IF=3,76)</w:t>
      </w:r>
      <w:r>
        <w:rPr>
          <w:rFonts w:asciiTheme="minorHAnsi" w:hAnsiTheme="minorHAnsi"/>
          <w:b/>
        </w:rPr>
        <w:t xml:space="preserve"> </w:t>
      </w:r>
      <w:r w:rsidRPr="00651908">
        <w:rPr>
          <w:rFonts w:asciiTheme="minorHAnsi" w:hAnsiTheme="minorHAnsi"/>
        </w:rPr>
        <w:t xml:space="preserve">(publikácia s druhým najvyšším IF relatívne v kategórii podľa JCR </w:t>
      </w:r>
      <w:proofErr w:type="spellStart"/>
      <w:r w:rsidRPr="00651908">
        <w:rPr>
          <w:rFonts w:asciiTheme="minorHAnsi" w:hAnsiTheme="minorHAnsi"/>
        </w:rPr>
        <w:t>Water</w:t>
      </w:r>
      <w:proofErr w:type="spellEnd"/>
      <w:r w:rsidRPr="00651908">
        <w:rPr>
          <w:rFonts w:asciiTheme="minorHAnsi" w:hAnsiTheme="minorHAnsi"/>
        </w:rPr>
        <w:t xml:space="preserve"> </w:t>
      </w:r>
      <w:proofErr w:type="spellStart"/>
      <w:r w:rsidRPr="00651908">
        <w:rPr>
          <w:rFonts w:asciiTheme="minorHAnsi" w:hAnsiTheme="minorHAnsi"/>
        </w:rPr>
        <w:t>resource</w:t>
      </w:r>
      <w:proofErr w:type="spellEnd"/>
      <w:r w:rsidRPr="00651908">
        <w:rPr>
          <w:rFonts w:asciiTheme="minorHAnsi" w:hAnsiTheme="minorHAnsi"/>
        </w:rPr>
        <w:t xml:space="preserve"> </w:t>
      </w:r>
      <w:proofErr w:type="spellStart"/>
      <w:r w:rsidRPr="00651908">
        <w:rPr>
          <w:rFonts w:asciiTheme="minorHAnsi" w:hAnsiTheme="minorHAnsi"/>
        </w:rPr>
        <w:t>sciences</w:t>
      </w:r>
      <w:proofErr w:type="spellEnd"/>
      <w:r w:rsidRPr="00651908">
        <w:rPr>
          <w:rFonts w:asciiTheme="minorHAnsi" w:hAnsiTheme="minorHAnsi"/>
        </w:rPr>
        <w:t>)</w:t>
      </w:r>
      <w:r>
        <w:rPr>
          <w:rFonts w:asciiTheme="minorHAnsi" w:hAnsiTheme="minorHAnsi"/>
        </w:rPr>
        <w:t xml:space="preserve">. </w:t>
      </w:r>
    </w:p>
    <w:p w:rsidR="00651908" w:rsidRDefault="00651908" w:rsidP="00651908">
      <w:pPr>
        <w:rPr>
          <w:rFonts w:asciiTheme="minorHAnsi" w:hAnsiTheme="minorHAnsi"/>
          <w:b/>
        </w:rPr>
      </w:pPr>
    </w:p>
    <w:p w:rsidR="00651908" w:rsidRPr="00651908" w:rsidRDefault="00651908" w:rsidP="00651908">
      <w:pPr>
        <w:rPr>
          <w:rFonts w:asciiTheme="minorHAnsi" w:hAnsiTheme="minorHAnsi"/>
        </w:rPr>
      </w:pPr>
      <w:r w:rsidRPr="00651908">
        <w:rPr>
          <w:rFonts w:asciiTheme="minorHAnsi" w:hAnsiTheme="minorHAnsi"/>
          <w:b/>
        </w:rPr>
        <w:t>V kategórii 3</w:t>
      </w:r>
      <w:r>
        <w:rPr>
          <w:rFonts w:asciiTheme="minorHAnsi" w:hAnsiTheme="minorHAnsi"/>
          <w:b/>
        </w:rPr>
        <w:t xml:space="preserve"> - </w:t>
      </w:r>
      <w:r w:rsidRPr="00651908">
        <w:rPr>
          <w:rFonts w:asciiTheme="minorHAnsi" w:hAnsiTheme="minorHAnsi"/>
        </w:rPr>
        <w:t>Publikácia publikovaná v rokoch 2013-2015 a mala najvyšší počet citácií  (Ocenenie 1.000.- €):</w:t>
      </w:r>
      <w:r>
        <w:rPr>
          <w:rFonts w:asciiTheme="minorHAnsi" w:hAnsiTheme="minorHAnsi"/>
          <w:b/>
        </w:rPr>
        <w:t xml:space="preserve"> </w:t>
      </w:r>
      <w:r w:rsidRPr="00651908">
        <w:rPr>
          <w:rFonts w:asciiTheme="minorHAnsi" w:hAnsiTheme="minorHAnsi"/>
          <w:b/>
        </w:rPr>
        <w:t xml:space="preserve">Prof. RNDr. Anna Kolesárová, PhD. (FCHPT) a prof. RNDr. Radko </w:t>
      </w:r>
      <w:proofErr w:type="spellStart"/>
      <w:r w:rsidRPr="00651908">
        <w:rPr>
          <w:rFonts w:asciiTheme="minorHAnsi" w:hAnsiTheme="minorHAnsi"/>
          <w:b/>
        </w:rPr>
        <w:t>Mesiar</w:t>
      </w:r>
      <w:proofErr w:type="spellEnd"/>
      <w:r w:rsidRPr="00651908">
        <w:rPr>
          <w:rFonts w:asciiTheme="minorHAnsi" w:hAnsiTheme="minorHAnsi"/>
          <w:b/>
        </w:rPr>
        <w:t>, DrSc. (SvF</w:t>
      </w:r>
      <w:r w:rsidRPr="00651908">
        <w:rPr>
          <w:rFonts w:asciiTheme="minorHAnsi" w:hAnsiTheme="minorHAnsi"/>
        </w:rPr>
        <w:t>)</w:t>
      </w:r>
      <w:r w:rsidRPr="00651908">
        <w:rPr>
          <w:rFonts w:asciiTheme="minorHAnsi" w:hAnsiTheme="minorHAnsi"/>
          <w:b/>
        </w:rPr>
        <w:t xml:space="preserve"> </w:t>
      </w:r>
      <w:r>
        <w:rPr>
          <w:rFonts w:asciiTheme="minorHAnsi" w:hAnsiTheme="minorHAnsi"/>
        </w:rPr>
        <w:t>za prácu:</w:t>
      </w:r>
    </w:p>
    <w:tbl>
      <w:tblPr>
        <w:tblW w:w="11654" w:type="dxa"/>
        <w:tblInd w:w="55" w:type="dxa"/>
        <w:tblCellMar>
          <w:left w:w="70" w:type="dxa"/>
          <w:right w:w="70" w:type="dxa"/>
        </w:tblCellMar>
        <w:tblLook w:val="04A0" w:firstRow="1" w:lastRow="0" w:firstColumn="1" w:lastColumn="0" w:noHBand="0" w:noVBand="1"/>
      </w:tblPr>
      <w:tblGrid>
        <w:gridCol w:w="5650"/>
        <w:gridCol w:w="3822"/>
        <w:gridCol w:w="2182"/>
      </w:tblGrid>
      <w:tr w:rsidR="00651908" w:rsidRPr="00651908" w:rsidTr="00883610">
        <w:trPr>
          <w:gridAfter w:val="1"/>
          <w:wAfter w:w="2182" w:type="dxa"/>
          <w:trHeight w:val="288"/>
        </w:trPr>
        <w:tc>
          <w:tcPr>
            <w:tcW w:w="9472" w:type="dxa"/>
            <w:gridSpan w:val="2"/>
            <w:tcBorders>
              <w:top w:val="nil"/>
              <w:left w:val="nil"/>
              <w:bottom w:val="nil"/>
              <w:right w:val="nil"/>
            </w:tcBorders>
            <w:shd w:val="clear" w:color="auto" w:fill="auto"/>
            <w:noWrap/>
            <w:vAlign w:val="bottom"/>
            <w:hideMark/>
          </w:tcPr>
          <w:p w:rsidR="00651908" w:rsidRPr="00651908" w:rsidRDefault="00651908" w:rsidP="00883610">
            <w:pPr>
              <w:rPr>
                <w:rFonts w:asciiTheme="minorHAnsi" w:eastAsia="Times New Roman" w:hAnsiTheme="minorHAnsi"/>
                <w:color w:val="000000"/>
                <w:lang w:eastAsia="sk-SK"/>
              </w:rPr>
            </w:pPr>
            <w:proofErr w:type="spellStart"/>
            <w:r w:rsidRPr="00651908">
              <w:rPr>
                <w:rFonts w:asciiTheme="minorHAnsi" w:eastAsia="Times New Roman" w:hAnsiTheme="minorHAnsi"/>
                <w:color w:val="000000"/>
                <w:lang w:eastAsia="sk-SK"/>
              </w:rPr>
              <w:t>Generation</w:t>
            </w:r>
            <w:proofErr w:type="spellEnd"/>
            <w:r w:rsidRPr="00651908">
              <w:rPr>
                <w:rFonts w:asciiTheme="minorHAnsi" w:eastAsia="Times New Roman" w:hAnsiTheme="minorHAnsi"/>
                <w:color w:val="000000"/>
                <w:lang w:eastAsia="sk-SK"/>
              </w:rPr>
              <w:t xml:space="preserve"> </w:t>
            </w:r>
            <w:proofErr w:type="spellStart"/>
            <w:r w:rsidRPr="00651908">
              <w:rPr>
                <w:rFonts w:asciiTheme="minorHAnsi" w:eastAsia="Times New Roman" w:hAnsiTheme="minorHAnsi"/>
                <w:color w:val="000000"/>
                <w:lang w:eastAsia="sk-SK"/>
              </w:rPr>
              <w:t>of</w:t>
            </w:r>
            <w:proofErr w:type="spellEnd"/>
            <w:r w:rsidRPr="00651908">
              <w:rPr>
                <w:rFonts w:asciiTheme="minorHAnsi" w:eastAsia="Times New Roman" w:hAnsiTheme="minorHAnsi"/>
                <w:color w:val="000000"/>
                <w:lang w:eastAsia="sk-SK"/>
              </w:rPr>
              <w:t xml:space="preserve"> </w:t>
            </w:r>
            <w:proofErr w:type="spellStart"/>
            <w:r w:rsidRPr="00651908">
              <w:rPr>
                <w:rFonts w:asciiTheme="minorHAnsi" w:eastAsia="Times New Roman" w:hAnsiTheme="minorHAnsi"/>
                <w:color w:val="000000"/>
                <w:lang w:eastAsia="sk-SK"/>
              </w:rPr>
              <w:t>linear</w:t>
            </w:r>
            <w:proofErr w:type="spellEnd"/>
            <w:r w:rsidRPr="00651908">
              <w:rPr>
                <w:rFonts w:asciiTheme="minorHAnsi" w:eastAsia="Times New Roman" w:hAnsiTheme="minorHAnsi"/>
                <w:color w:val="000000"/>
                <w:lang w:eastAsia="sk-SK"/>
              </w:rPr>
              <w:t xml:space="preserve"> </w:t>
            </w:r>
            <w:proofErr w:type="spellStart"/>
            <w:r w:rsidRPr="00651908">
              <w:rPr>
                <w:rFonts w:asciiTheme="minorHAnsi" w:eastAsia="Times New Roman" w:hAnsiTheme="minorHAnsi"/>
                <w:color w:val="000000"/>
                <w:lang w:eastAsia="sk-SK"/>
              </w:rPr>
              <w:t>orders</w:t>
            </w:r>
            <w:proofErr w:type="spellEnd"/>
            <w:r w:rsidRPr="00651908">
              <w:rPr>
                <w:rFonts w:asciiTheme="minorHAnsi" w:eastAsia="Times New Roman" w:hAnsiTheme="minorHAnsi"/>
                <w:color w:val="000000"/>
                <w:lang w:eastAsia="sk-SK"/>
              </w:rPr>
              <w:t xml:space="preserve"> </w:t>
            </w:r>
            <w:proofErr w:type="spellStart"/>
            <w:r w:rsidRPr="00651908">
              <w:rPr>
                <w:rFonts w:asciiTheme="minorHAnsi" w:eastAsia="Times New Roman" w:hAnsiTheme="minorHAnsi"/>
                <w:color w:val="000000"/>
                <w:lang w:eastAsia="sk-SK"/>
              </w:rPr>
              <w:t>for</w:t>
            </w:r>
            <w:proofErr w:type="spellEnd"/>
            <w:r w:rsidRPr="00651908">
              <w:rPr>
                <w:rFonts w:asciiTheme="minorHAnsi" w:eastAsia="Times New Roman" w:hAnsiTheme="minorHAnsi"/>
                <w:color w:val="000000"/>
                <w:lang w:eastAsia="sk-SK"/>
              </w:rPr>
              <w:t xml:space="preserve"> </w:t>
            </w:r>
            <w:proofErr w:type="spellStart"/>
            <w:r w:rsidRPr="00651908">
              <w:rPr>
                <w:rFonts w:asciiTheme="minorHAnsi" w:eastAsia="Times New Roman" w:hAnsiTheme="minorHAnsi"/>
                <w:color w:val="000000"/>
                <w:lang w:eastAsia="sk-SK"/>
              </w:rPr>
              <w:t>intervals</w:t>
            </w:r>
            <w:proofErr w:type="spellEnd"/>
            <w:r w:rsidRPr="00651908">
              <w:rPr>
                <w:rFonts w:asciiTheme="minorHAnsi" w:eastAsia="Times New Roman" w:hAnsiTheme="minorHAnsi"/>
                <w:color w:val="000000"/>
                <w:lang w:eastAsia="sk-SK"/>
              </w:rPr>
              <w:t xml:space="preserve"> by </w:t>
            </w:r>
            <w:proofErr w:type="spellStart"/>
            <w:r w:rsidRPr="00651908">
              <w:rPr>
                <w:rFonts w:asciiTheme="minorHAnsi" w:eastAsia="Times New Roman" w:hAnsiTheme="minorHAnsi"/>
                <w:color w:val="000000"/>
                <w:lang w:eastAsia="sk-SK"/>
              </w:rPr>
              <w:t>means</w:t>
            </w:r>
            <w:proofErr w:type="spellEnd"/>
            <w:r w:rsidRPr="00651908">
              <w:rPr>
                <w:rFonts w:asciiTheme="minorHAnsi" w:eastAsia="Times New Roman" w:hAnsiTheme="minorHAnsi"/>
                <w:color w:val="000000"/>
                <w:lang w:eastAsia="sk-SK"/>
              </w:rPr>
              <w:t xml:space="preserve"> </w:t>
            </w:r>
            <w:proofErr w:type="spellStart"/>
            <w:r w:rsidRPr="00651908">
              <w:rPr>
                <w:rFonts w:asciiTheme="minorHAnsi" w:eastAsia="Times New Roman" w:hAnsiTheme="minorHAnsi"/>
                <w:color w:val="000000"/>
                <w:lang w:eastAsia="sk-SK"/>
              </w:rPr>
              <w:t>of</w:t>
            </w:r>
            <w:proofErr w:type="spellEnd"/>
            <w:r w:rsidRPr="00651908">
              <w:rPr>
                <w:rFonts w:asciiTheme="minorHAnsi" w:eastAsia="Times New Roman" w:hAnsiTheme="minorHAnsi"/>
                <w:color w:val="000000"/>
                <w:lang w:eastAsia="sk-SK"/>
              </w:rPr>
              <w:t xml:space="preserve"> </w:t>
            </w:r>
            <w:proofErr w:type="spellStart"/>
            <w:r w:rsidRPr="00651908">
              <w:rPr>
                <w:rFonts w:asciiTheme="minorHAnsi" w:eastAsia="Times New Roman" w:hAnsiTheme="minorHAnsi"/>
                <w:color w:val="000000"/>
                <w:lang w:eastAsia="sk-SK"/>
              </w:rPr>
              <w:t>aggregation</w:t>
            </w:r>
            <w:proofErr w:type="spellEnd"/>
            <w:r w:rsidRPr="00651908">
              <w:rPr>
                <w:rFonts w:asciiTheme="minorHAnsi" w:eastAsia="Times New Roman" w:hAnsiTheme="minorHAnsi"/>
                <w:color w:val="000000"/>
                <w:lang w:eastAsia="sk-SK"/>
              </w:rPr>
              <w:t xml:space="preserve"> </w:t>
            </w:r>
            <w:proofErr w:type="spellStart"/>
            <w:r w:rsidRPr="00651908">
              <w:rPr>
                <w:rFonts w:asciiTheme="minorHAnsi" w:eastAsia="Times New Roman" w:hAnsiTheme="minorHAnsi"/>
                <w:color w:val="000000"/>
                <w:lang w:eastAsia="sk-SK"/>
              </w:rPr>
              <w:t>functions</w:t>
            </w:r>
            <w:proofErr w:type="spellEnd"/>
          </w:p>
        </w:tc>
      </w:tr>
      <w:tr w:rsidR="00651908" w:rsidRPr="00651908" w:rsidTr="00883610">
        <w:trPr>
          <w:gridAfter w:val="1"/>
          <w:wAfter w:w="2182" w:type="dxa"/>
          <w:trHeight w:val="288"/>
        </w:trPr>
        <w:tc>
          <w:tcPr>
            <w:tcW w:w="9472" w:type="dxa"/>
            <w:gridSpan w:val="2"/>
            <w:tcBorders>
              <w:top w:val="nil"/>
              <w:left w:val="nil"/>
              <w:bottom w:val="nil"/>
              <w:right w:val="nil"/>
            </w:tcBorders>
            <w:shd w:val="clear" w:color="auto" w:fill="auto"/>
            <w:noWrap/>
            <w:vAlign w:val="bottom"/>
            <w:hideMark/>
          </w:tcPr>
          <w:p w:rsidR="00651908" w:rsidRPr="00651908" w:rsidRDefault="00651908" w:rsidP="00883610">
            <w:pPr>
              <w:rPr>
                <w:rFonts w:asciiTheme="minorHAnsi" w:eastAsia="Times New Roman" w:hAnsiTheme="minorHAnsi"/>
                <w:color w:val="000000"/>
                <w:lang w:eastAsia="sk-SK"/>
              </w:rPr>
            </w:pPr>
            <w:proofErr w:type="spellStart"/>
            <w:r w:rsidRPr="00651908">
              <w:rPr>
                <w:rFonts w:asciiTheme="minorHAnsi" w:eastAsia="Times New Roman" w:hAnsiTheme="minorHAnsi"/>
                <w:color w:val="000000"/>
                <w:lang w:eastAsia="sk-SK"/>
              </w:rPr>
              <w:t>Bustince</w:t>
            </w:r>
            <w:proofErr w:type="spellEnd"/>
            <w:r w:rsidRPr="00651908">
              <w:rPr>
                <w:rFonts w:asciiTheme="minorHAnsi" w:eastAsia="Times New Roman" w:hAnsiTheme="minorHAnsi"/>
                <w:color w:val="000000"/>
                <w:lang w:eastAsia="sk-SK"/>
              </w:rPr>
              <w:t xml:space="preserve"> H.1, </w:t>
            </w:r>
            <w:proofErr w:type="spellStart"/>
            <w:r w:rsidRPr="00651908">
              <w:rPr>
                <w:rFonts w:asciiTheme="minorHAnsi" w:eastAsia="Times New Roman" w:hAnsiTheme="minorHAnsi"/>
                <w:color w:val="000000"/>
                <w:lang w:eastAsia="sk-SK"/>
              </w:rPr>
              <w:t>Fernandez</w:t>
            </w:r>
            <w:proofErr w:type="spellEnd"/>
            <w:r w:rsidRPr="00651908">
              <w:rPr>
                <w:rFonts w:asciiTheme="minorHAnsi" w:eastAsia="Times New Roman" w:hAnsiTheme="minorHAnsi"/>
                <w:color w:val="000000"/>
                <w:lang w:eastAsia="sk-SK"/>
              </w:rPr>
              <w:t xml:space="preserve"> J.1</w:t>
            </w:r>
            <w:r w:rsidRPr="00651908">
              <w:rPr>
                <w:rFonts w:asciiTheme="minorHAnsi" w:eastAsia="Times New Roman" w:hAnsiTheme="minorHAnsi"/>
                <w:lang w:eastAsia="sk-SK"/>
              </w:rPr>
              <w:t xml:space="preserve">, Kolesárová A. 2, </w:t>
            </w:r>
            <w:proofErr w:type="spellStart"/>
            <w:r w:rsidRPr="00651908">
              <w:rPr>
                <w:rFonts w:asciiTheme="minorHAnsi" w:eastAsia="Times New Roman" w:hAnsiTheme="minorHAnsi"/>
                <w:lang w:eastAsia="sk-SK"/>
              </w:rPr>
              <w:t>Mesiar</w:t>
            </w:r>
            <w:proofErr w:type="spellEnd"/>
            <w:r w:rsidRPr="00651908">
              <w:rPr>
                <w:rFonts w:asciiTheme="minorHAnsi" w:eastAsia="Times New Roman" w:hAnsiTheme="minorHAnsi"/>
                <w:lang w:eastAsia="sk-SK"/>
              </w:rPr>
              <w:t xml:space="preserve"> R</w:t>
            </w:r>
            <w:r w:rsidRPr="00651908">
              <w:rPr>
                <w:rFonts w:asciiTheme="minorHAnsi" w:eastAsia="Times New Roman" w:hAnsiTheme="minorHAnsi"/>
                <w:color w:val="000000"/>
                <w:lang w:eastAsia="sk-SK"/>
              </w:rPr>
              <w:t>.3,4</w:t>
            </w:r>
          </w:p>
        </w:tc>
      </w:tr>
      <w:tr w:rsidR="00651908" w:rsidRPr="00651908" w:rsidTr="00883610">
        <w:trPr>
          <w:gridAfter w:val="1"/>
          <w:wAfter w:w="2182" w:type="dxa"/>
          <w:trHeight w:val="288"/>
        </w:trPr>
        <w:tc>
          <w:tcPr>
            <w:tcW w:w="9472" w:type="dxa"/>
            <w:gridSpan w:val="2"/>
            <w:tcBorders>
              <w:top w:val="nil"/>
              <w:left w:val="nil"/>
              <w:bottom w:val="nil"/>
              <w:right w:val="nil"/>
            </w:tcBorders>
            <w:shd w:val="clear" w:color="auto" w:fill="auto"/>
            <w:noWrap/>
            <w:vAlign w:val="bottom"/>
            <w:hideMark/>
          </w:tcPr>
          <w:p w:rsidR="00651908" w:rsidRPr="00651908" w:rsidRDefault="00651908" w:rsidP="00883610">
            <w:pPr>
              <w:rPr>
                <w:rFonts w:asciiTheme="minorHAnsi" w:eastAsia="Times New Roman" w:hAnsiTheme="minorHAnsi"/>
                <w:color w:val="000000"/>
                <w:lang w:eastAsia="sk-SK"/>
              </w:rPr>
            </w:pPr>
            <w:r w:rsidRPr="00651908">
              <w:rPr>
                <w:rFonts w:asciiTheme="minorHAnsi" w:eastAsia="Times New Roman" w:hAnsiTheme="minorHAnsi"/>
                <w:color w:val="000000"/>
                <w:lang w:eastAsia="sk-SK"/>
              </w:rPr>
              <w:t>FUZZY SETS AND SYSTEMS  </w:t>
            </w:r>
            <w:proofErr w:type="spellStart"/>
            <w:r w:rsidRPr="00651908">
              <w:rPr>
                <w:rFonts w:asciiTheme="minorHAnsi" w:eastAsia="Times New Roman" w:hAnsiTheme="minorHAnsi"/>
                <w:color w:val="000000"/>
                <w:lang w:eastAsia="sk-SK"/>
              </w:rPr>
              <w:t>Volume</w:t>
            </w:r>
            <w:proofErr w:type="spellEnd"/>
            <w:r w:rsidRPr="00651908">
              <w:rPr>
                <w:rFonts w:asciiTheme="minorHAnsi" w:eastAsia="Times New Roman" w:hAnsiTheme="minorHAnsi"/>
                <w:color w:val="000000"/>
                <w:lang w:eastAsia="sk-SK"/>
              </w:rPr>
              <w:t>: 220   </w:t>
            </w:r>
            <w:proofErr w:type="spellStart"/>
            <w:r w:rsidRPr="00651908">
              <w:rPr>
                <w:rFonts w:asciiTheme="minorHAnsi" w:eastAsia="Times New Roman" w:hAnsiTheme="minorHAnsi"/>
                <w:color w:val="000000"/>
                <w:lang w:eastAsia="sk-SK"/>
              </w:rPr>
              <w:t>Pages</w:t>
            </w:r>
            <w:proofErr w:type="spellEnd"/>
            <w:r w:rsidRPr="00651908">
              <w:rPr>
                <w:rFonts w:asciiTheme="minorHAnsi" w:eastAsia="Times New Roman" w:hAnsiTheme="minorHAnsi"/>
                <w:color w:val="000000"/>
                <w:lang w:eastAsia="sk-SK"/>
              </w:rPr>
              <w:t>: 69-77   </w:t>
            </w:r>
            <w:proofErr w:type="spellStart"/>
            <w:r w:rsidRPr="00651908">
              <w:rPr>
                <w:rFonts w:asciiTheme="minorHAnsi" w:eastAsia="Times New Roman" w:hAnsiTheme="minorHAnsi"/>
                <w:color w:val="000000"/>
                <w:lang w:eastAsia="sk-SK"/>
              </w:rPr>
              <w:t>Published</w:t>
            </w:r>
            <w:proofErr w:type="spellEnd"/>
            <w:r w:rsidRPr="00651908">
              <w:rPr>
                <w:rFonts w:asciiTheme="minorHAnsi" w:eastAsia="Times New Roman" w:hAnsiTheme="minorHAnsi"/>
                <w:color w:val="000000"/>
                <w:lang w:eastAsia="sk-SK"/>
              </w:rPr>
              <w:t xml:space="preserve">: JUN 1 2013 </w:t>
            </w:r>
          </w:p>
        </w:tc>
      </w:tr>
      <w:tr w:rsidR="00651908" w:rsidRPr="00651908" w:rsidTr="00883610">
        <w:trPr>
          <w:gridAfter w:val="1"/>
          <w:wAfter w:w="2182" w:type="dxa"/>
          <w:trHeight w:val="288"/>
        </w:trPr>
        <w:tc>
          <w:tcPr>
            <w:tcW w:w="5650" w:type="dxa"/>
            <w:tcBorders>
              <w:top w:val="nil"/>
              <w:left w:val="nil"/>
              <w:bottom w:val="nil"/>
              <w:right w:val="nil"/>
            </w:tcBorders>
            <w:shd w:val="clear" w:color="auto" w:fill="auto"/>
            <w:noWrap/>
            <w:vAlign w:val="bottom"/>
            <w:hideMark/>
          </w:tcPr>
          <w:p w:rsidR="00651908" w:rsidRPr="00651908" w:rsidRDefault="00651908" w:rsidP="00883610">
            <w:pPr>
              <w:rPr>
                <w:rFonts w:asciiTheme="minorHAnsi" w:eastAsia="Times New Roman" w:hAnsiTheme="minorHAnsi"/>
                <w:color w:val="000000"/>
                <w:lang w:eastAsia="sk-SK"/>
              </w:rPr>
            </w:pPr>
            <w:r w:rsidRPr="00651908">
              <w:rPr>
                <w:rFonts w:asciiTheme="minorHAnsi" w:eastAsia="Times New Roman" w:hAnsiTheme="minorHAnsi"/>
                <w:color w:val="000000"/>
                <w:lang w:eastAsia="sk-SK"/>
              </w:rPr>
              <w:t>DOI: 10.1016/j.fss.2012.07.015</w:t>
            </w:r>
          </w:p>
        </w:tc>
        <w:tc>
          <w:tcPr>
            <w:tcW w:w="3822" w:type="dxa"/>
            <w:tcBorders>
              <w:top w:val="nil"/>
              <w:left w:val="nil"/>
              <w:bottom w:val="nil"/>
              <w:right w:val="nil"/>
            </w:tcBorders>
            <w:shd w:val="clear" w:color="auto" w:fill="auto"/>
            <w:noWrap/>
            <w:vAlign w:val="bottom"/>
            <w:hideMark/>
          </w:tcPr>
          <w:p w:rsidR="00651908" w:rsidRPr="00651908" w:rsidRDefault="00651908" w:rsidP="00883610">
            <w:pPr>
              <w:rPr>
                <w:rFonts w:asciiTheme="minorHAnsi" w:eastAsia="Times New Roman" w:hAnsiTheme="minorHAnsi"/>
                <w:color w:val="000000"/>
                <w:lang w:eastAsia="sk-SK"/>
              </w:rPr>
            </w:pPr>
          </w:p>
        </w:tc>
      </w:tr>
      <w:tr w:rsidR="00651908" w:rsidRPr="00651908" w:rsidTr="00883610">
        <w:trPr>
          <w:trHeight w:val="288"/>
        </w:trPr>
        <w:tc>
          <w:tcPr>
            <w:tcW w:w="11654" w:type="dxa"/>
            <w:gridSpan w:val="3"/>
            <w:tcBorders>
              <w:top w:val="nil"/>
              <w:left w:val="nil"/>
              <w:bottom w:val="nil"/>
              <w:right w:val="nil"/>
            </w:tcBorders>
            <w:shd w:val="clear" w:color="auto" w:fill="auto"/>
            <w:noWrap/>
            <w:vAlign w:val="bottom"/>
            <w:hideMark/>
          </w:tcPr>
          <w:p w:rsidR="00651908" w:rsidRPr="00651908" w:rsidRDefault="00651908" w:rsidP="00883610">
            <w:pPr>
              <w:rPr>
                <w:rFonts w:asciiTheme="minorHAnsi" w:eastAsia="Times New Roman" w:hAnsiTheme="minorHAnsi"/>
                <w:color w:val="0070C0"/>
                <w:lang w:eastAsia="sk-SK"/>
              </w:rPr>
            </w:pPr>
            <w:r w:rsidRPr="00651908">
              <w:rPr>
                <w:rFonts w:asciiTheme="minorHAnsi" w:eastAsia="Times New Roman" w:hAnsiTheme="minorHAnsi"/>
                <w:lang w:eastAsia="sk-SK"/>
              </w:rPr>
              <w:t>S celkovým poč</w:t>
            </w:r>
            <w:r>
              <w:rPr>
                <w:rFonts w:asciiTheme="minorHAnsi" w:eastAsia="Times New Roman" w:hAnsiTheme="minorHAnsi"/>
                <w:lang w:eastAsia="sk-SK"/>
              </w:rPr>
              <w:t xml:space="preserve">tom citácií 37 (bez </w:t>
            </w:r>
            <w:proofErr w:type="spellStart"/>
            <w:r>
              <w:rPr>
                <w:rFonts w:asciiTheme="minorHAnsi" w:eastAsia="Times New Roman" w:hAnsiTheme="minorHAnsi"/>
                <w:lang w:eastAsia="sk-SK"/>
              </w:rPr>
              <w:t>autocitácií</w:t>
            </w:r>
            <w:proofErr w:type="spellEnd"/>
            <w:r>
              <w:rPr>
                <w:rFonts w:asciiTheme="minorHAnsi" w:eastAsia="Times New Roman" w:hAnsiTheme="minorHAnsi"/>
                <w:lang w:eastAsia="sk-SK"/>
              </w:rPr>
              <w:t>).</w:t>
            </w:r>
          </w:p>
        </w:tc>
      </w:tr>
    </w:tbl>
    <w:p w:rsidR="00B51749" w:rsidRPr="00822A50" w:rsidRDefault="00B51749" w:rsidP="00651908">
      <w:pPr>
        <w:rPr>
          <w:rFonts w:asciiTheme="minorHAnsi" w:hAnsiTheme="minorHAnsi"/>
        </w:rPr>
      </w:pPr>
    </w:p>
    <w:p w:rsidR="00012C3E" w:rsidRPr="002D7A10" w:rsidRDefault="00012C3E" w:rsidP="00651908">
      <w:pPr>
        <w:rPr>
          <w:rFonts w:asciiTheme="minorHAnsi" w:hAnsiTheme="minorHAnsi"/>
        </w:rPr>
      </w:pPr>
    </w:p>
    <w:p w:rsidR="00B51749" w:rsidRPr="002D7A10" w:rsidRDefault="00B51749" w:rsidP="00B51749">
      <w:pPr>
        <w:pStyle w:val="Nadpis3"/>
        <w:rPr>
          <w:rFonts w:asciiTheme="minorHAnsi" w:hAnsiTheme="minorHAnsi"/>
        </w:rPr>
      </w:pPr>
      <w:bookmarkStart w:id="38" w:name="_Toc448261580"/>
      <w:proofErr w:type="spellStart"/>
      <w:r w:rsidRPr="002D7A10">
        <w:rPr>
          <w:rFonts w:asciiTheme="minorHAnsi" w:hAnsiTheme="minorHAnsi"/>
        </w:rPr>
        <w:t>Pos</w:t>
      </w:r>
      <w:r w:rsidR="00050066" w:rsidRPr="002D7A10">
        <w:rPr>
          <w:rFonts w:asciiTheme="minorHAnsi" w:hAnsiTheme="minorHAnsi"/>
        </w:rPr>
        <w:t>t</w:t>
      </w:r>
      <w:r w:rsidRPr="002D7A10">
        <w:rPr>
          <w:rFonts w:asciiTheme="minorHAnsi" w:hAnsiTheme="minorHAnsi"/>
        </w:rPr>
        <w:t>doktorandské</w:t>
      </w:r>
      <w:proofErr w:type="spellEnd"/>
      <w:r w:rsidRPr="002D7A10">
        <w:rPr>
          <w:rFonts w:asciiTheme="minorHAnsi" w:hAnsiTheme="minorHAnsi"/>
        </w:rPr>
        <w:t xml:space="preserve"> pracovné </w:t>
      </w:r>
      <w:r w:rsidR="00166D99">
        <w:rPr>
          <w:rFonts w:asciiTheme="minorHAnsi" w:hAnsiTheme="minorHAnsi"/>
        </w:rPr>
        <w:t>miesta</w:t>
      </w:r>
      <w:bookmarkEnd w:id="38"/>
    </w:p>
    <w:p w:rsidR="00012C3E" w:rsidRPr="002D4FD4" w:rsidRDefault="00012C3E" w:rsidP="00012C3E">
      <w:pPr>
        <w:rPr>
          <w:rFonts w:asciiTheme="minorHAnsi" w:hAnsiTheme="minorHAnsi"/>
          <w:lang w:eastAsia="cs-CZ"/>
        </w:rPr>
      </w:pPr>
    </w:p>
    <w:p w:rsidR="00B51749" w:rsidRPr="002D4FD4" w:rsidRDefault="00B51749" w:rsidP="00B51749">
      <w:pPr>
        <w:rPr>
          <w:rFonts w:asciiTheme="minorHAnsi" w:hAnsiTheme="minorHAnsi"/>
        </w:rPr>
      </w:pPr>
      <w:r w:rsidRPr="002D4FD4">
        <w:rPr>
          <w:rFonts w:asciiTheme="minorHAnsi" w:hAnsiTheme="minorHAnsi"/>
        </w:rPr>
        <w:tab/>
        <w:t>V roku 201</w:t>
      </w:r>
      <w:r w:rsidR="003C19C6" w:rsidRPr="002D4FD4">
        <w:rPr>
          <w:rFonts w:asciiTheme="minorHAnsi" w:hAnsiTheme="minorHAnsi"/>
        </w:rPr>
        <w:t xml:space="preserve">5 </w:t>
      </w:r>
      <w:r w:rsidRPr="002D4FD4">
        <w:rPr>
          <w:rFonts w:asciiTheme="minorHAnsi" w:hAnsiTheme="minorHAnsi"/>
        </w:rPr>
        <w:t xml:space="preserve">Slovenská technická univerzita </w:t>
      </w:r>
      <w:r w:rsidR="003C19C6" w:rsidRPr="002D4FD4">
        <w:rPr>
          <w:rFonts w:asciiTheme="minorHAnsi" w:hAnsiTheme="minorHAnsi"/>
        </w:rPr>
        <w:t>pokračoval</w:t>
      </w:r>
      <w:r w:rsidRPr="002D4FD4">
        <w:rPr>
          <w:rFonts w:asciiTheme="minorHAnsi" w:hAnsiTheme="minorHAnsi"/>
        </w:rPr>
        <w:t>a</w:t>
      </w:r>
      <w:r w:rsidR="003C19C6" w:rsidRPr="002D4FD4">
        <w:rPr>
          <w:rFonts w:asciiTheme="minorHAnsi" w:hAnsiTheme="minorHAnsi"/>
        </w:rPr>
        <w:t xml:space="preserve"> v</w:t>
      </w:r>
      <w:r w:rsidRPr="002D4FD4">
        <w:rPr>
          <w:rFonts w:asciiTheme="minorHAnsi" w:hAnsiTheme="minorHAnsi"/>
        </w:rPr>
        <w:t xml:space="preserve"> program</w:t>
      </w:r>
      <w:r w:rsidR="003C19C6" w:rsidRPr="002D4FD4">
        <w:rPr>
          <w:rFonts w:asciiTheme="minorHAnsi" w:hAnsiTheme="minorHAnsi"/>
        </w:rPr>
        <w:t>e</w:t>
      </w:r>
      <w:r w:rsidRPr="002D4FD4">
        <w:rPr>
          <w:rFonts w:asciiTheme="minorHAnsi" w:hAnsiTheme="minorHAnsi"/>
        </w:rPr>
        <w:t xml:space="preserve"> </w:t>
      </w:r>
      <w:proofErr w:type="spellStart"/>
      <w:r w:rsidRPr="002D4FD4">
        <w:rPr>
          <w:rFonts w:asciiTheme="minorHAnsi" w:hAnsiTheme="minorHAnsi"/>
        </w:rPr>
        <w:t>postdoktorandských</w:t>
      </w:r>
      <w:proofErr w:type="spellEnd"/>
      <w:r w:rsidRPr="002D4FD4">
        <w:rPr>
          <w:rFonts w:asciiTheme="minorHAnsi" w:hAnsiTheme="minorHAnsi"/>
        </w:rPr>
        <w:t xml:space="preserve"> pracovných </w:t>
      </w:r>
      <w:r w:rsidR="00166D99" w:rsidRPr="002D4FD4">
        <w:rPr>
          <w:rFonts w:asciiTheme="minorHAnsi" w:hAnsiTheme="minorHAnsi"/>
        </w:rPr>
        <w:t>miest</w:t>
      </w:r>
      <w:r w:rsidRPr="002D4FD4">
        <w:rPr>
          <w:rFonts w:asciiTheme="minorHAnsi" w:hAnsiTheme="minorHAnsi"/>
        </w:rPr>
        <w:t xml:space="preserve"> pre mladých pracovníkov do 35 rokov s preferenciou pritiahnuť na univerzitu uchádzačov z prostredia mimo STU. </w:t>
      </w:r>
      <w:r w:rsidR="003C19C6" w:rsidRPr="002D4FD4">
        <w:rPr>
          <w:rFonts w:asciiTheme="minorHAnsi" w:hAnsiTheme="minorHAnsi"/>
        </w:rPr>
        <w:t>Takto bolo po druhý raz vypísaných 5 aktuálnych tém na ktoré bola v</w:t>
      </w:r>
      <w:r w:rsidR="002D4FD4">
        <w:rPr>
          <w:rFonts w:asciiTheme="minorHAnsi" w:hAnsiTheme="minorHAnsi"/>
        </w:rPr>
        <w:t>yhlásená výzva na ich obsadenie</w:t>
      </w:r>
      <w:r w:rsidR="002D4FD4" w:rsidRPr="002D4FD4">
        <w:rPr>
          <w:rFonts w:asciiTheme="minorHAnsi" w:hAnsiTheme="minorHAnsi"/>
        </w:rPr>
        <w:t>. Išlo o nasledovné témy:</w:t>
      </w:r>
    </w:p>
    <w:p w:rsidR="002D4FD4" w:rsidRPr="002D4FD4" w:rsidRDefault="002D4FD4" w:rsidP="002D4FD4">
      <w:pPr>
        <w:pStyle w:val="Normlnywebov"/>
        <w:spacing w:before="0" w:beforeAutospacing="0" w:after="0" w:afterAutospacing="0"/>
        <w:rPr>
          <w:rFonts w:asciiTheme="minorHAnsi" w:hAnsiTheme="minorHAnsi"/>
        </w:rPr>
      </w:pPr>
      <w:r>
        <w:rPr>
          <w:rFonts w:asciiTheme="minorHAnsi" w:hAnsiTheme="minorHAnsi"/>
          <w:b/>
          <w:bCs/>
          <w:i/>
          <w:iCs/>
        </w:rPr>
        <w:t>1.</w:t>
      </w:r>
      <w:r w:rsidRPr="002D4FD4">
        <w:rPr>
          <w:rFonts w:asciiTheme="minorHAnsi" w:hAnsiTheme="minorHAnsi"/>
          <w:b/>
          <w:bCs/>
          <w:i/>
          <w:iCs/>
        </w:rPr>
        <w:t>Vývoj nových metód spracovania 4D obrazu v biomedicínskych aplikáciách</w:t>
      </w:r>
      <w:r w:rsidRPr="002D4FD4">
        <w:rPr>
          <w:rFonts w:asciiTheme="minorHAnsi" w:hAnsiTheme="minorHAnsi"/>
        </w:rPr>
        <w:t xml:space="preserve">, školiteľ: prof. RNDr. Karol Mikula, DrSc., Stavebná fakulta STU </w:t>
      </w:r>
      <w:proofErr w:type="spellStart"/>
      <w:r w:rsidRPr="002D4FD4">
        <w:rPr>
          <w:rFonts w:asciiTheme="minorHAnsi" w:hAnsiTheme="minorHAnsi"/>
        </w:rPr>
        <w:t>postdoktorand</w:t>
      </w:r>
      <w:proofErr w:type="spellEnd"/>
      <w:r w:rsidRPr="002D4FD4">
        <w:rPr>
          <w:rFonts w:asciiTheme="minorHAnsi" w:hAnsiTheme="minorHAnsi"/>
        </w:rPr>
        <w:t xml:space="preserve">: Ing. Róbert </w:t>
      </w:r>
      <w:proofErr w:type="spellStart"/>
      <w:r w:rsidRPr="002D4FD4">
        <w:rPr>
          <w:rFonts w:asciiTheme="minorHAnsi" w:hAnsiTheme="minorHAnsi"/>
        </w:rPr>
        <w:t>Špir</w:t>
      </w:r>
      <w:proofErr w:type="spellEnd"/>
      <w:r w:rsidRPr="002D4FD4">
        <w:rPr>
          <w:rFonts w:asciiTheme="minorHAnsi" w:hAnsiTheme="minorHAnsi"/>
        </w:rPr>
        <w:t>, PhD. (</w:t>
      </w:r>
      <w:proofErr w:type="spellStart"/>
      <w:r w:rsidRPr="002D4FD4">
        <w:rPr>
          <w:rFonts w:asciiTheme="minorHAnsi" w:hAnsiTheme="minorHAnsi"/>
        </w:rPr>
        <w:t>nastup</w:t>
      </w:r>
      <w:proofErr w:type="spellEnd"/>
      <w:r w:rsidRPr="002D4FD4">
        <w:rPr>
          <w:rFonts w:asciiTheme="minorHAnsi" w:hAnsiTheme="minorHAnsi"/>
        </w:rPr>
        <w:t xml:space="preserve"> 1.1.2016)</w:t>
      </w:r>
      <w:r w:rsidR="000A3C3B">
        <w:rPr>
          <w:rFonts w:asciiTheme="minorHAnsi" w:hAnsiTheme="minorHAnsi"/>
        </w:rPr>
        <w:t xml:space="preserve">. </w:t>
      </w:r>
      <w:r w:rsidRPr="002D4FD4">
        <w:rPr>
          <w:rFonts w:asciiTheme="minorHAnsi" w:hAnsiTheme="minorHAnsi"/>
        </w:rPr>
        <w:t xml:space="preserve">Cieľom </w:t>
      </w:r>
      <w:proofErr w:type="spellStart"/>
      <w:r w:rsidRPr="002D4FD4">
        <w:rPr>
          <w:rFonts w:asciiTheme="minorHAnsi" w:hAnsiTheme="minorHAnsi"/>
        </w:rPr>
        <w:t>postdoktorandského</w:t>
      </w:r>
      <w:proofErr w:type="spellEnd"/>
      <w:r w:rsidRPr="002D4FD4">
        <w:rPr>
          <w:rFonts w:asciiTheme="minorHAnsi" w:hAnsiTheme="minorHAnsi"/>
        </w:rPr>
        <w:t xml:space="preserve"> výskumného pobytu je návrh, matematická analýza a efektívna paralelná počítačová implementácia nových výpočtových metód spracovania 4D obrazu v biológii a medicíne s aplikáciami vo výskume a prevencii genetických a nádorových ochorení. </w:t>
      </w:r>
    </w:p>
    <w:p w:rsidR="002D4FD4" w:rsidRDefault="002D4FD4" w:rsidP="002D4FD4">
      <w:pPr>
        <w:pStyle w:val="Normlnywebov"/>
        <w:spacing w:before="0" w:beforeAutospacing="0" w:after="0" w:afterAutospacing="0"/>
        <w:rPr>
          <w:rFonts w:asciiTheme="minorHAnsi" w:hAnsiTheme="minorHAnsi"/>
        </w:rPr>
      </w:pPr>
      <w:r w:rsidRPr="002D4FD4">
        <w:rPr>
          <w:rFonts w:asciiTheme="minorHAnsi" w:hAnsiTheme="minorHAnsi"/>
        </w:rPr>
        <w:t> </w:t>
      </w:r>
      <w:r w:rsidRPr="002D4FD4">
        <w:rPr>
          <w:rFonts w:asciiTheme="minorHAnsi" w:hAnsiTheme="minorHAnsi"/>
          <w:b/>
        </w:rPr>
        <w:t>2. </w:t>
      </w:r>
      <w:r w:rsidRPr="002D4FD4">
        <w:rPr>
          <w:rFonts w:asciiTheme="minorHAnsi" w:hAnsiTheme="minorHAnsi"/>
          <w:b/>
          <w:bCs/>
          <w:i/>
          <w:iCs/>
        </w:rPr>
        <w:t>Implementácia hybridných organicko-anorganických štruktúr v systémoch využiteľných v diagnostike a prevencii v rámci zdravotnej starostlivosti a pri  monitorovaní kvality životného prostredia – SMART SOCIETY</w:t>
      </w:r>
      <w:r>
        <w:rPr>
          <w:rFonts w:asciiTheme="minorHAnsi" w:hAnsiTheme="minorHAnsi"/>
          <w:i/>
          <w:iCs/>
        </w:rPr>
        <w:t xml:space="preserve">, školiteľ: </w:t>
      </w:r>
      <w:r w:rsidRPr="002D4FD4">
        <w:rPr>
          <w:rFonts w:asciiTheme="minorHAnsi" w:hAnsiTheme="minorHAnsi"/>
        </w:rPr>
        <w:t xml:space="preserve">prof. Ing. Daniel Donoval, DrSc., Fakulta elektrotechniky a informatiky STU, </w:t>
      </w:r>
      <w:proofErr w:type="spellStart"/>
      <w:r w:rsidRPr="002D4FD4">
        <w:rPr>
          <w:rFonts w:asciiTheme="minorHAnsi" w:hAnsiTheme="minorHAnsi"/>
        </w:rPr>
        <w:t>postdoktorand</w:t>
      </w:r>
      <w:proofErr w:type="spellEnd"/>
      <w:r w:rsidRPr="002D4FD4">
        <w:rPr>
          <w:rFonts w:asciiTheme="minorHAnsi" w:hAnsiTheme="minorHAnsi"/>
        </w:rPr>
        <w:t>: Ing. Anton</w:t>
      </w:r>
      <w:r>
        <w:rPr>
          <w:rFonts w:asciiTheme="minorHAnsi" w:hAnsiTheme="minorHAnsi"/>
        </w:rPr>
        <w:t xml:space="preserve"> </w:t>
      </w:r>
      <w:proofErr w:type="spellStart"/>
      <w:r>
        <w:rPr>
          <w:rFonts w:asciiTheme="minorHAnsi" w:hAnsiTheme="minorHAnsi"/>
        </w:rPr>
        <w:t>Kuzma</w:t>
      </w:r>
      <w:proofErr w:type="spellEnd"/>
      <w:r>
        <w:rPr>
          <w:rFonts w:asciiTheme="minorHAnsi" w:hAnsiTheme="minorHAnsi"/>
        </w:rPr>
        <w:t>, PhD.</w:t>
      </w:r>
      <w:r>
        <w:rPr>
          <w:rFonts w:asciiTheme="minorHAnsi" w:hAnsiTheme="minorHAnsi"/>
        </w:rPr>
        <w:tab/>
        <w:t>(</w:t>
      </w:r>
      <w:proofErr w:type="spellStart"/>
      <w:r>
        <w:rPr>
          <w:rFonts w:asciiTheme="minorHAnsi" w:hAnsiTheme="minorHAnsi"/>
        </w:rPr>
        <w:t>nastup</w:t>
      </w:r>
      <w:proofErr w:type="spellEnd"/>
      <w:r>
        <w:rPr>
          <w:rFonts w:asciiTheme="minorHAnsi" w:hAnsiTheme="minorHAnsi"/>
        </w:rPr>
        <w:t xml:space="preserve"> 1.12.2015).</w:t>
      </w:r>
      <w:r w:rsidR="000A3C3B">
        <w:rPr>
          <w:rFonts w:asciiTheme="minorHAnsi" w:hAnsiTheme="minorHAnsi"/>
        </w:rPr>
        <w:t xml:space="preserve"> </w:t>
      </w:r>
      <w:r w:rsidRPr="002D4FD4">
        <w:rPr>
          <w:rFonts w:asciiTheme="minorHAnsi" w:hAnsiTheme="minorHAnsi"/>
        </w:rPr>
        <w:t xml:space="preserve">Navrhovaná téma spadá do kontextu problematiky zaoberajúcej sa terapiou a prevenciou </w:t>
      </w:r>
      <w:proofErr w:type="spellStart"/>
      <w:r w:rsidRPr="002D4FD4">
        <w:rPr>
          <w:rFonts w:asciiTheme="minorHAnsi" w:hAnsiTheme="minorHAnsi"/>
        </w:rPr>
        <w:t>životohrozujúcich</w:t>
      </w:r>
      <w:proofErr w:type="spellEnd"/>
      <w:r w:rsidRPr="002D4FD4">
        <w:rPr>
          <w:rFonts w:asciiTheme="minorHAnsi" w:hAnsiTheme="minorHAnsi"/>
        </w:rPr>
        <w:t xml:space="preserve"> chorôb a taktiež problematikou návrhu, prípravy a diagnostiky pokročilých materiálov, vzhľadom na to, že v rámci jej riešenia je plánovaný výskum </w:t>
      </w:r>
      <w:r w:rsidRPr="002D4FD4">
        <w:rPr>
          <w:rFonts w:asciiTheme="minorHAnsi" w:hAnsiTheme="minorHAnsi"/>
        </w:rPr>
        <w:lastRenderedPageBreak/>
        <w:t>hybridných organicko-anorganických štruktúr v systémoch využiteľných v zdravotnej starostlivosti za účelom zvyšovania kvality života – SMART SOCIETY.</w:t>
      </w:r>
    </w:p>
    <w:p w:rsidR="000A3C3B" w:rsidRDefault="002D4FD4" w:rsidP="000A3C3B">
      <w:pPr>
        <w:pStyle w:val="Normlnywebov"/>
        <w:spacing w:before="0" w:beforeAutospacing="0" w:after="0" w:afterAutospacing="0"/>
        <w:rPr>
          <w:rFonts w:asciiTheme="minorHAnsi" w:hAnsiTheme="minorHAnsi"/>
        </w:rPr>
      </w:pPr>
      <w:r>
        <w:rPr>
          <w:rFonts w:asciiTheme="minorHAnsi" w:hAnsiTheme="minorHAnsi"/>
          <w:b/>
          <w:bCs/>
          <w:i/>
          <w:iCs/>
        </w:rPr>
        <w:t>3.</w:t>
      </w:r>
      <w:r w:rsidRPr="002D4FD4">
        <w:rPr>
          <w:rFonts w:asciiTheme="minorHAnsi" w:hAnsiTheme="minorHAnsi"/>
          <w:b/>
          <w:bCs/>
          <w:i/>
          <w:iCs/>
        </w:rPr>
        <w:t>Vývoj nových potenciálnych protirakovinových liečiv: Experimentálna a teoretická elektrónová štruktúra nových koordinačných zlúčenín</w:t>
      </w:r>
      <w:r>
        <w:rPr>
          <w:rFonts w:asciiTheme="minorHAnsi" w:hAnsiTheme="minorHAnsi"/>
        </w:rPr>
        <w:t xml:space="preserve">, školiteľ: </w:t>
      </w:r>
      <w:r w:rsidRPr="002D4FD4">
        <w:rPr>
          <w:rFonts w:asciiTheme="minorHAnsi" w:hAnsiTheme="minorHAnsi"/>
        </w:rPr>
        <w:t xml:space="preserve">doc. Ing. Jozef </w:t>
      </w:r>
      <w:proofErr w:type="spellStart"/>
      <w:r w:rsidRPr="002D4FD4">
        <w:rPr>
          <w:rFonts w:asciiTheme="minorHAnsi" w:hAnsiTheme="minorHAnsi"/>
        </w:rPr>
        <w:t>Kožíšek</w:t>
      </w:r>
      <w:proofErr w:type="spellEnd"/>
      <w:r w:rsidRPr="002D4FD4">
        <w:rPr>
          <w:rFonts w:asciiTheme="minorHAnsi" w:hAnsiTheme="minorHAnsi"/>
        </w:rPr>
        <w:t xml:space="preserve">, CSc., Fakulta chemickej a potravinárskej technológie STU, </w:t>
      </w:r>
      <w:proofErr w:type="spellStart"/>
      <w:r w:rsidRPr="002D4FD4">
        <w:rPr>
          <w:rFonts w:asciiTheme="minorHAnsi" w:hAnsiTheme="minorHAnsi"/>
        </w:rPr>
        <w:t>postdoktorand</w:t>
      </w:r>
      <w:proofErr w:type="spellEnd"/>
      <w:r w:rsidRPr="002D4FD4">
        <w:rPr>
          <w:rFonts w:asciiTheme="minorHAnsi" w:hAnsiTheme="minorHAnsi"/>
        </w:rPr>
        <w:t xml:space="preserve">: Dr. </w:t>
      </w:r>
      <w:proofErr w:type="spellStart"/>
      <w:r w:rsidRPr="002D4FD4">
        <w:rPr>
          <w:rFonts w:asciiTheme="minorHAnsi" w:hAnsiTheme="minorHAnsi"/>
        </w:rPr>
        <w:t>Felix</w:t>
      </w:r>
      <w:proofErr w:type="spellEnd"/>
      <w:r w:rsidRPr="002D4FD4">
        <w:rPr>
          <w:rFonts w:asciiTheme="minorHAnsi" w:hAnsiTheme="minorHAnsi"/>
        </w:rPr>
        <w:t xml:space="preserve"> </w:t>
      </w:r>
      <w:proofErr w:type="spellStart"/>
      <w:r w:rsidRPr="002D4FD4">
        <w:rPr>
          <w:rFonts w:asciiTheme="minorHAnsi" w:hAnsiTheme="minorHAnsi"/>
        </w:rPr>
        <w:t>Bacher</w:t>
      </w:r>
      <w:proofErr w:type="spellEnd"/>
      <w:r w:rsidRPr="002D4FD4">
        <w:rPr>
          <w:rFonts w:asciiTheme="minorHAnsi" w:hAnsiTheme="minorHAnsi"/>
        </w:rPr>
        <w:t xml:space="preserve"> (</w:t>
      </w:r>
      <w:proofErr w:type="spellStart"/>
      <w:r w:rsidRPr="002D4FD4">
        <w:rPr>
          <w:rFonts w:asciiTheme="minorHAnsi" w:hAnsiTheme="minorHAnsi"/>
        </w:rPr>
        <w:t>nastup</w:t>
      </w:r>
      <w:proofErr w:type="spellEnd"/>
      <w:r w:rsidRPr="002D4FD4">
        <w:rPr>
          <w:rFonts w:asciiTheme="minorHAnsi" w:hAnsiTheme="minorHAnsi"/>
        </w:rPr>
        <w:t xml:space="preserve"> 1.1.2016)</w:t>
      </w:r>
      <w:r w:rsidR="000A3C3B">
        <w:rPr>
          <w:rFonts w:asciiTheme="minorHAnsi" w:hAnsiTheme="minorHAnsi"/>
        </w:rPr>
        <w:t xml:space="preserve">. </w:t>
      </w:r>
      <w:r w:rsidRPr="002D4FD4">
        <w:rPr>
          <w:rFonts w:asciiTheme="minorHAnsi" w:hAnsiTheme="minorHAnsi"/>
        </w:rPr>
        <w:t xml:space="preserve">Bude sa študovať experimentálna a teoretická elektrónová štruktúra </w:t>
      </w:r>
      <w:proofErr w:type="spellStart"/>
      <w:r w:rsidRPr="002D4FD4">
        <w:rPr>
          <w:rFonts w:asciiTheme="minorHAnsi" w:hAnsiTheme="minorHAnsi"/>
        </w:rPr>
        <w:t>Ru-komplexov</w:t>
      </w:r>
      <w:proofErr w:type="spellEnd"/>
      <w:r w:rsidRPr="002D4FD4">
        <w:rPr>
          <w:rFonts w:asciiTheme="minorHAnsi" w:hAnsiTheme="minorHAnsi"/>
        </w:rPr>
        <w:t xml:space="preserve"> s </w:t>
      </w:r>
      <w:proofErr w:type="spellStart"/>
      <w:r w:rsidRPr="002D4FD4">
        <w:rPr>
          <w:rFonts w:asciiTheme="minorHAnsi" w:hAnsiTheme="minorHAnsi"/>
        </w:rPr>
        <w:t>ligandami</w:t>
      </w:r>
      <w:proofErr w:type="spellEnd"/>
      <w:r w:rsidRPr="002D4FD4">
        <w:rPr>
          <w:rFonts w:asciiTheme="minorHAnsi" w:hAnsiTheme="minorHAnsi"/>
        </w:rPr>
        <w:t xml:space="preserve"> na báze </w:t>
      </w:r>
      <w:proofErr w:type="spellStart"/>
      <w:r w:rsidRPr="002D4FD4">
        <w:rPr>
          <w:rFonts w:asciiTheme="minorHAnsi" w:hAnsiTheme="minorHAnsi"/>
        </w:rPr>
        <w:t>indazolových</w:t>
      </w:r>
      <w:proofErr w:type="spellEnd"/>
      <w:r w:rsidRPr="002D4FD4">
        <w:rPr>
          <w:rFonts w:asciiTheme="minorHAnsi" w:hAnsiTheme="minorHAnsi"/>
        </w:rPr>
        <w:t xml:space="preserve"> derivátov, napr. zlúčenina </w:t>
      </w:r>
      <w:proofErr w:type="spellStart"/>
      <w:r w:rsidRPr="002D4FD4">
        <w:rPr>
          <w:rFonts w:asciiTheme="minorHAnsi" w:hAnsiTheme="minorHAnsi"/>
        </w:rPr>
        <w:t>ruténia</w:t>
      </w:r>
      <w:proofErr w:type="spellEnd"/>
      <w:r w:rsidRPr="002D4FD4">
        <w:rPr>
          <w:rFonts w:asciiTheme="minorHAnsi" w:hAnsiTheme="minorHAnsi"/>
        </w:rPr>
        <w:t xml:space="preserve"> (III) H2ind [trans-RuIIICl4(Hind)2] (KP1019, Hind = </w:t>
      </w:r>
      <w:proofErr w:type="spellStart"/>
      <w:r w:rsidRPr="002D4FD4">
        <w:rPr>
          <w:rFonts w:asciiTheme="minorHAnsi" w:hAnsiTheme="minorHAnsi"/>
        </w:rPr>
        <w:t>indazol</w:t>
      </w:r>
      <w:proofErr w:type="spellEnd"/>
      <w:r w:rsidRPr="002D4FD4">
        <w:rPr>
          <w:rFonts w:asciiTheme="minorHAnsi" w:hAnsiTheme="minorHAnsi"/>
        </w:rPr>
        <w:t>), alebo jej s</w:t>
      </w:r>
      <w:r>
        <w:rPr>
          <w:rFonts w:asciiTheme="minorHAnsi" w:hAnsiTheme="minorHAnsi"/>
        </w:rPr>
        <w:t xml:space="preserve">odná soľ označovaná ako KP1339, </w:t>
      </w:r>
      <w:r w:rsidRPr="002D4FD4">
        <w:rPr>
          <w:rFonts w:asciiTheme="minorHAnsi" w:hAnsiTheme="minorHAnsi"/>
        </w:rPr>
        <w:t xml:space="preserve">ktoré sú teraz v klinických štúdiách ako </w:t>
      </w:r>
      <w:proofErr w:type="spellStart"/>
      <w:r w:rsidRPr="002D4FD4">
        <w:rPr>
          <w:rFonts w:asciiTheme="minorHAnsi" w:hAnsiTheme="minorHAnsi"/>
        </w:rPr>
        <w:t>protinádorové</w:t>
      </w:r>
      <w:proofErr w:type="spellEnd"/>
      <w:r w:rsidRPr="002D4FD4">
        <w:rPr>
          <w:rFonts w:asciiTheme="minorHAnsi" w:hAnsiTheme="minorHAnsi"/>
        </w:rPr>
        <w:t xml:space="preserve"> činidlá proti</w:t>
      </w:r>
      <w:r>
        <w:rPr>
          <w:rFonts w:asciiTheme="minorHAnsi" w:hAnsiTheme="minorHAnsi"/>
        </w:rPr>
        <w:t xml:space="preserve"> primárnym nádorom a metastázam</w:t>
      </w:r>
      <w:r w:rsidRPr="002D4FD4">
        <w:rPr>
          <w:rFonts w:asciiTheme="minorHAnsi" w:hAnsiTheme="minorHAnsi"/>
        </w:rPr>
        <w:t xml:space="preserve">. </w:t>
      </w:r>
    </w:p>
    <w:p w:rsidR="000A3C3B" w:rsidRDefault="002D4FD4" w:rsidP="000A3C3B">
      <w:pPr>
        <w:pStyle w:val="Normlnywebov"/>
        <w:spacing w:before="0" w:beforeAutospacing="0" w:after="0" w:afterAutospacing="0"/>
        <w:rPr>
          <w:rFonts w:asciiTheme="minorHAnsi" w:hAnsiTheme="minorHAnsi"/>
        </w:rPr>
      </w:pPr>
      <w:r w:rsidRPr="000A3C3B">
        <w:rPr>
          <w:rFonts w:asciiTheme="minorHAnsi" w:hAnsiTheme="minorHAnsi"/>
          <w:b/>
          <w:i/>
          <w:iCs/>
        </w:rPr>
        <w:t>4.</w:t>
      </w:r>
      <w:r w:rsidRPr="002D4FD4">
        <w:rPr>
          <w:rFonts w:asciiTheme="minorHAnsi" w:hAnsiTheme="minorHAnsi"/>
          <w:i/>
          <w:iCs/>
        </w:rPr>
        <w:t> </w:t>
      </w:r>
      <w:r w:rsidRPr="002D4FD4">
        <w:rPr>
          <w:rFonts w:asciiTheme="minorHAnsi" w:hAnsiTheme="minorHAnsi"/>
          <w:b/>
          <w:bCs/>
          <w:i/>
          <w:iCs/>
        </w:rPr>
        <w:t xml:space="preserve">Rozhranie </w:t>
      </w:r>
      <w:proofErr w:type="spellStart"/>
      <w:r w:rsidRPr="002D4FD4">
        <w:rPr>
          <w:rFonts w:asciiTheme="minorHAnsi" w:hAnsiTheme="minorHAnsi"/>
          <w:b/>
          <w:bCs/>
          <w:i/>
          <w:iCs/>
        </w:rPr>
        <w:t>grafén-diamant</w:t>
      </w:r>
      <w:proofErr w:type="spellEnd"/>
      <w:r w:rsidRPr="002D4FD4">
        <w:rPr>
          <w:rFonts w:asciiTheme="minorHAnsi" w:hAnsiTheme="minorHAnsi"/>
          <w:b/>
          <w:bCs/>
          <w:i/>
          <w:iCs/>
        </w:rPr>
        <w:t>: štrukturálne a elektronické vlastnosti</w:t>
      </w:r>
      <w:r w:rsidR="000A3C3B">
        <w:rPr>
          <w:rFonts w:asciiTheme="minorHAnsi" w:hAnsiTheme="minorHAnsi"/>
          <w:i/>
          <w:iCs/>
        </w:rPr>
        <w:t xml:space="preserve">, školiteľ: </w:t>
      </w:r>
      <w:r w:rsidRPr="002D4FD4">
        <w:rPr>
          <w:rFonts w:asciiTheme="minorHAnsi" w:hAnsiTheme="minorHAnsi"/>
        </w:rPr>
        <w:t xml:space="preserve">doc. Ing. Viera </w:t>
      </w:r>
      <w:proofErr w:type="spellStart"/>
      <w:r w:rsidRPr="002D4FD4">
        <w:rPr>
          <w:rFonts w:asciiTheme="minorHAnsi" w:hAnsiTheme="minorHAnsi"/>
        </w:rPr>
        <w:t>Skákalová</w:t>
      </w:r>
      <w:proofErr w:type="spellEnd"/>
      <w:r w:rsidRPr="002D4FD4">
        <w:rPr>
          <w:rFonts w:asciiTheme="minorHAnsi" w:hAnsiTheme="minorHAnsi"/>
        </w:rPr>
        <w:t xml:space="preserve">, CSc., Univerzitný vedecký park STU, </w:t>
      </w:r>
      <w:proofErr w:type="spellStart"/>
      <w:r w:rsidR="000A3C3B">
        <w:rPr>
          <w:rFonts w:asciiTheme="minorHAnsi" w:hAnsiTheme="minorHAnsi"/>
        </w:rPr>
        <w:t>postdoktorand</w:t>
      </w:r>
      <w:proofErr w:type="spellEnd"/>
      <w:r w:rsidR="000A3C3B">
        <w:rPr>
          <w:rFonts w:asciiTheme="minorHAnsi" w:hAnsiTheme="minorHAnsi"/>
        </w:rPr>
        <w:t xml:space="preserve">: neobsadené. </w:t>
      </w:r>
      <w:r w:rsidRPr="002D4FD4">
        <w:rPr>
          <w:rFonts w:asciiTheme="minorHAnsi" w:hAnsiTheme="minorHAnsi"/>
        </w:rPr>
        <w:t xml:space="preserve">Cieľom projektu je priniesť tieto extrémne odlišné uhlíkové štruktúry do vzájomnej interakcie. V projekte navrhujeme rôzne spôsoby prípravy systému </w:t>
      </w:r>
      <w:proofErr w:type="spellStart"/>
      <w:r w:rsidRPr="002D4FD4">
        <w:rPr>
          <w:rFonts w:asciiTheme="minorHAnsi" w:hAnsiTheme="minorHAnsi"/>
        </w:rPr>
        <w:t>grafén-diamant</w:t>
      </w:r>
      <w:proofErr w:type="spellEnd"/>
      <w:r w:rsidRPr="002D4FD4">
        <w:rPr>
          <w:rFonts w:asciiTheme="minorHAnsi" w:hAnsiTheme="minorHAnsi"/>
        </w:rPr>
        <w:t xml:space="preserve"> (G-D), vyšetrenie elektrónovej a </w:t>
      </w:r>
      <w:proofErr w:type="spellStart"/>
      <w:r w:rsidRPr="002D4FD4">
        <w:rPr>
          <w:rFonts w:asciiTheme="minorHAnsi" w:hAnsiTheme="minorHAnsi"/>
        </w:rPr>
        <w:t>atomárnej</w:t>
      </w:r>
      <w:proofErr w:type="spellEnd"/>
      <w:r w:rsidRPr="002D4FD4">
        <w:rPr>
          <w:rFonts w:asciiTheme="minorHAnsi" w:hAnsiTheme="minorHAnsi"/>
        </w:rPr>
        <w:t xml:space="preserve"> štruktúry rozhrania takéhoto systému ako dôsledok odlišných spôsobov prípravy. Získané poznatky povedú ku konštrukcii elektronických súčiastok založených na G-D architektúre.</w:t>
      </w:r>
    </w:p>
    <w:p w:rsidR="002D4FD4" w:rsidRPr="002D4FD4" w:rsidRDefault="002D4FD4" w:rsidP="000A3C3B">
      <w:pPr>
        <w:pStyle w:val="Normlnywebov"/>
        <w:spacing w:before="0" w:beforeAutospacing="0" w:after="0" w:afterAutospacing="0"/>
        <w:rPr>
          <w:rFonts w:asciiTheme="minorHAnsi" w:hAnsiTheme="minorHAnsi"/>
        </w:rPr>
      </w:pPr>
      <w:r w:rsidRPr="000A3C3B">
        <w:rPr>
          <w:rFonts w:asciiTheme="minorHAnsi" w:hAnsiTheme="minorHAnsi"/>
          <w:b/>
        </w:rPr>
        <w:t>5.</w:t>
      </w:r>
      <w:r w:rsidRPr="002D4FD4">
        <w:rPr>
          <w:rFonts w:asciiTheme="minorHAnsi" w:hAnsiTheme="minorHAnsi"/>
          <w:b/>
          <w:bCs/>
          <w:i/>
          <w:iCs/>
        </w:rPr>
        <w:t xml:space="preserve">  Využitie progresívnych stratégií prediktívneho riadenia pri úsporách energií, v diagnostike, </w:t>
      </w:r>
      <w:r w:rsidRPr="000A3C3B">
        <w:rPr>
          <w:rFonts w:asciiTheme="minorHAnsi" w:hAnsiTheme="minorHAnsi"/>
          <w:b/>
          <w:bCs/>
          <w:i/>
          <w:iCs/>
        </w:rPr>
        <w:t>prevencii a pri zvyšovaní bezpečnosti technologických procesov – riešenia pre vnorené systémy</w:t>
      </w:r>
      <w:r w:rsidR="000A3C3B" w:rsidRPr="000A3C3B">
        <w:rPr>
          <w:rFonts w:asciiTheme="minorHAnsi" w:hAnsiTheme="minorHAnsi"/>
        </w:rPr>
        <w:t xml:space="preserve">, školiteľ: </w:t>
      </w:r>
      <w:r w:rsidRPr="000A3C3B">
        <w:rPr>
          <w:rFonts w:asciiTheme="minorHAnsi" w:hAnsiTheme="minorHAnsi"/>
        </w:rPr>
        <w:t xml:space="preserve">prof. Ing. Boris </w:t>
      </w:r>
      <w:proofErr w:type="spellStart"/>
      <w:r w:rsidRPr="000A3C3B">
        <w:rPr>
          <w:rFonts w:asciiTheme="minorHAnsi" w:hAnsiTheme="minorHAnsi"/>
        </w:rPr>
        <w:t>Rohaľ-Ilkiv</w:t>
      </w:r>
      <w:proofErr w:type="spellEnd"/>
      <w:r w:rsidRPr="000A3C3B">
        <w:rPr>
          <w:rFonts w:asciiTheme="minorHAnsi" w:hAnsiTheme="minorHAnsi"/>
        </w:rPr>
        <w:t xml:space="preserve">, CSc., Strojnícka fakulta STU, </w:t>
      </w:r>
      <w:proofErr w:type="spellStart"/>
      <w:r w:rsidR="000A3C3B" w:rsidRPr="000A3C3B">
        <w:rPr>
          <w:rFonts w:asciiTheme="minorHAnsi" w:hAnsiTheme="minorHAnsi"/>
        </w:rPr>
        <w:t>postdoktorand</w:t>
      </w:r>
      <w:proofErr w:type="spellEnd"/>
      <w:r w:rsidR="000A3C3B" w:rsidRPr="000A3C3B">
        <w:rPr>
          <w:rFonts w:asciiTheme="minorHAnsi" w:hAnsiTheme="minorHAnsi"/>
        </w:rPr>
        <w:t xml:space="preserve">: Ing. Martin </w:t>
      </w:r>
      <w:proofErr w:type="spellStart"/>
      <w:r w:rsidR="000A3C3B" w:rsidRPr="000A3C3B">
        <w:rPr>
          <w:rFonts w:asciiTheme="minorHAnsi" w:hAnsiTheme="minorHAnsi"/>
        </w:rPr>
        <w:t>Gulan</w:t>
      </w:r>
      <w:proofErr w:type="spellEnd"/>
      <w:r w:rsidR="000A3C3B" w:rsidRPr="000A3C3B">
        <w:rPr>
          <w:rFonts w:asciiTheme="minorHAnsi" w:hAnsiTheme="minorHAnsi"/>
        </w:rPr>
        <w:t>, PhD. (</w:t>
      </w:r>
      <w:proofErr w:type="spellStart"/>
      <w:r w:rsidR="000A3C3B" w:rsidRPr="000A3C3B">
        <w:rPr>
          <w:rFonts w:asciiTheme="minorHAnsi" w:hAnsiTheme="minorHAnsi"/>
        </w:rPr>
        <w:t>nastup</w:t>
      </w:r>
      <w:proofErr w:type="spellEnd"/>
      <w:r w:rsidR="000A3C3B" w:rsidRPr="000A3C3B">
        <w:rPr>
          <w:rFonts w:asciiTheme="minorHAnsi" w:hAnsiTheme="minorHAnsi"/>
        </w:rPr>
        <w:t xml:space="preserve"> 1.12.2015)</w:t>
      </w:r>
      <w:r w:rsidR="000A3C3B">
        <w:rPr>
          <w:rFonts w:asciiTheme="minorHAnsi" w:hAnsiTheme="minorHAnsi"/>
        </w:rPr>
        <w:t xml:space="preserve">. </w:t>
      </w:r>
      <w:r w:rsidRPr="000A3C3B">
        <w:rPr>
          <w:rFonts w:asciiTheme="minorHAnsi" w:hAnsiTheme="minorHAnsi"/>
        </w:rPr>
        <w:t>Predmetom témy je výskum a vývoj  pokročilých stratégií vnoreného prediktívneho riadenia so zameraním na úspory energií, diagnostiku, prevenciu a zvyšovanie bezpečnosti technologických</w:t>
      </w:r>
      <w:r w:rsidRPr="002D4FD4">
        <w:rPr>
          <w:rFonts w:asciiTheme="minorHAnsi" w:hAnsiTheme="minorHAnsi"/>
        </w:rPr>
        <w:t xml:space="preserve"> procesov a technických systémov. Cieľom je pre tieto aplikácie vyvinúť nové riešenia, vhodné pre nasadenie na vnorených hardvérových platformách, vyznačujúcich sa dokonalejšou inteligenciou, novými pokročilými riadiacimi funkciami schopnými rešpektovať všetky zadané technické, prevádzkové, bezpečnostné, biologické a ďalšie obmedzenia predpísané pre riadený systém. </w:t>
      </w:r>
    </w:p>
    <w:p w:rsidR="00883610" w:rsidRPr="00166D99" w:rsidRDefault="00883610" w:rsidP="00B51749">
      <w:pPr>
        <w:rPr>
          <w:rFonts w:asciiTheme="majorHAnsi" w:hAnsiTheme="majorHAnsi"/>
          <w:color w:val="FF0000"/>
        </w:rPr>
      </w:pPr>
    </w:p>
    <w:p w:rsidR="00B51749" w:rsidRPr="002D7A10" w:rsidRDefault="00B51749" w:rsidP="00B51749">
      <w:pPr>
        <w:autoSpaceDE w:val="0"/>
        <w:autoSpaceDN w:val="0"/>
        <w:adjustRightInd w:val="0"/>
        <w:rPr>
          <w:rFonts w:asciiTheme="minorHAnsi" w:hAnsiTheme="minorHAnsi"/>
          <w:color w:val="FF0000"/>
        </w:rPr>
      </w:pPr>
    </w:p>
    <w:p w:rsidR="00B51749" w:rsidRPr="002D7A10" w:rsidRDefault="00B51749" w:rsidP="00B51749">
      <w:pPr>
        <w:pStyle w:val="Nadpis2"/>
        <w:rPr>
          <w:rFonts w:asciiTheme="minorHAnsi" w:hAnsiTheme="minorHAnsi"/>
          <w:color w:val="auto"/>
          <w:sz w:val="24"/>
          <w:szCs w:val="24"/>
        </w:rPr>
      </w:pPr>
      <w:bookmarkStart w:id="39" w:name="_Toc448261581"/>
      <w:r w:rsidRPr="002D7A10">
        <w:rPr>
          <w:rFonts w:asciiTheme="minorHAnsi" w:hAnsiTheme="minorHAnsi"/>
          <w:color w:val="auto"/>
          <w:sz w:val="24"/>
          <w:szCs w:val="24"/>
        </w:rPr>
        <w:t>Ochrana duševného vlastníctva a zabezpečenie využitia výsledkov výskumu v praxi</w:t>
      </w:r>
      <w:bookmarkEnd w:id="39"/>
      <w:r w:rsidRPr="002D7A10">
        <w:rPr>
          <w:rFonts w:asciiTheme="minorHAnsi" w:hAnsiTheme="minorHAnsi"/>
          <w:color w:val="auto"/>
          <w:sz w:val="24"/>
          <w:szCs w:val="24"/>
        </w:rPr>
        <w:t xml:space="preserve"> </w:t>
      </w:r>
    </w:p>
    <w:p w:rsidR="00B51749" w:rsidRPr="002D7A10" w:rsidRDefault="003C19C6" w:rsidP="00B51749">
      <w:pPr>
        <w:pStyle w:val="Nadpis3"/>
        <w:rPr>
          <w:rFonts w:asciiTheme="minorHAnsi" w:hAnsiTheme="minorHAnsi"/>
          <w:color w:val="auto"/>
        </w:rPr>
      </w:pPr>
      <w:bookmarkStart w:id="40" w:name="_Toc448261582"/>
      <w:r>
        <w:rPr>
          <w:rFonts w:asciiTheme="minorHAnsi" w:hAnsiTheme="minorHAnsi"/>
          <w:color w:val="auto"/>
        </w:rPr>
        <w:t>Kancelária spolupráce sa praxou</w:t>
      </w:r>
      <w:bookmarkEnd w:id="40"/>
      <w:r w:rsidR="00B51749" w:rsidRPr="002D7A10">
        <w:rPr>
          <w:rFonts w:asciiTheme="minorHAnsi" w:hAnsiTheme="minorHAnsi"/>
          <w:color w:val="auto"/>
        </w:rPr>
        <w:t xml:space="preserve"> </w:t>
      </w:r>
    </w:p>
    <w:p w:rsidR="00B51749" w:rsidRPr="002D7A10" w:rsidRDefault="00B51749" w:rsidP="00B51749">
      <w:pPr>
        <w:rPr>
          <w:rFonts w:asciiTheme="minorHAnsi" w:hAnsiTheme="minorHAnsi"/>
          <w:color w:val="FF0000"/>
          <w:lang w:eastAsia="cs-CZ"/>
        </w:rPr>
      </w:pPr>
    </w:p>
    <w:p w:rsidR="00170C72" w:rsidRPr="003C19C6" w:rsidRDefault="003C19C6" w:rsidP="004D7330">
      <w:pPr>
        <w:pStyle w:val="Obyajntext"/>
        <w:rPr>
          <w:rFonts w:asciiTheme="minorHAnsi" w:hAnsiTheme="minorHAnsi"/>
          <w:sz w:val="24"/>
          <w:szCs w:val="24"/>
        </w:rPr>
      </w:pPr>
      <w:r w:rsidRPr="003C19C6">
        <w:rPr>
          <w:rFonts w:asciiTheme="minorHAnsi" w:hAnsiTheme="minorHAnsi"/>
          <w:sz w:val="24"/>
          <w:szCs w:val="24"/>
        </w:rPr>
        <w:t xml:space="preserve">Kancelária spolupráce s praxou (KSP) je organizačnou zložkou špecializovaného univerzitného pracoviska </w:t>
      </w:r>
      <w:proofErr w:type="spellStart"/>
      <w:r w:rsidRPr="003C19C6">
        <w:rPr>
          <w:rFonts w:asciiTheme="minorHAnsi" w:hAnsiTheme="minorHAnsi"/>
          <w:sz w:val="24"/>
          <w:szCs w:val="24"/>
        </w:rPr>
        <w:t>Know-how</w:t>
      </w:r>
      <w:proofErr w:type="spellEnd"/>
      <w:r w:rsidRPr="003C19C6">
        <w:rPr>
          <w:rFonts w:asciiTheme="minorHAnsi" w:hAnsiTheme="minorHAnsi"/>
          <w:sz w:val="24"/>
          <w:szCs w:val="24"/>
        </w:rPr>
        <w:t xml:space="preserve"> centrum STU. Zabezpečuje ochranu duševného vlastníctva STU v súlade so smernicou o Ochrane a správe práv priemyselného vlastníctva na STU, ktorá nadobudla účinnosť 01.10.2013. KSP poskytuje pôvodcom predmetov priemyselného vlastníctva odborné poradenstvo v oblasti ochrany duševného vlastníctva, mapuje technológie a poznatky z výskumu pracovísk STU,  propaguje výsledky výskumu STU </w:t>
      </w:r>
      <w:r w:rsidR="00170C72" w:rsidRPr="003C19C6">
        <w:rPr>
          <w:rFonts w:asciiTheme="minorHAnsi" w:hAnsiTheme="minorHAnsi"/>
          <w:sz w:val="24"/>
          <w:szCs w:val="24"/>
        </w:rPr>
        <w:t xml:space="preserve">a vytvára podmienky pre transfer technológií a výsledkov výskumu do praxe. </w:t>
      </w:r>
    </w:p>
    <w:p w:rsidR="00170C72" w:rsidRPr="00520814" w:rsidRDefault="00170C72" w:rsidP="00170C72">
      <w:pPr>
        <w:pStyle w:val="Obyajntext"/>
        <w:rPr>
          <w:rFonts w:asciiTheme="minorHAnsi" w:hAnsiTheme="minorHAnsi"/>
          <w:b/>
          <w:sz w:val="24"/>
          <w:szCs w:val="24"/>
        </w:rPr>
      </w:pPr>
      <w:r w:rsidRPr="003C19C6">
        <w:rPr>
          <w:rFonts w:asciiTheme="minorHAnsi" w:hAnsiTheme="minorHAnsi"/>
          <w:sz w:val="24"/>
          <w:szCs w:val="24"/>
        </w:rPr>
        <w:lastRenderedPageBreak/>
        <w:t xml:space="preserve">Za obdobie účinnosti smernice bolo podaných 53 oznámení pôvodcu o vytvorení predmetu priemyselného vlastníctva. </w:t>
      </w:r>
      <w:r w:rsidRPr="003C19C6">
        <w:rPr>
          <w:rFonts w:asciiTheme="minorHAnsi" w:hAnsiTheme="minorHAnsi"/>
          <w:b/>
          <w:sz w:val="24"/>
          <w:szCs w:val="24"/>
        </w:rPr>
        <w:t>V období od 01.01.2015 do 31.12.2015 bolo podaných 42 Oznámení pôvodcu o vytvorení predmetu priemyselného</w:t>
      </w:r>
      <w:r w:rsidRPr="002D7A10">
        <w:rPr>
          <w:rFonts w:asciiTheme="minorHAnsi" w:hAnsiTheme="minorHAnsi"/>
          <w:b/>
          <w:sz w:val="24"/>
          <w:szCs w:val="24"/>
        </w:rPr>
        <w:t xml:space="preserve"> vlastníctva. Z tohto počtu bolo na Úrad priemyselného vlastníctva SR podaných 7 patentových prihlášok, 15 prihlášok úžitkových vzorov, 2 medzinárodné prihlášky a </w:t>
      </w:r>
      <w:r w:rsidR="00520814">
        <w:rPr>
          <w:rFonts w:asciiTheme="minorHAnsi" w:hAnsiTheme="minorHAnsi"/>
          <w:b/>
          <w:sz w:val="24"/>
          <w:szCs w:val="24"/>
        </w:rPr>
        <w:t xml:space="preserve">1 Európska patentová prihláška. </w:t>
      </w:r>
      <w:r w:rsidRPr="002D7A10">
        <w:rPr>
          <w:rFonts w:asciiTheme="minorHAnsi" w:hAnsiTheme="minorHAnsi"/>
          <w:sz w:val="24"/>
          <w:szCs w:val="24"/>
        </w:rPr>
        <w:t>Mimo smernice bolo podaných 6 patentových prihlášok a 10 prihlášok úžitkových vzorov.</w:t>
      </w:r>
      <w:r w:rsidR="00626368" w:rsidRPr="002D7A10">
        <w:rPr>
          <w:rFonts w:asciiTheme="minorHAnsi" w:hAnsiTheme="minorHAnsi"/>
          <w:sz w:val="24"/>
          <w:szCs w:val="24"/>
        </w:rPr>
        <w:t xml:space="preserve"> </w:t>
      </w:r>
      <w:r w:rsidRPr="002D7A10">
        <w:rPr>
          <w:rFonts w:asciiTheme="minorHAnsi" w:hAnsiTheme="minorHAnsi"/>
          <w:sz w:val="24"/>
          <w:szCs w:val="24"/>
        </w:rPr>
        <w:t>KSP postupne rieši jednotlivé prípady s  cieľom preniesť úspešné výsledky výskumu do praxe.</w:t>
      </w:r>
    </w:p>
    <w:p w:rsidR="00626368" w:rsidRPr="002D7A10" w:rsidRDefault="00626368" w:rsidP="00626368">
      <w:pPr>
        <w:pStyle w:val="Obyajntext"/>
        <w:rPr>
          <w:rFonts w:asciiTheme="minorHAnsi" w:hAnsiTheme="minorHAnsi"/>
          <w:sz w:val="24"/>
          <w:szCs w:val="24"/>
        </w:rPr>
      </w:pPr>
    </w:p>
    <w:p w:rsidR="00170C72" w:rsidRPr="002D7A10" w:rsidRDefault="00626368" w:rsidP="00520814">
      <w:pPr>
        <w:pStyle w:val="Obyajntext"/>
        <w:rPr>
          <w:rFonts w:asciiTheme="minorHAnsi" w:hAnsiTheme="minorHAnsi"/>
          <w:sz w:val="24"/>
          <w:szCs w:val="24"/>
        </w:rPr>
      </w:pPr>
      <w:r w:rsidRPr="002D7A10">
        <w:rPr>
          <w:rFonts w:asciiTheme="minorHAnsi" w:hAnsiTheme="minorHAnsi"/>
          <w:sz w:val="24"/>
          <w:szCs w:val="24"/>
        </w:rPr>
        <w:t>Kancelária spolupráce s praxou organizovala či sa podieľala na niekoľkých konferenciách zameraných na ochranu pr</w:t>
      </w:r>
      <w:r w:rsidR="004D7330">
        <w:rPr>
          <w:rFonts w:asciiTheme="minorHAnsi" w:hAnsiTheme="minorHAnsi"/>
          <w:sz w:val="24"/>
          <w:szCs w:val="24"/>
        </w:rPr>
        <w:t xml:space="preserve">iemyselných a autorských práv. </w:t>
      </w:r>
      <w:r w:rsidR="00170C72" w:rsidRPr="002D7A10">
        <w:rPr>
          <w:rFonts w:asciiTheme="minorHAnsi" w:hAnsiTheme="minorHAnsi"/>
          <w:sz w:val="24"/>
          <w:szCs w:val="24"/>
        </w:rPr>
        <w:t xml:space="preserve">Dňa 26.05.2015 </w:t>
      </w:r>
      <w:r w:rsidRPr="002D7A10">
        <w:rPr>
          <w:rFonts w:asciiTheme="minorHAnsi" w:hAnsiTheme="minorHAnsi"/>
          <w:sz w:val="24"/>
          <w:szCs w:val="24"/>
        </w:rPr>
        <w:t xml:space="preserve">to bol seminár </w:t>
      </w:r>
      <w:r w:rsidR="00170C72" w:rsidRPr="002D7A10">
        <w:rPr>
          <w:rFonts w:asciiTheme="minorHAnsi" w:hAnsiTheme="minorHAnsi"/>
          <w:sz w:val="24"/>
          <w:szCs w:val="24"/>
        </w:rPr>
        <w:t>Úvod do problematiky priemyselných a autorských práv pre vedecko-výskumných pracovníkov a doktorandov FEI a</w:t>
      </w:r>
      <w:r w:rsidRPr="002D7A10">
        <w:rPr>
          <w:rFonts w:asciiTheme="minorHAnsi" w:hAnsiTheme="minorHAnsi"/>
          <w:sz w:val="24"/>
          <w:szCs w:val="24"/>
        </w:rPr>
        <w:t> </w:t>
      </w:r>
      <w:r w:rsidR="00170C72" w:rsidRPr="002D7A10">
        <w:rPr>
          <w:rFonts w:asciiTheme="minorHAnsi" w:hAnsiTheme="minorHAnsi"/>
          <w:sz w:val="24"/>
          <w:szCs w:val="24"/>
        </w:rPr>
        <w:t>FIIT</w:t>
      </w:r>
      <w:r w:rsidRPr="002D7A10">
        <w:rPr>
          <w:rFonts w:asciiTheme="minorHAnsi" w:hAnsiTheme="minorHAnsi"/>
          <w:sz w:val="24"/>
          <w:szCs w:val="24"/>
        </w:rPr>
        <w:t xml:space="preserve"> STU</w:t>
      </w:r>
      <w:r w:rsidR="00170C72" w:rsidRPr="002D7A10">
        <w:rPr>
          <w:rFonts w:asciiTheme="minorHAnsi" w:hAnsiTheme="minorHAnsi"/>
          <w:sz w:val="24"/>
          <w:szCs w:val="24"/>
        </w:rPr>
        <w:t>.</w:t>
      </w:r>
      <w:r w:rsidR="00080AC9" w:rsidRPr="002D7A10">
        <w:rPr>
          <w:rFonts w:asciiTheme="minorHAnsi" w:hAnsiTheme="minorHAnsi"/>
          <w:sz w:val="24"/>
          <w:szCs w:val="24"/>
        </w:rPr>
        <w:t xml:space="preserve"> </w:t>
      </w:r>
      <w:r w:rsidRPr="002D7A10">
        <w:rPr>
          <w:rFonts w:asciiTheme="minorHAnsi" w:hAnsiTheme="minorHAnsi"/>
          <w:sz w:val="24"/>
          <w:szCs w:val="24"/>
        </w:rPr>
        <w:t xml:space="preserve">Dňa 27.11.2015 Medzinárodná konferencia – Ochrana duševného vlastníctva v podmienkach vysokých škôl, ktorú organizovala Svetová organizácia duševného vlastníctva WIPO, Úrad priemyselného vlastníctva SR a STU. </w:t>
      </w:r>
      <w:r w:rsidR="004D7330">
        <w:rPr>
          <w:rFonts w:asciiTheme="minorHAnsi" w:hAnsiTheme="minorHAnsi"/>
          <w:sz w:val="24"/>
          <w:szCs w:val="24"/>
        </w:rPr>
        <w:t xml:space="preserve"> </w:t>
      </w:r>
      <w:r w:rsidR="00170C72" w:rsidRPr="002D7A10">
        <w:rPr>
          <w:rFonts w:asciiTheme="minorHAnsi" w:hAnsiTheme="minorHAnsi"/>
          <w:sz w:val="24"/>
          <w:szCs w:val="24"/>
        </w:rPr>
        <w:t xml:space="preserve">Dňa 07.10.2015 sa uskutočnila konferencia NITT 2015 – Transfer technológií na Slovensku a v zahraničí, na ktorej </w:t>
      </w:r>
      <w:r w:rsidR="00170C72" w:rsidRPr="002D7A10">
        <w:rPr>
          <w:rFonts w:asciiTheme="minorHAnsi" w:hAnsiTheme="minorHAnsi"/>
          <w:b/>
          <w:sz w:val="24"/>
          <w:szCs w:val="24"/>
        </w:rPr>
        <w:t xml:space="preserve">Kancelária spolupráce s praxou získala cenu v kategórií „Najlepšie realizovaný transfer technológií“ za technológiu </w:t>
      </w:r>
      <w:r w:rsidR="00170C72" w:rsidRPr="002D7A10">
        <w:rPr>
          <w:rFonts w:asciiTheme="minorHAnsi" w:hAnsiTheme="minorHAnsi"/>
          <w:b/>
          <w:i/>
          <w:sz w:val="24"/>
          <w:szCs w:val="24"/>
        </w:rPr>
        <w:t xml:space="preserve">Prísada na zvýšenie </w:t>
      </w:r>
      <w:proofErr w:type="spellStart"/>
      <w:r w:rsidR="00170C72" w:rsidRPr="002D7A10">
        <w:rPr>
          <w:rFonts w:asciiTheme="minorHAnsi" w:hAnsiTheme="minorHAnsi"/>
          <w:b/>
          <w:i/>
          <w:sz w:val="24"/>
          <w:szCs w:val="24"/>
        </w:rPr>
        <w:t>cetánového</w:t>
      </w:r>
      <w:proofErr w:type="spellEnd"/>
      <w:r w:rsidR="00170C72" w:rsidRPr="002D7A10">
        <w:rPr>
          <w:rFonts w:asciiTheme="minorHAnsi" w:hAnsiTheme="minorHAnsi"/>
          <w:b/>
          <w:i/>
          <w:sz w:val="24"/>
          <w:szCs w:val="24"/>
        </w:rPr>
        <w:t xml:space="preserve"> čísla  dieselových palív alebo </w:t>
      </w:r>
      <w:proofErr w:type="spellStart"/>
      <w:r w:rsidR="00170C72" w:rsidRPr="002D7A10">
        <w:rPr>
          <w:rFonts w:asciiTheme="minorHAnsi" w:hAnsiTheme="minorHAnsi"/>
          <w:b/>
          <w:i/>
          <w:sz w:val="24"/>
          <w:szCs w:val="24"/>
        </w:rPr>
        <w:t>biodieselových</w:t>
      </w:r>
      <w:proofErr w:type="spellEnd"/>
      <w:r w:rsidR="00170C72" w:rsidRPr="002D7A10">
        <w:rPr>
          <w:rFonts w:asciiTheme="minorHAnsi" w:hAnsiTheme="minorHAnsi"/>
          <w:b/>
          <w:i/>
          <w:sz w:val="24"/>
          <w:szCs w:val="24"/>
        </w:rPr>
        <w:t xml:space="preserve"> palív a jeho použitie</w:t>
      </w:r>
      <w:r w:rsidR="00170C72" w:rsidRPr="002D7A10">
        <w:rPr>
          <w:rFonts w:asciiTheme="minorHAnsi" w:hAnsiTheme="minorHAnsi"/>
          <w:b/>
          <w:sz w:val="24"/>
          <w:szCs w:val="24"/>
        </w:rPr>
        <w:t>.</w:t>
      </w:r>
      <w:r w:rsidR="00170C72" w:rsidRPr="002D7A10">
        <w:rPr>
          <w:rFonts w:asciiTheme="minorHAnsi" w:hAnsiTheme="minorHAnsi"/>
          <w:sz w:val="24"/>
          <w:szCs w:val="24"/>
        </w:rPr>
        <w:t xml:space="preserve"> Pôvodcami technológie sú doc. Ing. Pavol </w:t>
      </w:r>
      <w:proofErr w:type="spellStart"/>
      <w:r w:rsidR="00170C72" w:rsidRPr="002D7A10">
        <w:rPr>
          <w:rFonts w:asciiTheme="minorHAnsi" w:hAnsiTheme="minorHAnsi"/>
          <w:sz w:val="24"/>
          <w:szCs w:val="24"/>
        </w:rPr>
        <w:t>Daučík</w:t>
      </w:r>
      <w:proofErr w:type="spellEnd"/>
      <w:r w:rsidR="00170C72" w:rsidRPr="002D7A10">
        <w:rPr>
          <w:rFonts w:asciiTheme="minorHAnsi" w:hAnsiTheme="minorHAnsi"/>
          <w:sz w:val="24"/>
          <w:szCs w:val="24"/>
        </w:rPr>
        <w:t xml:space="preserve">, PhD., doc. Ing. Elena </w:t>
      </w:r>
      <w:proofErr w:type="spellStart"/>
      <w:r w:rsidR="00170C72" w:rsidRPr="002D7A10">
        <w:rPr>
          <w:rFonts w:asciiTheme="minorHAnsi" w:hAnsiTheme="minorHAnsi"/>
          <w:sz w:val="24"/>
          <w:szCs w:val="24"/>
        </w:rPr>
        <w:t>Hájeková</w:t>
      </w:r>
      <w:proofErr w:type="spellEnd"/>
      <w:r w:rsidR="00170C72" w:rsidRPr="002D7A10">
        <w:rPr>
          <w:rFonts w:asciiTheme="minorHAnsi" w:hAnsiTheme="minorHAnsi"/>
          <w:sz w:val="24"/>
          <w:szCs w:val="24"/>
        </w:rPr>
        <w:t xml:space="preserve">, PhD., Ing. Lukáš </w:t>
      </w:r>
      <w:proofErr w:type="spellStart"/>
      <w:r w:rsidR="00170C72" w:rsidRPr="002D7A10">
        <w:rPr>
          <w:rFonts w:asciiTheme="minorHAnsi" w:hAnsiTheme="minorHAnsi"/>
          <w:sz w:val="24"/>
          <w:szCs w:val="24"/>
        </w:rPr>
        <w:t>Bučinský</w:t>
      </w:r>
      <w:proofErr w:type="spellEnd"/>
      <w:r w:rsidR="00170C72" w:rsidRPr="002D7A10">
        <w:rPr>
          <w:rFonts w:asciiTheme="minorHAnsi" w:hAnsiTheme="minorHAnsi"/>
          <w:sz w:val="24"/>
          <w:szCs w:val="24"/>
        </w:rPr>
        <w:t xml:space="preserve">, PhD., Mgr. Marcela </w:t>
      </w:r>
      <w:proofErr w:type="spellStart"/>
      <w:r w:rsidR="00170C72" w:rsidRPr="002D7A10">
        <w:rPr>
          <w:rFonts w:asciiTheme="minorHAnsi" w:hAnsiTheme="minorHAnsi"/>
          <w:sz w:val="24"/>
          <w:szCs w:val="24"/>
        </w:rPr>
        <w:t>Hadvinová</w:t>
      </w:r>
      <w:proofErr w:type="spellEnd"/>
      <w:r w:rsidR="00170C72" w:rsidRPr="002D7A10">
        <w:rPr>
          <w:rFonts w:asciiTheme="minorHAnsi" w:hAnsiTheme="minorHAnsi"/>
          <w:sz w:val="24"/>
          <w:szCs w:val="24"/>
        </w:rPr>
        <w:t xml:space="preserve"> </w:t>
      </w:r>
      <w:r w:rsidR="004D7330">
        <w:rPr>
          <w:rFonts w:asciiTheme="minorHAnsi" w:hAnsiTheme="minorHAnsi"/>
          <w:sz w:val="24"/>
          <w:szCs w:val="24"/>
        </w:rPr>
        <w:t xml:space="preserve">a Ing. Tibor </w:t>
      </w:r>
      <w:proofErr w:type="spellStart"/>
      <w:r w:rsidR="004D7330">
        <w:rPr>
          <w:rFonts w:asciiTheme="minorHAnsi" w:hAnsiTheme="minorHAnsi"/>
          <w:sz w:val="24"/>
          <w:szCs w:val="24"/>
        </w:rPr>
        <w:t>Jakubík</w:t>
      </w:r>
      <w:proofErr w:type="spellEnd"/>
      <w:r w:rsidR="004D7330">
        <w:rPr>
          <w:rFonts w:asciiTheme="minorHAnsi" w:hAnsiTheme="minorHAnsi"/>
          <w:sz w:val="24"/>
          <w:szCs w:val="24"/>
        </w:rPr>
        <w:t xml:space="preserve">, CSc. </w:t>
      </w:r>
      <w:r w:rsidR="00170C72" w:rsidRPr="002D7A10">
        <w:rPr>
          <w:rFonts w:asciiTheme="minorHAnsi" w:hAnsiTheme="minorHAnsi"/>
          <w:sz w:val="24"/>
          <w:szCs w:val="24"/>
        </w:rPr>
        <w:t xml:space="preserve">Na tejto konferencii získal ocenenie aj doc. Ing. František </w:t>
      </w:r>
      <w:proofErr w:type="spellStart"/>
      <w:r w:rsidR="00170C72" w:rsidRPr="002D7A10">
        <w:rPr>
          <w:rFonts w:asciiTheme="minorHAnsi" w:hAnsiTheme="minorHAnsi"/>
          <w:sz w:val="24"/>
          <w:szCs w:val="24"/>
        </w:rPr>
        <w:t>Duchoň</w:t>
      </w:r>
      <w:proofErr w:type="spellEnd"/>
      <w:r w:rsidR="00170C72" w:rsidRPr="002D7A10">
        <w:rPr>
          <w:rFonts w:asciiTheme="minorHAnsi" w:hAnsiTheme="minorHAnsi"/>
          <w:sz w:val="24"/>
          <w:szCs w:val="24"/>
        </w:rPr>
        <w:t xml:space="preserve">, PhD. a kol. v kategórií z FEI „Prístup </w:t>
      </w:r>
      <w:proofErr w:type="spellStart"/>
      <w:r w:rsidR="00170C72" w:rsidRPr="002D7A10">
        <w:rPr>
          <w:rFonts w:asciiTheme="minorHAnsi" w:hAnsiTheme="minorHAnsi"/>
          <w:sz w:val="24"/>
          <w:szCs w:val="24"/>
        </w:rPr>
        <w:t>inovátora</w:t>
      </w:r>
      <w:proofErr w:type="spellEnd"/>
      <w:r w:rsidR="00170C72" w:rsidRPr="002D7A10">
        <w:rPr>
          <w:rFonts w:asciiTheme="minorHAnsi" w:hAnsiTheme="minorHAnsi"/>
          <w:sz w:val="24"/>
          <w:szCs w:val="24"/>
        </w:rPr>
        <w:t xml:space="preserve"> k realizácií transferu technológií“.</w:t>
      </w:r>
    </w:p>
    <w:p w:rsidR="00170C72" w:rsidRPr="002D7A10" w:rsidRDefault="00170C72" w:rsidP="00520814">
      <w:pPr>
        <w:rPr>
          <w:rFonts w:asciiTheme="minorHAnsi" w:hAnsiTheme="minorHAnsi"/>
        </w:rPr>
      </w:pPr>
    </w:p>
    <w:p w:rsidR="00170C72" w:rsidRPr="002D7A10" w:rsidRDefault="00170C72" w:rsidP="00520814">
      <w:pPr>
        <w:rPr>
          <w:rFonts w:asciiTheme="minorHAnsi" w:hAnsiTheme="minorHAnsi"/>
        </w:rPr>
      </w:pPr>
      <w:r w:rsidRPr="002D7A10">
        <w:rPr>
          <w:rFonts w:asciiTheme="minorHAnsi" w:hAnsiTheme="minorHAnsi"/>
        </w:rPr>
        <w:t xml:space="preserve">V roku 2015 boli zapísané v registroch ÚPV SR nasledovné patenty a úžitkové vzory vo vlastníctve STU: </w:t>
      </w:r>
    </w:p>
    <w:p w:rsidR="00170C72" w:rsidRPr="002D7A10" w:rsidRDefault="00170C72" w:rsidP="00520814">
      <w:pPr>
        <w:pStyle w:val="Odsekzoznamu"/>
        <w:numPr>
          <w:ilvl w:val="0"/>
          <w:numId w:val="43"/>
        </w:numPr>
        <w:spacing w:line="240" w:lineRule="auto"/>
        <w:rPr>
          <w:rFonts w:asciiTheme="minorHAnsi" w:hAnsiTheme="minorHAnsi"/>
          <w:sz w:val="24"/>
          <w:szCs w:val="24"/>
        </w:rPr>
      </w:pPr>
      <w:r w:rsidRPr="002D7A10">
        <w:rPr>
          <w:rFonts w:asciiTheme="minorHAnsi" w:hAnsiTheme="minorHAnsi"/>
          <w:sz w:val="24"/>
          <w:szCs w:val="24"/>
        </w:rPr>
        <w:t xml:space="preserve">Patent P288302, </w:t>
      </w:r>
      <w:r w:rsidRPr="002D7A10">
        <w:rPr>
          <w:rFonts w:asciiTheme="minorHAnsi" w:hAnsiTheme="minorHAnsi"/>
          <w:b/>
          <w:sz w:val="24"/>
          <w:szCs w:val="24"/>
        </w:rPr>
        <w:t xml:space="preserve">Prísada na zvýšenie </w:t>
      </w:r>
      <w:proofErr w:type="spellStart"/>
      <w:r w:rsidRPr="002D7A10">
        <w:rPr>
          <w:rFonts w:asciiTheme="minorHAnsi" w:hAnsiTheme="minorHAnsi"/>
          <w:b/>
          <w:sz w:val="24"/>
          <w:szCs w:val="24"/>
        </w:rPr>
        <w:t>cetánového</w:t>
      </w:r>
      <w:proofErr w:type="spellEnd"/>
      <w:r w:rsidRPr="002D7A10">
        <w:rPr>
          <w:rFonts w:asciiTheme="minorHAnsi" w:hAnsiTheme="minorHAnsi"/>
          <w:b/>
          <w:sz w:val="24"/>
          <w:szCs w:val="24"/>
        </w:rPr>
        <w:t xml:space="preserve"> čísla  dieselových palív a </w:t>
      </w:r>
      <w:proofErr w:type="spellStart"/>
      <w:r w:rsidRPr="002D7A10">
        <w:rPr>
          <w:rFonts w:asciiTheme="minorHAnsi" w:hAnsiTheme="minorHAnsi"/>
          <w:b/>
          <w:sz w:val="24"/>
          <w:szCs w:val="24"/>
        </w:rPr>
        <w:t>biodieselových</w:t>
      </w:r>
      <w:proofErr w:type="spellEnd"/>
      <w:r w:rsidRPr="002D7A10">
        <w:rPr>
          <w:rFonts w:asciiTheme="minorHAnsi" w:hAnsiTheme="minorHAnsi"/>
          <w:b/>
          <w:sz w:val="24"/>
          <w:szCs w:val="24"/>
        </w:rPr>
        <w:t xml:space="preserve"> palív a jej použitie</w:t>
      </w:r>
      <w:r w:rsidRPr="002D7A10">
        <w:rPr>
          <w:rFonts w:asciiTheme="minorHAnsi" w:hAnsiTheme="minorHAnsi"/>
          <w:sz w:val="24"/>
          <w:szCs w:val="24"/>
        </w:rPr>
        <w:t xml:space="preserve">, pôvodcovia: doc. Ing. Pavol </w:t>
      </w:r>
      <w:proofErr w:type="spellStart"/>
      <w:r w:rsidRPr="002D7A10">
        <w:rPr>
          <w:rFonts w:asciiTheme="minorHAnsi" w:hAnsiTheme="minorHAnsi"/>
          <w:sz w:val="24"/>
          <w:szCs w:val="24"/>
        </w:rPr>
        <w:t>Daučík</w:t>
      </w:r>
      <w:proofErr w:type="spellEnd"/>
      <w:r w:rsidRPr="002D7A10">
        <w:rPr>
          <w:rFonts w:asciiTheme="minorHAnsi" w:hAnsiTheme="minorHAnsi"/>
          <w:sz w:val="24"/>
          <w:szCs w:val="24"/>
        </w:rPr>
        <w:t xml:space="preserve">, PhD.; doc. Ing. Elena </w:t>
      </w:r>
      <w:proofErr w:type="spellStart"/>
      <w:r w:rsidRPr="002D7A10">
        <w:rPr>
          <w:rFonts w:asciiTheme="minorHAnsi" w:hAnsiTheme="minorHAnsi"/>
          <w:sz w:val="24"/>
          <w:szCs w:val="24"/>
        </w:rPr>
        <w:t>Hájeková</w:t>
      </w:r>
      <w:proofErr w:type="spellEnd"/>
      <w:r w:rsidRPr="002D7A10">
        <w:rPr>
          <w:rFonts w:asciiTheme="minorHAnsi" w:hAnsiTheme="minorHAnsi"/>
          <w:sz w:val="24"/>
          <w:szCs w:val="24"/>
        </w:rPr>
        <w:t xml:space="preserve">, PhD.; Ing. Lukáš </w:t>
      </w:r>
      <w:proofErr w:type="spellStart"/>
      <w:r w:rsidRPr="002D7A10">
        <w:rPr>
          <w:rFonts w:asciiTheme="minorHAnsi" w:hAnsiTheme="minorHAnsi"/>
          <w:sz w:val="24"/>
          <w:szCs w:val="24"/>
        </w:rPr>
        <w:t>Bučinský</w:t>
      </w:r>
      <w:proofErr w:type="spellEnd"/>
      <w:r w:rsidRPr="002D7A10">
        <w:rPr>
          <w:rFonts w:asciiTheme="minorHAnsi" w:hAnsiTheme="minorHAnsi"/>
          <w:sz w:val="24"/>
          <w:szCs w:val="24"/>
        </w:rPr>
        <w:t xml:space="preserve">, PhD.; Mgr. Marcela </w:t>
      </w:r>
      <w:proofErr w:type="spellStart"/>
      <w:r w:rsidRPr="002D7A10">
        <w:rPr>
          <w:rFonts w:asciiTheme="minorHAnsi" w:hAnsiTheme="minorHAnsi"/>
          <w:sz w:val="24"/>
          <w:szCs w:val="24"/>
        </w:rPr>
        <w:t>Hdvinová</w:t>
      </w:r>
      <w:proofErr w:type="spellEnd"/>
      <w:r w:rsidRPr="002D7A10">
        <w:rPr>
          <w:rFonts w:asciiTheme="minorHAnsi" w:hAnsiTheme="minorHAnsi"/>
          <w:sz w:val="24"/>
          <w:szCs w:val="24"/>
        </w:rPr>
        <w:t xml:space="preserve">; Ing. Tibor </w:t>
      </w:r>
      <w:proofErr w:type="spellStart"/>
      <w:r w:rsidRPr="002D7A10">
        <w:rPr>
          <w:rFonts w:asciiTheme="minorHAnsi" w:hAnsiTheme="minorHAnsi"/>
          <w:sz w:val="24"/>
          <w:szCs w:val="24"/>
        </w:rPr>
        <w:t>Jakubík</w:t>
      </w:r>
      <w:proofErr w:type="spellEnd"/>
      <w:r w:rsidRPr="002D7A10">
        <w:rPr>
          <w:rFonts w:asciiTheme="minorHAnsi" w:hAnsiTheme="minorHAnsi"/>
          <w:sz w:val="24"/>
          <w:szCs w:val="24"/>
        </w:rPr>
        <w:t>, PhD.</w:t>
      </w:r>
    </w:p>
    <w:p w:rsidR="00170C72" w:rsidRPr="002D7A10" w:rsidRDefault="00170C72" w:rsidP="00520814">
      <w:pPr>
        <w:pStyle w:val="Odsekzoznamu"/>
        <w:numPr>
          <w:ilvl w:val="0"/>
          <w:numId w:val="43"/>
        </w:numPr>
        <w:spacing w:line="240" w:lineRule="auto"/>
        <w:rPr>
          <w:rFonts w:asciiTheme="minorHAnsi" w:hAnsiTheme="minorHAnsi"/>
          <w:sz w:val="24"/>
          <w:szCs w:val="24"/>
        </w:rPr>
      </w:pPr>
      <w:r w:rsidRPr="002D7A10">
        <w:rPr>
          <w:rFonts w:asciiTheme="minorHAnsi" w:hAnsiTheme="minorHAnsi"/>
          <w:sz w:val="24"/>
          <w:szCs w:val="24"/>
        </w:rPr>
        <w:t xml:space="preserve">Úžitkový vzor ÚV 7283, </w:t>
      </w:r>
      <w:r w:rsidRPr="002D7A10">
        <w:rPr>
          <w:rFonts w:asciiTheme="minorHAnsi" w:hAnsiTheme="minorHAnsi"/>
          <w:b/>
          <w:sz w:val="24"/>
          <w:szCs w:val="24"/>
        </w:rPr>
        <w:t>Mobilný univerzálny merací systém tlakov v partikulárnych materiáloch a spôsob kalibrácie tlakových snímačov,</w:t>
      </w:r>
      <w:r w:rsidRPr="002D7A10">
        <w:rPr>
          <w:rFonts w:asciiTheme="minorHAnsi" w:hAnsiTheme="minorHAnsi"/>
          <w:sz w:val="24"/>
          <w:szCs w:val="24"/>
        </w:rPr>
        <w:t xml:space="preserve"> pôvodcovia: Ing. Peter Peciar; prof. Ing. Marián Peciar, PhD.; doc. Ing. Roman Fekete, PhD.</w:t>
      </w:r>
    </w:p>
    <w:p w:rsidR="00170C72" w:rsidRPr="002D7A10" w:rsidRDefault="00170C72" w:rsidP="00520814">
      <w:pPr>
        <w:pStyle w:val="Odsekzoznamu"/>
        <w:numPr>
          <w:ilvl w:val="0"/>
          <w:numId w:val="43"/>
        </w:numPr>
        <w:spacing w:line="240" w:lineRule="auto"/>
        <w:rPr>
          <w:rFonts w:asciiTheme="minorHAnsi" w:hAnsiTheme="minorHAnsi"/>
          <w:sz w:val="24"/>
          <w:szCs w:val="24"/>
        </w:rPr>
      </w:pPr>
      <w:r w:rsidRPr="002D7A10">
        <w:rPr>
          <w:rFonts w:asciiTheme="minorHAnsi" w:hAnsiTheme="minorHAnsi"/>
          <w:sz w:val="24"/>
          <w:szCs w:val="24"/>
        </w:rPr>
        <w:t xml:space="preserve">Úžitkový vzor ÚV 7215, </w:t>
      </w:r>
      <w:r w:rsidRPr="002D7A10">
        <w:rPr>
          <w:rFonts w:asciiTheme="minorHAnsi" w:hAnsiTheme="minorHAnsi"/>
          <w:b/>
          <w:sz w:val="24"/>
          <w:szCs w:val="24"/>
        </w:rPr>
        <w:t>Spôsob rozlíšenia použitia viacerých tlačiarní v jednom vytlačenom dokumente</w:t>
      </w:r>
      <w:r w:rsidRPr="002D7A10">
        <w:rPr>
          <w:rFonts w:asciiTheme="minorHAnsi" w:hAnsiTheme="minorHAnsi"/>
          <w:sz w:val="24"/>
          <w:szCs w:val="24"/>
        </w:rPr>
        <w:t xml:space="preserve">, pôvodcovia: doc. Ing. Milena Reháková, PhD.; Ing. Lukáš Gál, PhD.; prof. Ing, Michal </w:t>
      </w:r>
      <w:proofErr w:type="spellStart"/>
      <w:r w:rsidRPr="002D7A10">
        <w:rPr>
          <w:rFonts w:asciiTheme="minorHAnsi" w:hAnsiTheme="minorHAnsi"/>
          <w:sz w:val="24"/>
          <w:szCs w:val="24"/>
        </w:rPr>
        <w:t>Čeppan</w:t>
      </w:r>
      <w:proofErr w:type="spellEnd"/>
      <w:r w:rsidRPr="002D7A10">
        <w:rPr>
          <w:rFonts w:asciiTheme="minorHAnsi" w:hAnsiTheme="minorHAnsi"/>
          <w:sz w:val="24"/>
          <w:szCs w:val="24"/>
        </w:rPr>
        <w:t xml:space="preserve">, PhD.; Ing. Michaela </w:t>
      </w:r>
      <w:proofErr w:type="spellStart"/>
      <w:r w:rsidRPr="002D7A10">
        <w:rPr>
          <w:rFonts w:asciiTheme="minorHAnsi" w:hAnsiTheme="minorHAnsi"/>
          <w:sz w:val="24"/>
          <w:szCs w:val="24"/>
        </w:rPr>
        <w:t>Belovičová</w:t>
      </w:r>
      <w:proofErr w:type="spellEnd"/>
      <w:r w:rsidRPr="002D7A10">
        <w:rPr>
          <w:rFonts w:asciiTheme="minorHAnsi" w:hAnsiTheme="minorHAnsi"/>
          <w:sz w:val="24"/>
          <w:szCs w:val="24"/>
        </w:rPr>
        <w:t xml:space="preserve">; Ing. Eva </w:t>
      </w:r>
      <w:proofErr w:type="spellStart"/>
      <w:r w:rsidRPr="002D7A10">
        <w:rPr>
          <w:rFonts w:asciiTheme="minorHAnsi" w:hAnsiTheme="minorHAnsi"/>
          <w:sz w:val="24"/>
          <w:szCs w:val="24"/>
        </w:rPr>
        <w:t>Belányiová</w:t>
      </w:r>
      <w:proofErr w:type="spellEnd"/>
      <w:r w:rsidRPr="002D7A10">
        <w:rPr>
          <w:rFonts w:asciiTheme="minorHAnsi" w:hAnsiTheme="minorHAnsi"/>
          <w:sz w:val="24"/>
          <w:szCs w:val="24"/>
        </w:rPr>
        <w:t xml:space="preserve">; Simona Šimonová; Ing. Vladimír </w:t>
      </w:r>
      <w:proofErr w:type="spellStart"/>
      <w:r w:rsidRPr="002D7A10">
        <w:rPr>
          <w:rFonts w:asciiTheme="minorHAnsi" w:hAnsiTheme="minorHAnsi"/>
          <w:sz w:val="24"/>
          <w:szCs w:val="24"/>
        </w:rPr>
        <w:t>Dvonka</w:t>
      </w:r>
      <w:proofErr w:type="spellEnd"/>
      <w:r w:rsidRPr="002D7A10">
        <w:rPr>
          <w:rFonts w:asciiTheme="minorHAnsi" w:hAnsiTheme="minorHAnsi"/>
          <w:sz w:val="24"/>
          <w:szCs w:val="24"/>
        </w:rPr>
        <w:t xml:space="preserve">, PhD.; Ing. Adriana </w:t>
      </w:r>
      <w:proofErr w:type="spellStart"/>
      <w:r w:rsidRPr="002D7A10">
        <w:rPr>
          <w:rFonts w:asciiTheme="minorHAnsi" w:hAnsiTheme="minorHAnsi"/>
          <w:sz w:val="24"/>
          <w:szCs w:val="24"/>
        </w:rPr>
        <w:t>Jabloncová</w:t>
      </w:r>
      <w:proofErr w:type="spellEnd"/>
      <w:r w:rsidRPr="002D7A10">
        <w:rPr>
          <w:rFonts w:asciiTheme="minorHAnsi" w:hAnsiTheme="minorHAnsi"/>
          <w:sz w:val="24"/>
          <w:szCs w:val="24"/>
        </w:rPr>
        <w:t xml:space="preserve">, RNDr. Alena </w:t>
      </w:r>
      <w:proofErr w:type="spellStart"/>
      <w:r w:rsidRPr="002D7A10">
        <w:rPr>
          <w:rFonts w:asciiTheme="minorHAnsi" w:hAnsiTheme="minorHAnsi"/>
          <w:sz w:val="24"/>
          <w:szCs w:val="24"/>
        </w:rPr>
        <w:t>Uváčková</w:t>
      </w:r>
      <w:proofErr w:type="spellEnd"/>
      <w:r w:rsidRPr="002D7A10">
        <w:rPr>
          <w:rFonts w:asciiTheme="minorHAnsi" w:hAnsiTheme="minorHAnsi"/>
          <w:sz w:val="24"/>
          <w:szCs w:val="24"/>
        </w:rPr>
        <w:t>, CSc.</w:t>
      </w:r>
    </w:p>
    <w:p w:rsidR="00170C72" w:rsidRPr="002D7A10" w:rsidRDefault="00170C72" w:rsidP="00520814">
      <w:pPr>
        <w:pStyle w:val="Odsekzoznamu"/>
        <w:numPr>
          <w:ilvl w:val="0"/>
          <w:numId w:val="43"/>
        </w:numPr>
        <w:spacing w:line="240" w:lineRule="auto"/>
        <w:rPr>
          <w:rFonts w:asciiTheme="minorHAnsi" w:hAnsiTheme="minorHAnsi"/>
          <w:sz w:val="24"/>
          <w:szCs w:val="24"/>
        </w:rPr>
      </w:pPr>
      <w:r w:rsidRPr="002D7A10">
        <w:rPr>
          <w:rFonts w:asciiTheme="minorHAnsi" w:hAnsiTheme="minorHAnsi"/>
          <w:sz w:val="24"/>
          <w:szCs w:val="24"/>
        </w:rPr>
        <w:t xml:space="preserve">Úžitkový vzor ÚV 7212, </w:t>
      </w:r>
      <w:r w:rsidRPr="002D7A10">
        <w:rPr>
          <w:rFonts w:asciiTheme="minorHAnsi" w:hAnsiTheme="minorHAnsi"/>
          <w:b/>
          <w:sz w:val="24"/>
          <w:szCs w:val="24"/>
        </w:rPr>
        <w:t>Spôsob párového rozlíšenia medzi najmenej dvoma druhmi hárkov papierových nosičov informácií,</w:t>
      </w:r>
      <w:r w:rsidRPr="002D7A10">
        <w:rPr>
          <w:rFonts w:asciiTheme="minorHAnsi" w:hAnsiTheme="minorHAnsi"/>
          <w:sz w:val="24"/>
          <w:szCs w:val="24"/>
        </w:rPr>
        <w:t xml:space="preserve"> pôvodcovia: doc. Ing. Katarína Vozárová, PhD.; Ing. Jana </w:t>
      </w:r>
      <w:proofErr w:type="spellStart"/>
      <w:r w:rsidRPr="002D7A10">
        <w:rPr>
          <w:rFonts w:asciiTheme="minorHAnsi" w:hAnsiTheme="minorHAnsi"/>
          <w:sz w:val="24"/>
          <w:szCs w:val="24"/>
        </w:rPr>
        <w:t>Provazníková</w:t>
      </w:r>
      <w:proofErr w:type="spellEnd"/>
      <w:r w:rsidRPr="002D7A10">
        <w:rPr>
          <w:rFonts w:asciiTheme="minorHAnsi" w:hAnsiTheme="minorHAnsi"/>
          <w:sz w:val="24"/>
          <w:szCs w:val="24"/>
        </w:rPr>
        <w:t xml:space="preserve">; Ing. Soňa </w:t>
      </w:r>
      <w:proofErr w:type="spellStart"/>
      <w:r w:rsidRPr="002D7A10">
        <w:rPr>
          <w:rFonts w:asciiTheme="minorHAnsi" w:hAnsiTheme="minorHAnsi"/>
          <w:sz w:val="24"/>
          <w:szCs w:val="24"/>
        </w:rPr>
        <w:t>Kirschnerová</w:t>
      </w:r>
      <w:proofErr w:type="spellEnd"/>
      <w:r w:rsidRPr="002D7A10">
        <w:rPr>
          <w:rFonts w:asciiTheme="minorHAnsi" w:hAnsiTheme="minorHAnsi"/>
          <w:sz w:val="24"/>
          <w:szCs w:val="24"/>
        </w:rPr>
        <w:t>; Ing. Michal Jablonský, PhD.; Mgr. Miroslav Sabo</w:t>
      </w:r>
    </w:p>
    <w:p w:rsidR="00170C72" w:rsidRPr="002D7A10" w:rsidRDefault="00170C72" w:rsidP="00520814">
      <w:pPr>
        <w:pStyle w:val="Odsekzoznamu"/>
        <w:numPr>
          <w:ilvl w:val="0"/>
          <w:numId w:val="43"/>
        </w:numPr>
        <w:spacing w:line="240" w:lineRule="auto"/>
        <w:rPr>
          <w:rFonts w:asciiTheme="minorHAnsi" w:hAnsiTheme="minorHAnsi"/>
          <w:sz w:val="24"/>
          <w:szCs w:val="24"/>
        </w:rPr>
      </w:pPr>
      <w:r w:rsidRPr="002D7A10">
        <w:rPr>
          <w:rFonts w:asciiTheme="minorHAnsi" w:hAnsiTheme="minorHAnsi"/>
          <w:sz w:val="24"/>
          <w:szCs w:val="24"/>
        </w:rPr>
        <w:lastRenderedPageBreak/>
        <w:t xml:space="preserve">Úžitkový vzor ÚV 7231, </w:t>
      </w:r>
      <w:r w:rsidRPr="002D7A10">
        <w:rPr>
          <w:rFonts w:asciiTheme="minorHAnsi" w:hAnsiTheme="minorHAnsi"/>
          <w:b/>
          <w:sz w:val="24"/>
          <w:szCs w:val="24"/>
        </w:rPr>
        <w:t>Integrovaný elektrický pohon kolies v </w:t>
      </w:r>
      <w:proofErr w:type="spellStart"/>
      <w:r w:rsidRPr="002D7A10">
        <w:rPr>
          <w:rFonts w:asciiTheme="minorHAnsi" w:hAnsiTheme="minorHAnsi"/>
          <w:b/>
          <w:sz w:val="24"/>
          <w:szCs w:val="24"/>
        </w:rPr>
        <w:t>kyvných</w:t>
      </w:r>
      <w:proofErr w:type="spellEnd"/>
      <w:r w:rsidRPr="002D7A10">
        <w:rPr>
          <w:rFonts w:asciiTheme="minorHAnsi" w:hAnsiTheme="minorHAnsi"/>
          <w:b/>
          <w:sz w:val="24"/>
          <w:szCs w:val="24"/>
        </w:rPr>
        <w:t xml:space="preserve"> ramenách podvozku </w:t>
      </w:r>
      <w:proofErr w:type="spellStart"/>
      <w:r w:rsidRPr="002D7A10">
        <w:rPr>
          <w:rFonts w:asciiTheme="minorHAnsi" w:hAnsiTheme="minorHAnsi"/>
          <w:b/>
          <w:sz w:val="24"/>
          <w:szCs w:val="24"/>
        </w:rPr>
        <w:t>bezobslužného</w:t>
      </w:r>
      <w:proofErr w:type="spellEnd"/>
      <w:r w:rsidRPr="002D7A10">
        <w:rPr>
          <w:rFonts w:asciiTheme="minorHAnsi" w:hAnsiTheme="minorHAnsi"/>
          <w:b/>
          <w:sz w:val="24"/>
          <w:szCs w:val="24"/>
        </w:rPr>
        <w:t xml:space="preserve"> pozemného vozidla</w:t>
      </w:r>
      <w:r w:rsidRPr="002D7A10">
        <w:rPr>
          <w:rFonts w:asciiTheme="minorHAnsi" w:hAnsiTheme="minorHAnsi"/>
          <w:sz w:val="24"/>
          <w:szCs w:val="24"/>
        </w:rPr>
        <w:t xml:space="preserve">, pôvodcovia: Ing. Juraj </w:t>
      </w:r>
      <w:proofErr w:type="spellStart"/>
      <w:r w:rsidRPr="002D7A10">
        <w:rPr>
          <w:rFonts w:asciiTheme="minorHAnsi" w:hAnsiTheme="minorHAnsi"/>
          <w:sz w:val="24"/>
          <w:szCs w:val="24"/>
        </w:rPr>
        <w:t>Madarás</w:t>
      </w:r>
      <w:proofErr w:type="spellEnd"/>
      <w:r w:rsidRPr="002D7A10">
        <w:rPr>
          <w:rFonts w:asciiTheme="minorHAnsi" w:hAnsiTheme="minorHAnsi"/>
          <w:sz w:val="24"/>
          <w:szCs w:val="24"/>
        </w:rPr>
        <w:t xml:space="preserve">; Ing. Martin </w:t>
      </w:r>
      <w:proofErr w:type="spellStart"/>
      <w:r w:rsidRPr="002D7A10">
        <w:rPr>
          <w:rFonts w:asciiTheme="minorHAnsi" w:hAnsiTheme="minorHAnsi"/>
          <w:sz w:val="24"/>
          <w:szCs w:val="24"/>
        </w:rPr>
        <w:t>Bugár</w:t>
      </w:r>
      <w:proofErr w:type="spellEnd"/>
      <w:r w:rsidRPr="002D7A10">
        <w:rPr>
          <w:rFonts w:asciiTheme="minorHAnsi" w:hAnsiTheme="minorHAnsi"/>
          <w:sz w:val="24"/>
          <w:szCs w:val="24"/>
        </w:rPr>
        <w:t xml:space="preserve">; prof. Ing. Viktor </w:t>
      </w:r>
      <w:proofErr w:type="spellStart"/>
      <w:r w:rsidRPr="002D7A10">
        <w:rPr>
          <w:rFonts w:asciiTheme="minorHAnsi" w:hAnsiTheme="minorHAnsi"/>
          <w:sz w:val="24"/>
          <w:szCs w:val="24"/>
        </w:rPr>
        <w:t>Ferencey</w:t>
      </w:r>
      <w:proofErr w:type="spellEnd"/>
      <w:r w:rsidRPr="002D7A10">
        <w:rPr>
          <w:rFonts w:asciiTheme="minorHAnsi" w:hAnsiTheme="minorHAnsi"/>
          <w:sz w:val="24"/>
          <w:szCs w:val="24"/>
        </w:rPr>
        <w:t>, PhD.</w:t>
      </w:r>
    </w:p>
    <w:p w:rsidR="00170C72" w:rsidRPr="002D7A10" w:rsidRDefault="00170C72" w:rsidP="00520814">
      <w:pPr>
        <w:pStyle w:val="Odsekzoznamu"/>
        <w:numPr>
          <w:ilvl w:val="0"/>
          <w:numId w:val="43"/>
        </w:numPr>
        <w:spacing w:line="240" w:lineRule="auto"/>
        <w:rPr>
          <w:rFonts w:asciiTheme="minorHAnsi" w:hAnsiTheme="minorHAnsi"/>
          <w:sz w:val="24"/>
          <w:szCs w:val="24"/>
        </w:rPr>
      </w:pPr>
      <w:r w:rsidRPr="002D7A10">
        <w:rPr>
          <w:rFonts w:asciiTheme="minorHAnsi" w:hAnsiTheme="minorHAnsi"/>
          <w:sz w:val="24"/>
          <w:szCs w:val="24"/>
        </w:rPr>
        <w:t xml:space="preserve">Úžitkový vzor ÚV 7163, </w:t>
      </w:r>
      <w:r w:rsidRPr="002D7A10">
        <w:rPr>
          <w:rFonts w:asciiTheme="minorHAnsi" w:hAnsiTheme="minorHAnsi"/>
          <w:b/>
          <w:sz w:val="24"/>
          <w:szCs w:val="24"/>
        </w:rPr>
        <w:t>Laboratórne zariadenie na zisťovanie vplyvu parametrov pri lisovaní partikulárnych látok</w:t>
      </w:r>
      <w:r w:rsidRPr="002D7A10">
        <w:rPr>
          <w:rFonts w:asciiTheme="minorHAnsi" w:hAnsiTheme="minorHAnsi"/>
          <w:sz w:val="24"/>
          <w:szCs w:val="24"/>
        </w:rPr>
        <w:t xml:space="preserve">, pôvodcovia: Ing. Miloš Matúš; Ing. Peter Križan; prof. Ing. Ľubomír </w:t>
      </w:r>
      <w:proofErr w:type="spellStart"/>
      <w:r w:rsidRPr="002D7A10">
        <w:rPr>
          <w:rFonts w:asciiTheme="minorHAnsi" w:hAnsiTheme="minorHAnsi"/>
          <w:sz w:val="24"/>
          <w:szCs w:val="24"/>
        </w:rPr>
        <w:t>Šooš</w:t>
      </w:r>
      <w:proofErr w:type="spellEnd"/>
      <w:r w:rsidRPr="002D7A10">
        <w:rPr>
          <w:rFonts w:asciiTheme="minorHAnsi" w:hAnsiTheme="minorHAnsi"/>
          <w:sz w:val="24"/>
          <w:szCs w:val="24"/>
        </w:rPr>
        <w:t>, PhD.</w:t>
      </w:r>
    </w:p>
    <w:p w:rsidR="00170C72" w:rsidRPr="002D7A10" w:rsidRDefault="00170C72" w:rsidP="00520814">
      <w:pPr>
        <w:pStyle w:val="Odsekzoznamu"/>
        <w:numPr>
          <w:ilvl w:val="0"/>
          <w:numId w:val="43"/>
        </w:numPr>
        <w:spacing w:line="240" w:lineRule="auto"/>
        <w:rPr>
          <w:rFonts w:asciiTheme="minorHAnsi" w:hAnsiTheme="minorHAnsi"/>
          <w:sz w:val="24"/>
          <w:szCs w:val="24"/>
        </w:rPr>
      </w:pPr>
      <w:r w:rsidRPr="002D7A10">
        <w:rPr>
          <w:rFonts w:asciiTheme="minorHAnsi" w:hAnsiTheme="minorHAnsi"/>
          <w:sz w:val="24"/>
          <w:szCs w:val="24"/>
        </w:rPr>
        <w:t xml:space="preserve">Úžitkový vzor ÚV 7078, </w:t>
      </w:r>
      <w:r w:rsidRPr="002D7A10">
        <w:rPr>
          <w:rFonts w:asciiTheme="minorHAnsi" w:hAnsiTheme="minorHAnsi"/>
          <w:b/>
          <w:sz w:val="24"/>
          <w:szCs w:val="24"/>
        </w:rPr>
        <w:t>Radiálne magnetické ložisko,</w:t>
      </w:r>
      <w:r w:rsidRPr="002D7A10">
        <w:rPr>
          <w:rFonts w:asciiTheme="minorHAnsi" w:hAnsiTheme="minorHAnsi"/>
          <w:sz w:val="24"/>
          <w:szCs w:val="24"/>
        </w:rPr>
        <w:t xml:space="preserve"> pôvodcovia: doc. Ing. Ľuboš </w:t>
      </w:r>
      <w:proofErr w:type="spellStart"/>
      <w:r w:rsidRPr="002D7A10">
        <w:rPr>
          <w:rFonts w:asciiTheme="minorHAnsi" w:hAnsiTheme="minorHAnsi"/>
          <w:sz w:val="24"/>
          <w:szCs w:val="24"/>
        </w:rPr>
        <w:t>Magdolen</w:t>
      </w:r>
      <w:proofErr w:type="spellEnd"/>
      <w:r w:rsidRPr="002D7A10">
        <w:rPr>
          <w:rFonts w:asciiTheme="minorHAnsi" w:hAnsiTheme="minorHAnsi"/>
          <w:sz w:val="24"/>
          <w:szCs w:val="24"/>
        </w:rPr>
        <w:t>, PhD.; doc. Ing. Michal Masaryk, PhD.</w:t>
      </w:r>
    </w:p>
    <w:p w:rsidR="00170C72" w:rsidRPr="002D7A10" w:rsidRDefault="00170C72" w:rsidP="00520814">
      <w:pPr>
        <w:pStyle w:val="Odsekzoznamu"/>
        <w:numPr>
          <w:ilvl w:val="0"/>
          <w:numId w:val="43"/>
        </w:numPr>
        <w:spacing w:line="240" w:lineRule="auto"/>
        <w:rPr>
          <w:rFonts w:asciiTheme="minorHAnsi" w:hAnsiTheme="minorHAnsi"/>
          <w:sz w:val="24"/>
          <w:szCs w:val="24"/>
        </w:rPr>
      </w:pPr>
      <w:r w:rsidRPr="002D7A10">
        <w:rPr>
          <w:rFonts w:asciiTheme="minorHAnsi" w:hAnsiTheme="minorHAnsi"/>
          <w:sz w:val="24"/>
          <w:szCs w:val="24"/>
        </w:rPr>
        <w:t xml:space="preserve">Úžitkový vzor ÚV 7077, </w:t>
      </w:r>
      <w:r w:rsidRPr="002D7A10">
        <w:rPr>
          <w:rFonts w:asciiTheme="minorHAnsi" w:hAnsiTheme="minorHAnsi"/>
          <w:b/>
          <w:sz w:val="24"/>
          <w:szCs w:val="24"/>
        </w:rPr>
        <w:t>Rotačný elektrodynamický stroj</w:t>
      </w:r>
      <w:r w:rsidRPr="002D7A10">
        <w:rPr>
          <w:rFonts w:asciiTheme="minorHAnsi" w:hAnsiTheme="minorHAnsi"/>
          <w:sz w:val="24"/>
          <w:szCs w:val="24"/>
        </w:rPr>
        <w:t xml:space="preserve">, najmä zotrvačníkový </w:t>
      </w:r>
      <w:proofErr w:type="spellStart"/>
      <w:r w:rsidRPr="002D7A10">
        <w:rPr>
          <w:rFonts w:asciiTheme="minorHAnsi" w:hAnsiTheme="minorHAnsi"/>
          <w:sz w:val="24"/>
          <w:szCs w:val="24"/>
        </w:rPr>
        <w:t>motorgenerátor</w:t>
      </w:r>
      <w:proofErr w:type="spellEnd"/>
      <w:r w:rsidRPr="002D7A10">
        <w:rPr>
          <w:rFonts w:asciiTheme="minorHAnsi" w:hAnsiTheme="minorHAnsi"/>
          <w:sz w:val="24"/>
          <w:szCs w:val="24"/>
        </w:rPr>
        <w:t xml:space="preserve"> na akumuláciu elektrickej energie, pôvodcovia: doc. Ing. Ľuboš </w:t>
      </w:r>
      <w:proofErr w:type="spellStart"/>
      <w:r w:rsidRPr="002D7A10">
        <w:rPr>
          <w:rFonts w:asciiTheme="minorHAnsi" w:hAnsiTheme="minorHAnsi"/>
          <w:sz w:val="24"/>
          <w:szCs w:val="24"/>
        </w:rPr>
        <w:t>Magdolen</w:t>
      </w:r>
      <w:proofErr w:type="spellEnd"/>
      <w:r w:rsidRPr="002D7A10">
        <w:rPr>
          <w:rFonts w:asciiTheme="minorHAnsi" w:hAnsiTheme="minorHAnsi"/>
          <w:sz w:val="24"/>
          <w:szCs w:val="24"/>
        </w:rPr>
        <w:t>, PhD.;  doc. Ing. Michal Masaryk, PhD.</w:t>
      </w:r>
    </w:p>
    <w:p w:rsidR="00170C72" w:rsidRDefault="00170C72" w:rsidP="00520814">
      <w:pPr>
        <w:pStyle w:val="Odsekzoznamu"/>
        <w:numPr>
          <w:ilvl w:val="0"/>
          <w:numId w:val="43"/>
        </w:numPr>
        <w:spacing w:line="240" w:lineRule="auto"/>
        <w:rPr>
          <w:rFonts w:asciiTheme="minorHAnsi" w:hAnsiTheme="minorHAnsi"/>
          <w:sz w:val="24"/>
          <w:szCs w:val="24"/>
        </w:rPr>
      </w:pPr>
      <w:r w:rsidRPr="002D7A10">
        <w:rPr>
          <w:rFonts w:asciiTheme="minorHAnsi" w:hAnsiTheme="minorHAnsi"/>
          <w:sz w:val="24"/>
          <w:szCs w:val="24"/>
        </w:rPr>
        <w:t xml:space="preserve">Úžitkový vzor ÚV 7032, </w:t>
      </w:r>
      <w:r w:rsidRPr="002D7A10">
        <w:rPr>
          <w:rFonts w:asciiTheme="minorHAnsi" w:hAnsiTheme="minorHAnsi"/>
          <w:b/>
          <w:sz w:val="24"/>
          <w:szCs w:val="24"/>
        </w:rPr>
        <w:t xml:space="preserve">Axiálny </w:t>
      </w:r>
      <w:proofErr w:type="spellStart"/>
      <w:r w:rsidRPr="002D7A10">
        <w:rPr>
          <w:rFonts w:asciiTheme="minorHAnsi" w:hAnsiTheme="minorHAnsi"/>
          <w:b/>
          <w:sz w:val="24"/>
          <w:szCs w:val="24"/>
        </w:rPr>
        <w:t>extrúder</w:t>
      </w:r>
      <w:proofErr w:type="spellEnd"/>
      <w:r w:rsidRPr="002D7A10">
        <w:rPr>
          <w:rFonts w:asciiTheme="minorHAnsi" w:hAnsiTheme="minorHAnsi"/>
          <w:b/>
          <w:sz w:val="24"/>
          <w:szCs w:val="24"/>
        </w:rPr>
        <w:t xml:space="preserve"> s rotujúcou hlavou</w:t>
      </w:r>
      <w:r w:rsidRPr="002D7A10">
        <w:rPr>
          <w:rFonts w:asciiTheme="minorHAnsi" w:hAnsiTheme="minorHAnsi"/>
          <w:sz w:val="24"/>
          <w:szCs w:val="24"/>
        </w:rPr>
        <w:t xml:space="preserve">, pôvodcovia: doc. Ing. Roman Fekete, PhD.; prof. Ing. Marián Peciar, PhD.; Ing. Peter Peciar, PhD. </w:t>
      </w:r>
    </w:p>
    <w:p w:rsidR="004D7330" w:rsidRPr="002D7A10" w:rsidRDefault="004D7330" w:rsidP="00520814">
      <w:pPr>
        <w:pStyle w:val="Obyajntext"/>
        <w:rPr>
          <w:rFonts w:asciiTheme="minorHAnsi" w:hAnsiTheme="minorHAnsi"/>
          <w:sz w:val="24"/>
          <w:szCs w:val="24"/>
        </w:rPr>
      </w:pPr>
      <w:r w:rsidRPr="002D7A10">
        <w:rPr>
          <w:rFonts w:asciiTheme="minorHAnsi" w:hAnsiTheme="minorHAnsi"/>
          <w:sz w:val="24"/>
          <w:szCs w:val="24"/>
        </w:rPr>
        <w:t>Dňa 05.09.2015 nadobudla účinnosť Zmluva o združení a vytvorení Národného centra transferu technológií SR so zmluvnými stranami CVTI SR, STU, SAV, TUKE, TUZVO, UK, UPJŠ, ŽU, SPU v Nitre.</w:t>
      </w:r>
    </w:p>
    <w:p w:rsidR="004D7330" w:rsidRPr="004D7330" w:rsidRDefault="004D7330" w:rsidP="00520814">
      <w:pPr>
        <w:pStyle w:val="Obyajntext"/>
        <w:ind w:left="720"/>
        <w:jc w:val="left"/>
        <w:rPr>
          <w:rFonts w:asciiTheme="minorHAnsi" w:hAnsiTheme="minorHAnsi"/>
          <w:sz w:val="24"/>
          <w:szCs w:val="24"/>
        </w:rPr>
      </w:pPr>
    </w:p>
    <w:p w:rsidR="00170C72" w:rsidRPr="002D7A10" w:rsidRDefault="00170C72" w:rsidP="00B51749">
      <w:pPr>
        <w:rPr>
          <w:rFonts w:asciiTheme="minorHAnsi" w:hAnsiTheme="minorHAnsi"/>
          <w:lang w:eastAsia="cs-CZ"/>
        </w:rPr>
      </w:pPr>
    </w:p>
    <w:p w:rsidR="00B51749" w:rsidRPr="002D7A10" w:rsidRDefault="00B51749" w:rsidP="00B51749">
      <w:pPr>
        <w:pStyle w:val="Nadpis3"/>
        <w:rPr>
          <w:rFonts w:asciiTheme="minorHAnsi" w:hAnsiTheme="minorHAnsi"/>
        </w:rPr>
      </w:pPr>
      <w:bookmarkStart w:id="41" w:name="_Toc448261583"/>
      <w:r w:rsidRPr="002D7A10">
        <w:rPr>
          <w:rFonts w:asciiTheme="minorHAnsi" w:hAnsiTheme="minorHAnsi"/>
        </w:rPr>
        <w:t>Univerzitný technologický inkubátor</w:t>
      </w:r>
      <w:bookmarkEnd w:id="41"/>
      <w:r w:rsidRPr="002D7A10">
        <w:rPr>
          <w:rFonts w:asciiTheme="minorHAnsi" w:hAnsiTheme="minorHAnsi"/>
        </w:rPr>
        <w:t xml:space="preserve"> </w:t>
      </w:r>
    </w:p>
    <w:p w:rsidR="00FC5CB3" w:rsidRPr="002D7A10" w:rsidRDefault="00FC5CB3" w:rsidP="00EC0E86">
      <w:pPr>
        <w:rPr>
          <w:rFonts w:asciiTheme="minorHAnsi" w:hAnsiTheme="minorHAnsi"/>
          <w:lang w:eastAsia="cs-CZ"/>
        </w:rPr>
      </w:pPr>
    </w:p>
    <w:p w:rsidR="00375F6E" w:rsidRDefault="00986881" w:rsidP="00375F6E">
      <w:pPr>
        <w:rPr>
          <w:rFonts w:asciiTheme="minorHAnsi" w:hAnsiTheme="minorHAnsi" w:cs="Calibri"/>
          <w:b/>
          <w:color w:val="000000" w:themeColor="text1"/>
        </w:rPr>
      </w:pPr>
      <w:r w:rsidRPr="002D7A10">
        <w:rPr>
          <w:rFonts w:asciiTheme="minorHAnsi" w:hAnsiTheme="minorHAnsi" w:cs="Calibri"/>
          <w:b/>
          <w:color w:val="000000" w:themeColor="text1"/>
        </w:rPr>
        <w:t>Univerzitný technologický inkubátor STU 28. novembra 2015 oslávil 10. výročie svojho otvorenia</w:t>
      </w:r>
      <w:r w:rsidRPr="002D7A10">
        <w:rPr>
          <w:rFonts w:asciiTheme="minorHAnsi" w:hAnsiTheme="minorHAnsi" w:cs="Calibri"/>
          <w:color w:val="000000" w:themeColor="text1"/>
        </w:rPr>
        <w:t xml:space="preserve">. Za vyše 10 rokov podporil v programe </w:t>
      </w:r>
      <w:proofErr w:type="spellStart"/>
      <w:r w:rsidRPr="002D7A10">
        <w:rPr>
          <w:rFonts w:asciiTheme="minorHAnsi" w:hAnsiTheme="minorHAnsi" w:cs="Calibri"/>
          <w:color w:val="000000" w:themeColor="text1"/>
        </w:rPr>
        <w:t>InQb</w:t>
      </w:r>
      <w:proofErr w:type="spellEnd"/>
      <w:r w:rsidRPr="002D7A10">
        <w:rPr>
          <w:rFonts w:asciiTheme="minorHAnsi" w:hAnsiTheme="minorHAnsi" w:cs="Calibri"/>
          <w:color w:val="000000" w:themeColor="text1"/>
        </w:rPr>
        <w:t xml:space="preserve"> 44 </w:t>
      </w:r>
      <w:proofErr w:type="spellStart"/>
      <w:r w:rsidRPr="002D7A10">
        <w:rPr>
          <w:rFonts w:asciiTheme="minorHAnsi" w:hAnsiTheme="minorHAnsi" w:cs="Calibri"/>
          <w:color w:val="000000" w:themeColor="text1"/>
        </w:rPr>
        <w:t>inkubovaných</w:t>
      </w:r>
      <w:proofErr w:type="spellEnd"/>
      <w:r w:rsidRPr="002D7A10">
        <w:rPr>
          <w:rFonts w:asciiTheme="minorHAnsi" w:hAnsiTheme="minorHAnsi" w:cs="Calibri"/>
          <w:color w:val="000000" w:themeColor="text1"/>
        </w:rPr>
        <w:t xml:space="preserve"> firiem a 43 osôb v programe </w:t>
      </w:r>
      <w:proofErr w:type="spellStart"/>
      <w:r w:rsidRPr="002D7A10">
        <w:rPr>
          <w:rFonts w:asciiTheme="minorHAnsi" w:hAnsiTheme="minorHAnsi" w:cs="Calibri"/>
          <w:color w:val="000000" w:themeColor="text1"/>
        </w:rPr>
        <w:t>Start-up</w:t>
      </w:r>
      <w:proofErr w:type="spellEnd"/>
      <w:r w:rsidRPr="002D7A10">
        <w:rPr>
          <w:rFonts w:asciiTheme="minorHAnsi" w:hAnsiTheme="minorHAnsi" w:cs="Calibri"/>
          <w:color w:val="000000" w:themeColor="text1"/>
        </w:rPr>
        <w:t xml:space="preserve"> kancelária. </w:t>
      </w:r>
      <w:r w:rsidR="005D5945" w:rsidRPr="002D7A10">
        <w:rPr>
          <w:rFonts w:asciiTheme="minorHAnsi" w:hAnsiTheme="minorHAnsi"/>
        </w:rPr>
        <w:t xml:space="preserve">O vstup do </w:t>
      </w:r>
      <w:proofErr w:type="spellStart"/>
      <w:r w:rsidR="005D5945" w:rsidRPr="002D7A10">
        <w:rPr>
          <w:rFonts w:asciiTheme="minorHAnsi" w:hAnsiTheme="minorHAnsi"/>
        </w:rPr>
        <w:t>Start-up</w:t>
      </w:r>
      <w:proofErr w:type="spellEnd"/>
      <w:r w:rsidR="005D5945" w:rsidRPr="002D7A10">
        <w:rPr>
          <w:rFonts w:asciiTheme="minorHAnsi" w:hAnsiTheme="minorHAnsi"/>
        </w:rPr>
        <w:t xml:space="preserve"> kancelárie sa môžu uchádzať študenti </w:t>
      </w:r>
      <w:r w:rsidR="00375F6E">
        <w:rPr>
          <w:rFonts w:asciiTheme="minorHAnsi" w:hAnsiTheme="minorHAnsi"/>
        </w:rPr>
        <w:t>či</w:t>
      </w:r>
      <w:r w:rsidR="005D5945" w:rsidRPr="002D7A10">
        <w:rPr>
          <w:rFonts w:asciiTheme="minorHAnsi" w:hAnsiTheme="minorHAnsi"/>
        </w:rPr>
        <w:t xml:space="preserve"> absolventi vysokej školy, ktorí si plánujú založiť inovatívnu firmu zameranú na poskytovanie produktov a služieb v oblasti techniky a technológií. K dispozícii majú kanceláriu, </w:t>
      </w:r>
      <w:r w:rsidR="00617EB1" w:rsidRPr="002D7A10">
        <w:rPr>
          <w:rFonts w:asciiTheme="minorHAnsi" w:hAnsiTheme="minorHAnsi"/>
        </w:rPr>
        <w:t xml:space="preserve">konferenčné miestnosti, </w:t>
      </w:r>
      <w:r w:rsidR="005D5945" w:rsidRPr="002D7A10">
        <w:rPr>
          <w:rFonts w:asciiTheme="minorHAnsi" w:hAnsiTheme="minorHAnsi"/>
        </w:rPr>
        <w:t>technické vybavenie a pripojenie na internet a poradenstvo pri príprave podnikateľského plánu.</w:t>
      </w:r>
      <w:r w:rsidR="00375F6E" w:rsidRPr="00375F6E">
        <w:rPr>
          <w:rFonts w:asciiTheme="minorHAnsi" w:hAnsiTheme="minorHAnsi" w:cs="Calibri"/>
          <w:b/>
          <w:color w:val="000000" w:themeColor="text1"/>
        </w:rPr>
        <w:t xml:space="preserve"> </w:t>
      </w:r>
      <w:r w:rsidR="00375F6E">
        <w:rPr>
          <w:rFonts w:asciiTheme="minorHAnsi" w:hAnsiTheme="minorHAnsi" w:cs="Calibri"/>
          <w:b/>
          <w:color w:val="000000" w:themeColor="text1"/>
        </w:rPr>
        <w:t>V</w:t>
      </w:r>
      <w:r w:rsidR="00375F6E" w:rsidRPr="002D7A10">
        <w:rPr>
          <w:rFonts w:asciiTheme="minorHAnsi" w:hAnsiTheme="minorHAnsi" w:cs="Calibri"/>
          <w:b/>
          <w:color w:val="000000" w:themeColor="text1"/>
        </w:rPr>
        <w:t xml:space="preserve"> roku 2015 do programu </w:t>
      </w:r>
      <w:proofErr w:type="spellStart"/>
      <w:r w:rsidR="00375F6E" w:rsidRPr="002D7A10">
        <w:rPr>
          <w:rFonts w:asciiTheme="minorHAnsi" w:hAnsiTheme="minorHAnsi" w:cs="Calibri"/>
          <w:b/>
          <w:color w:val="000000" w:themeColor="text1"/>
        </w:rPr>
        <w:t>Start-up</w:t>
      </w:r>
      <w:proofErr w:type="spellEnd"/>
      <w:r w:rsidR="00375F6E" w:rsidRPr="002D7A10">
        <w:rPr>
          <w:rFonts w:asciiTheme="minorHAnsi" w:hAnsiTheme="minorHAnsi" w:cs="Calibri"/>
          <w:b/>
          <w:color w:val="000000" w:themeColor="text1"/>
        </w:rPr>
        <w:t xml:space="preserve"> kancelária </w:t>
      </w:r>
      <w:r w:rsidR="00375F6E">
        <w:rPr>
          <w:rFonts w:asciiTheme="minorHAnsi" w:hAnsiTheme="minorHAnsi" w:cs="Calibri"/>
          <w:b/>
          <w:color w:val="000000" w:themeColor="text1"/>
        </w:rPr>
        <w:t>v</w:t>
      </w:r>
      <w:r w:rsidR="00375F6E" w:rsidRPr="002D7A10">
        <w:rPr>
          <w:rFonts w:asciiTheme="minorHAnsi" w:hAnsiTheme="minorHAnsi" w:cs="Calibri"/>
          <w:b/>
          <w:color w:val="000000" w:themeColor="text1"/>
        </w:rPr>
        <w:t xml:space="preserve">stúpilo 5 osôb s 3 projektmi. </w:t>
      </w:r>
    </w:p>
    <w:p w:rsidR="00495157" w:rsidRDefault="00617EB1" w:rsidP="00495157">
      <w:pPr>
        <w:rPr>
          <w:rFonts w:asciiTheme="minorHAnsi" w:hAnsiTheme="minorHAnsi" w:cs="Calibri"/>
          <w:color w:val="000000" w:themeColor="text1"/>
        </w:rPr>
      </w:pPr>
      <w:r w:rsidRPr="002D7A10">
        <w:rPr>
          <w:rFonts w:asciiTheme="minorHAnsi" w:eastAsia="Times New Roman" w:hAnsiTheme="minorHAnsi"/>
          <w:lang w:eastAsia="sk-SK"/>
        </w:rPr>
        <w:t xml:space="preserve">O vstup do </w:t>
      </w:r>
      <w:r w:rsidR="00375F6E">
        <w:rPr>
          <w:rFonts w:asciiTheme="minorHAnsi" w:eastAsia="Times New Roman" w:hAnsiTheme="minorHAnsi"/>
          <w:lang w:eastAsia="sk-SK"/>
        </w:rPr>
        <w:t xml:space="preserve">programu </w:t>
      </w:r>
      <w:proofErr w:type="spellStart"/>
      <w:r w:rsidR="00375F6E">
        <w:rPr>
          <w:rFonts w:asciiTheme="minorHAnsi" w:eastAsia="Times New Roman" w:hAnsiTheme="minorHAnsi"/>
          <w:lang w:eastAsia="sk-SK"/>
        </w:rPr>
        <w:t>InQb</w:t>
      </w:r>
      <w:proofErr w:type="spellEnd"/>
      <w:r w:rsidRPr="002D7A10">
        <w:rPr>
          <w:rFonts w:asciiTheme="minorHAnsi" w:eastAsia="Times New Roman" w:hAnsiTheme="minorHAnsi"/>
          <w:lang w:eastAsia="sk-SK"/>
        </w:rPr>
        <w:t xml:space="preserve"> sa môžu uchádzať záujemcovia, ktorí si plánujú založiť alebo majú menej ako tri (resp. päť pri </w:t>
      </w:r>
      <w:proofErr w:type="spellStart"/>
      <w:r w:rsidRPr="002D7A10">
        <w:rPr>
          <w:rFonts w:asciiTheme="minorHAnsi" w:eastAsia="Times New Roman" w:hAnsiTheme="minorHAnsi"/>
          <w:lang w:eastAsia="sk-SK"/>
        </w:rPr>
        <w:t>bio</w:t>
      </w:r>
      <w:proofErr w:type="spellEnd"/>
      <w:r w:rsidRPr="002D7A10">
        <w:rPr>
          <w:rFonts w:asciiTheme="minorHAnsi" w:eastAsia="Times New Roman" w:hAnsiTheme="minorHAnsi"/>
          <w:lang w:eastAsia="sk-SK"/>
        </w:rPr>
        <w:t xml:space="preserve"> a </w:t>
      </w:r>
      <w:proofErr w:type="spellStart"/>
      <w:r w:rsidRPr="002D7A10">
        <w:rPr>
          <w:rFonts w:asciiTheme="minorHAnsi" w:eastAsia="Times New Roman" w:hAnsiTheme="minorHAnsi"/>
          <w:lang w:eastAsia="sk-SK"/>
        </w:rPr>
        <w:t>nanotechnológiách</w:t>
      </w:r>
      <w:proofErr w:type="spellEnd"/>
      <w:r w:rsidRPr="002D7A10">
        <w:rPr>
          <w:rFonts w:asciiTheme="minorHAnsi" w:eastAsia="Times New Roman" w:hAnsiTheme="minorHAnsi"/>
          <w:lang w:eastAsia="sk-SK"/>
        </w:rPr>
        <w:t xml:space="preserve">) rokov založenú inovatívnu firmu s orientáciou na </w:t>
      </w:r>
      <w:r w:rsidR="00080AC9" w:rsidRPr="002D7A10">
        <w:rPr>
          <w:rFonts w:asciiTheme="minorHAnsi" w:eastAsia="Times New Roman" w:hAnsiTheme="minorHAnsi"/>
          <w:lang w:eastAsia="sk-SK"/>
        </w:rPr>
        <w:t>oblasť</w:t>
      </w:r>
      <w:r w:rsidRPr="002D7A10">
        <w:rPr>
          <w:rFonts w:asciiTheme="minorHAnsi" w:eastAsia="Times New Roman" w:hAnsiTheme="minorHAnsi"/>
          <w:lang w:eastAsia="sk-SK"/>
        </w:rPr>
        <w:t xml:space="preserve"> techniky a technológií.</w:t>
      </w:r>
      <w:r w:rsidR="00375F6E">
        <w:rPr>
          <w:rFonts w:asciiTheme="minorHAnsi" w:eastAsia="Times New Roman" w:hAnsiTheme="minorHAnsi"/>
          <w:lang w:eastAsia="sk-SK"/>
        </w:rPr>
        <w:t xml:space="preserve"> </w:t>
      </w:r>
      <w:r w:rsidR="00986881" w:rsidRPr="002D7A10">
        <w:rPr>
          <w:rFonts w:asciiTheme="minorHAnsi" w:hAnsiTheme="minorHAnsi" w:cs="Calibri"/>
          <w:b/>
          <w:color w:val="000000" w:themeColor="text1"/>
        </w:rPr>
        <w:t xml:space="preserve">V programe </w:t>
      </w:r>
      <w:proofErr w:type="spellStart"/>
      <w:r w:rsidR="00986881" w:rsidRPr="002D7A10">
        <w:rPr>
          <w:rFonts w:asciiTheme="minorHAnsi" w:hAnsiTheme="minorHAnsi" w:cs="Calibri"/>
          <w:b/>
          <w:color w:val="000000" w:themeColor="text1"/>
        </w:rPr>
        <w:t>InQb</w:t>
      </w:r>
      <w:proofErr w:type="spellEnd"/>
      <w:r w:rsidR="00986881" w:rsidRPr="002D7A10">
        <w:rPr>
          <w:rFonts w:asciiTheme="minorHAnsi" w:hAnsiTheme="minorHAnsi" w:cs="Calibri"/>
          <w:b/>
          <w:color w:val="000000" w:themeColor="text1"/>
        </w:rPr>
        <w:t xml:space="preserve"> v roku 2015 využilo podporu inkubátora 7 firiem,  </w:t>
      </w:r>
      <w:r w:rsidR="00986881" w:rsidRPr="002D7A10">
        <w:rPr>
          <w:rFonts w:asciiTheme="minorHAnsi" w:hAnsiTheme="minorHAnsi" w:cs="Calibri"/>
          <w:color w:val="000000" w:themeColor="text1"/>
        </w:rPr>
        <w:t xml:space="preserve">z toho 2 boli nové firmy, ktoré v tomto roku vstúpili do inkubátora. </w:t>
      </w:r>
      <w:r w:rsidRPr="002D7A10">
        <w:rPr>
          <w:rFonts w:asciiTheme="minorHAnsi" w:hAnsiTheme="minorHAnsi" w:cs="Calibri"/>
          <w:color w:val="000000" w:themeColor="text1"/>
        </w:rPr>
        <w:t xml:space="preserve"> </w:t>
      </w:r>
      <w:r w:rsidR="00986881" w:rsidRPr="002D7A10">
        <w:rPr>
          <w:rFonts w:asciiTheme="minorHAnsi" w:hAnsiTheme="minorHAnsi" w:cs="Calibri"/>
        </w:rPr>
        <w:t>Priemerná obsadenosť priestorov inkubátora za celé obdobie fungovania je 82 %. Za rok 2015 to bolo 79 %.</w:t>
      </w:r>
      <w:r w:rsidR="00495157" w:rsidRPr="00495157">
        <w:rPr>
          <w:rFonts w:asciiTheme="minorHAnsi" w:hAnsiTheme="minorHAnsi" w:cs="Calibri"/>
          <w:color w:val="000000" w:themeColor="text1"/>
        </w:rPr>
        <w:t xml:space="preserve"> </w:t>
      </w:r>
    </w:p>
    <w:p w:rsidR="00986881" w:rsidRDefault="00495157" w:rsidP="00495157">
      <w:pPr>
        <w:rPr>
          <w:rFonts w:asciiTheme="minorHAnsi" w:hAnsiTheme="minorHAnsi" w:cs="Calibri"/>
          <w:color w:val="000000" w:themeColor="text1"/>
        </w:rPr>
      </w:pPr>
      <w:r w:rsidRPr="00E42977">
        <w:rPr>
          <w:rFonts w:asciiTheme="minorHAnsi" w:hAnsiTheme="minorHAnsi" w:cs="Calibri"/>
          <w:color w:val="000000" w:themeColor="text1"/>
        </w:rPr>
        <w:t xml:space="preserve">Organizačne sa UTI člení na </w:t>
      </w:r>
      <w:r w:rsidRPr="00E42977">
        <w:rPr>
          <w:rFonts w:ascii="Calibri" w:hAnsi="Calibri" w:cs="Arial"/>
        </w:rPr>
        <w:t xml:space="preserve">Inkubátor Programu </w:t>
      </w:r>
      <w:proofErr w:type="spellStart"/>
      <w:r w:rsidRPr="00E42977">
        <w:rPr>
          <w:rFonts w:ascii="Calibri" w:hAnsi="Calibri" w:cs="Arial"/>
        </w:rPr>
        <w:t>InQb</w:t>
      </w:r>
      <w:proofErr w:type="spellEnd"/>
      <w:r w:rsidRPr="00E42977">
        <w:rPr>
          <w:rFonts w:ascii="Calibri" w:hAnsi="Calibri" w:cs="Arial"/>
        </w:rPr>
        <w:t xml:space="preserve">, Inkubátor Univerzitného vedeckého parku STU – </w:t>
      </w:r>
      <w:proofErr w:type="spellStart"/>
      <w:r w:rsidRPr="00E42977">
        <w:rPr>
          <w:rFonts w:ascii="Calibri" w:hAnsi="Calibri" w:cs="Arial"/>
        </w:rPr>
        <w:t>Science</w:t>
      </w:r>
      <w:proofErr w:type="spellEnd"/>
      <w:r w:rsidRPr="00E42977">
        <w:rPr>
          <w:rFonts w:ascii="Calibri" w:hAnsi="Calibri" w:cs="Arial"/>
        </w:rPr>
        <w:t xml:space="preserve"> City – v Bratislave, Inkubátor Univerzitného vedec</w:t>
      </w:r>
      <w:r w:rsidRPr="00E42977">
        <w:rPr>
          <w:rFonts w:ascii="Calibri" w:hAnsi="Calibri" w:cs="Arial"/>
        </w:rPr>
        <w:softHyphen/>
        <w:t>kého parku STU – CAMBO -  v Trnave, Inkubátor Centra výskumu veľko</w:t>
      </w:r>
      <w:r w:rsidRPr="00E42977">
        <w:rPr>
          <w:rFonts w:ascii="Calibri" w:hAnsi="Calibri" w:cs="Arial"/>
        </w:rPr>
        <w:softHyphen/>
        <w:t>objemových nádrží a Inkubátor Centra výskumu studní.</w:t>
      </w:r>
      <w:r w:rsidRPr="007042E8">
        <w:rPr>
          <w:rFonts w:asciiTheme="minorHAnsi" w:hAnsiTheme="minorHAnsi" w:cs="Calibri"/>
          <w:color w:val="000000" w:themeColor="text1"/>
        </w:rPr>
        <w:t xml:space="preserve"> </w:t>
      </w:r>
    </w:p>
    <w:p w:rsidR="00495157" w:rsidRPr="00495157" w:rsidRDefault="00495157" w:rsidP="00495157">
      <w:pPr>
        <w:rPr>
          <w:rFonts w:asciiTheme="minorHAnsi" w:hAnsiTheme="minorHAnsi" w:cs="Calibri"/>
          <w:color w:val="000000" w:themeColor="text1"/>
        </w:rPr>
      </w:pPr>
    </w:p>
    <w:p w:rsidR="00975572" w:rsidRPr="002D7A10" w:rsidRDefault="00986881" w:rsidP="00EC0E86">
      <w:pPr>
        <w:rPr>
          <w:rFonts w:asciiTheme="minorHAnsi" w:hAnsiTheme="minorHAnsi" w:cs="Calibri"/>
          <w:color w:val="000000" w:themeColor="text1"/>
        </w:rPr>
      </w:pPr>
      <w:r w:rsidRPr="002D7A10">
        <w:rPr>
          <w:rFonts w:asciiTheme="minorHAnsi" w:hAnsiTheme="minorHAnsi" w:cs="Calibri"/>
          <w:color w:val="000000" w:themeColor="text1"/>
        </w:rPr>
        <w:t>V roku 2015 inkubátor nadviazal partnerstvo s Tatra bankou, a.s., ktorá sa stala jeho generálnym partnerom</w:t>
      </w:r>
      <w:r w:rsidR="00080AC9" w:rsidRPr="002D7A10">
        <w:rPr>
          <w:rFonts w:asciiTheme="minorHAnsi" w:hAnsiTheme="minorHAnsi" w:cs="Calibri"/>
          <w:color w:val="000000" w:themeColor="text1"/>
        </w:rPr>
        <w:t>. V</w:t>
      </w:r>
      <w:r w:rsidRPr="002D7A10">
        <w:rPr>
          <w:rFonts w:asciiTheme="minorHAnsi" w:hAnsiTheme="minorHAnsi" w:cs="Calibri"/>
          <w:color w:val="000000" w:themeColor="text1"/>
        </w:rPr>
        <w:t xml:space="preserve">ďaka tejto spolupráci mohol zorganizovať </w:t>
      </w:r>
      <w:r w:rsidR="00080AC9" w:rsidRPr="002D7A10">
        <w:rPr>
          <w:rFonts w:asciiTheme="minorHAnsi" w:hAnsiTheme="minorHAnsi" w:cs="Calibri"/>
          <w:color w:val="000000" w:themeColor="text1"/>
        </w:rPr>
        <w:t>väčšie množstvo podujatí a realizovať</w:t>
      </w:r>
      <w:r w:rsidRPr="002D7A10">
        <w:rPr>
          <w:rFonts w:asciiTheme="minorHAnsi" w:hAnsiTheme="minorHAnsi" w:cs="Calibri"/>
          <w:color w:val="000000" w:themeColor="text1"/>
        </w:rPr>
        <w:t xml:space="preserve"> nové služby.  </w:t>
      </w:r>
      <w:r w:rsidR="00617EB1" w:rsidRPr="002D7A10">
        <w:rPr>
          <w:rFonts w:asciiTheme="minorHAnsi" w:hAnsiTheme="minorHAnsi" w:cs="Calibri"/>
          <w:color w:val="000000" w:themeColor="text1"/>
        </w:rPr>
        <w:t>Išlo najmä o</w:t>
      </w:r>
      <w:r w:rsidR="00617EB1" w:rsidRPr="002D7A10">
        <w:rPr>
          <w:rFonts w:asciiTheme="minorHAnsi" w:hAnsiTheme="minorHAnsi" w:cs="Calibri"/>
          <w:b/>
          <w:color w:val="000000" w:themeColor="text1"/>
        </w:rPr>
        <w:t> odborné semináre</w:t>
      </w:r>
      <w:r w:rsidR="00617EB1" w:rsidRPr="002D7A10">
        <w:rPr>
          <w:rFonts w:asciiTheme="minorHAnsi" w:hAnsiTheme="minorHAnsi" w:cs="Calibri"/>
          <w:color w:val="000000" w:themeColor="text1"/>
        </w:rPr>
        <w:t xml:space="preserve"> z oblasti marketingu, mediálnej komunikácie, financovania malých a začínajúcich </w:t>
      </w:r>
      <w:r w:rsidR="00617EB1" w:rsidRPr="002D7A10">
        <w:rPr>
          <w:rFonts w:asciiTheme="minorHAnsi" w:hAnsiTheme="minorHAnsi" w:cs="Calibri"/>
          <w:color w:val="000000" w:themeColor="text1"/>
        </w:rPr>
        <w:lastRenderedPageBreak/>
        <w:t xml:space="preserve">podnikateľov prostredníctvom bankových produktov, ale aj s pomocou investorov, </w:t>
      </w:r>
      <w:proofErr w:type="spellStart"/>
      <w:r w:rsidR="00617EB1" w:rsidRPr="002D7A10">
        <w:rPr>
          <w:rFonts w:asciiTheme="minorHAnsi" w:hAnsiTheme="minorHAnsi" w:cs="Calibri"/>
          <w:color w:val="000000" w:themeColor="text1"/>
        </w:rPr>
        <w:t>Business</w:t>
      </w:r>
      <w:proofErr w:type="spellEnd"/>
      <w:r w:rsidR="00617EB1" w:rsidRPr="002D7A10">
        <w:rPr>
          <w:rFonts w:asciiTheme="minorHAnsi" w:hAnsiTheme="minorHAnsi" w:cs="Calibri"/>
          <w:color w:val="000000" w:themeColor="text1"/>
        </w:rPr>
        <w:t xml:space="preserve"> Angel a </w:t>
      </w:r>
      <w:proofErr w:type="spellStart"/>
      <w:r w:rsidR="00617EB1" w:rsidRPr="002D7A10">
        <w:rPr>
          <w:rFonts w:asciiTheme="minorHAnsi" w:hAnsiTheme="minorHAnsi" w:cs="Calibri"/>
          <w:color w:val="000000" w:themeColor="text1"/>
        </w:rPr>
        <w:t>Venture</w:t>
      </w:r>
      <w:proofErr w:type="spellEnd"/>
      <w:r w:rsidR="00617EB1" w:rsidRPr="002D7A10">
        <w:rPr>
          <w:rFonts w:asciiTheme="minorHAnsi" w:hAnsiTheme="minorHAnsi" w:cs="Calibri"/>
          <w:color w:val="000000" w:themeColor="text1"/>
        </w:rPr>
        <w:t xml:space="preserve"> </w:t>
      </w:r>
      <w:proofErr w:type="spellStart"/>
      <w:r w:rsidR="00617EB1" w:rsidRPr="002D7A10">
        <w:rPr>
          <w:rFonts w:asciiTheme="minorHAnsi" w:hAnsiTheme="minorHAnsi" w:cs="Calibri"/>
          <w:color w:val="000000" w:themeColor="text1"/>
        </w:rPr>
        <w:t>Capital</w:t>
      </w:r>
      <w:proofErr w:type="spellEnd"/>
      <w:r w:rsidR="00617EB1" w:rsidRPr="002D7A10">
        <w:rPr>
          <w:rFonts w:asciiTheme="minorHAnsi" w:hAnsiTheme="minorHAnsi" w:cs="Calibri"/>
          <w:color w:val="000000" w:themeColor="text1"/>
        </w:rPr>
        <w:t xml:space="preserve">, ako aj semináre o využití sociálnych sieti na propagáciu či </w:t>
      </w:r>
      <w:proofErr w:type="spellStart"/>
      <w:r w:rsidR="00617EB1" w:rsidRPr="002D7A10">
        <w:rPr>
          <w:rFonts w:asciiTheme="minorHAnsi" w:hAnsiTheme="minorHAnsi" w:cs="Calibri"/>
          <w:color w:val="000000" w:themeColor="text1"/>
        </w:rPr>
        <w:t>Best</w:t>
      </w:r>
      <w:proofErr w:type="spellEnd"/>
      <w:r w:rsidR="00617EB1" w:rsidRPr="002D7A10">
        <w:rPr>
          <w:rFonts w:asciiTheme="minorHAnsi" w:hAnsiTheme="minorHAnsi" w:cs="Calibri"/>
          <w:color w:val="000000" w:themeColor="text1"/>
        </w:rPr>
        <w:t xml:space="preserve"> </w:t>
      </w:r>
      <w:proofErr w:type="spellStart"/>
      <w:r w:rsidR="00617EB1" w:rsidRPr="002D7A10">
        <w:rPr>
          <w:rFonts w:asciiTheme="minorHAnsi" w:hAnsiTheme="minorHAnsi" w:cs="Calibri"/>
          <w:color w:val="000000" w:themeColor="text1"/>
        </w:rPr>
        <w:t>Practices</w:t>
      </w:r>
      <w:proofErr w:type="spellEnd"/>
      <w:r w:rsidR="00617EB1" w:rsidRPr="002D7A10">
        <w:rPr>
          <w:rFonts w:asciiTheme="minorHAnsi" w:hAnsiTheme="minorHAnsi" w:cs="Calibri"/>
          <w:color w:val="000000" w:themeColor="text1"/>
        </w:rPr>
        <w:t xml:space="preserve"> Micros</w:t>
      </w:r>
      <w:r w:rsidR="00975572">
        <w:rPr>
          <w:rFonts w:asciiTheme="minorHAnsi" w:hAnsiTheme="minorHAnsi" w:cs="Calibri"/>
          <w:color w:val="000000" w:themeColor="text1"/>
        </w:rPr>
        <w:t xml:space="preserve">oft Excel, Word a </w:t>
      </w:r>
      <w:proofErr w:type="spellStart"/>
      <w:r w:rsidR="00975572">
        <w:rPr>
          <w:rFonts w:asciiTheme="minorHAnsi" w:hAnsiTheme="minorHAnsi" w:cs="Calibri"/>
          <w:color w:val="000000" w:themeColor="text1"/>
        </w:rPr>
        <w:t>Power</w:t>
      </w:r>
      <w:proofErr w:type="spellEnd"/>
      <w:r w:rsidR="00975572">
        <w:rPr>
          <w:rFonts w:asciiTheme="minorHAnsi" w:hAnsiTheme="minorHAnsi" w:cs="Calibri"/>
          <w:color w:val="000000" w:themeColor="text1"/>
        </w:rPr>
        <w:t xml:space="preserve"> Point. </w:t>
      </w:r>
    </w:p>
    <w:p w:rsidR="00543FB8" w:rsidRPr="002D7A10" w:rsidRDefault="00617EB1" w:rsidP="00EC0E86">
      <w:pPr>
        <w:rPr>
          <w:rFonts w:asciiTheme="minorHAnsi" w:hAnsiTheme="minorHAnsi" w:cs="Calibri"/>
        </w:rPr>
      </w:pPr>
      <w:r w:rsidRPr="002D7A10">
        <w:rPr>
          <w:rFonts w:asciiTheme="minorHAnsi" w:hAnsiTheme="minorHAnsi" w:cs="Calibri"/>
          <w:b/>
          <w:color w:val="000000" w:themeColor="text1"/>
        </w:rPr>
        <w:t xml:space="preserve">V </w:t>
      </w:r>
      <w:r w:rsidR="00986881" w:rsidRPr="002D7A10">
        <w:rPr>
          <w:rFonts w:asciiTheme="minorHAnsi" w:hAnsiTheme="minorHAnsi" w:cs="Calibri"/>
          <w:b/>
        </w:rPr>
        <w:t xml:space="preserve">závere roku 2015 </w:t>
      </w:r>
      <w:r w:rsidRPr="002D7A10">
        <w:rPr>
          <w:rFonts w:asciiTheme="minorHAnsi" w:hAnsiTheme="minorHAnsi" w:cs="Calibri"/>
          <w:b/>
        </w:rPr>
        <w:t>vytvoril inkubátor</w:t>
      </w:r>
      <w:r w:rsidRPr="002D7A10">
        <w:rPr>
          <w:rFonts w:asciiTheme="minorHAnsi" w:hAnsiTheme="minorHAnsi" w:cs="Calibri"/>
        </w:rPr>
        <w:t xml:space="preserve"> </w:t>
      </w:r>
      <w:r w:rsidR="00986881" w:rsidRPr="002D7A10">
        <w:rPr>
          <w:rFonts w:asciiTheme="minorHAnsi" w:hAnsiTheme="minorHAnsi" w:cs="Calibri"/>
          <w:b/>
        </w:rPr>
        <w:t>sieť mentorov</w:t>
      </w:r>
      <w:r w:rsidR="00986881" w:rsidRPr="002D7A10">
        <w:rPr>
          <w:rFonts w:asciiTheme="minorHAnsi" w:hAnsiTheme="minorHAnsi" w:cs="Calibri"/>
        </w:rPr>
        <w:t xml:space="preserve">, </w:t>
      </w:r>
      <w:r w:rsidR="00986881" w:rsidRPr="002D7A10">
        <w:rPr>
          <w:rFonts w:asciiTheme="minorHAnsi" w:hAnsiTheme="minorHAnsi" w:cs="Calibri"/>
          <w:b/>
        </w:rPr>
        <w:t xml:space="preserve">ktorí </w:t>
      </w:r>
      <w:r w:rsidR="00543FB8" w:rsidRPr="002D7A10">
        <w:rPr>
          <w:rFonts w:asciiTheme="minorHAnsi" w:hAnsiTheme="minorHAnsi" w:cs="Calibri"/>
          <w:b/>
        </w:rPr>
        <w:t xml:space="preserve">poskytujú bezplatne </w:t>
      </w:r>
      <w:r w:rsidR="00986881" w:rsidRPr="002D7A10">
        <w:rPr>
          <w:rFonts w:asciiTheme="minorHAnsi" w:hAnsiTheme="minorHAnsi" w:cs="Calibri"/>
          <w:b/>
        </w:rPr>
        <w:t xml:space="preserve">odborné konzultácie </w:t>
      </w:r>
      <w:proofErr w:type="spellStart"/>
      <w:r w:rsidR="00986881" w:rsidRPr="002D7A10">
        <w:rPr>
          <w:rFonts w:asciiTheme="minorHAnsi" w:hAnsiTheme="minorHAnsi" w:cs="Calibri"/>
          <w:b/>
        </w:rPr>
        <w:t>inkubovan</w:t>
      </w:r>
      <w:r w:rsidR="00543FB8" w:rsidRPr="002D7A10">
        <w:rPr>
          <w:rFonts w:asciiTheme="minorHAnsi" w:hAnsiTheme="minorHAnsi" w:cs="Calibri"/>
          <w:b/>
        </w:rPr>
        <w:t>ým</w:t>
      </w:r>
      <w:proofErr w:type="spellEnd"/>
      <w:r w:rsidR="00986881" w:rsidRPr="002D7A10">
        <w:rPr>
          <w:rFonts w:asciiTheme="minorHAnsi" w:hAnsiTheme="minorHAnsi" w:cs="Calibri"/>
          <w:b/>
        </w:rPr>
        <w:t xml:space="preserve"> firm</w:t>
      </w:r>
      <w:r w:rsidR="00543FB8" w:rsidRPr="002D7A10">
        <w:rPr>
          <w:rFonts w:asciiTheme="minorHAnsi" w:hAnsiTheme="minorHAnsi" w:cs="Calibri"/>
          <w:b/>
        </w:rPr>
        <w:t>ám</w:t>
      </w:r>
      <w:r w:rsidR="00986881" w:rsidRPr="002D7A10">
        <w:rPr>
          <w:rFonts w:asciiTheme="minorHAnsi" w:hAnsiTheme="minorHAnsi" w:cs="Calibri"/>
        </w:rPr>
        <w:t xml:space="preserve"> v programe </w:t>
      </w:r>
      <w:proofErr w:type="spellStart"/>
      <w:r w:rsidR="00986881" w:rsidRPr="002D7A10">
        <w:rPr>
          <w:rFonts w:asciiTheme="minorHAnsi" w:hAnsiTheme="minorHAnsi" w:cs="Calibri"/>
        </w:rPr>
        <w:t>InQb</w:t>
      </w:r>
      <w:proofErr w:type="spellEnd"/>
      <w:r w:rsidR="00986881" w:rsidRPr="002D7A10">
        <w:rPr>
          <w:rFonts w:asciiTheme="minorHAnsi" w:hAnsiTheme="minorHAnsi" w:cs="Calibri"/>
        </w:rPr>
        <w:t xml:space="preserve"> </w:t>
      </w:r>
      <w:r w:rsidR="00986881" w:rsidRPr="002D7A10">
        <w:rPr>
          <w:rFonts w:asciiTheme="minorHAnsi" w:hAnsiTheme="minorHAnsi" w:cs="Calibri"/>
          <w:b/>
        </w:rPr>
        <w:t>a frekventantom v </w:t>
      </w:r>
      <w:proofErr w:type="spellStart"/>
      <w:r w:rsidR="00986881" w:rsidRPr="002D7A10">
        <w:rPr>
          <w:rFonts w:asciiTheme="minorHAnsi" w:hAnsiTheme="minorHAnsi" w:cs="Calibri"/>
          <w:b/>
        </w:rPr>
        <w:t>Start-up</w:t>
      </w:r>
      <w:proofErr w:type="spellEnd"/>
      <w:r w:rsidR="00986881" w:rsidRPr="002D7A10">
        <w:rPr>
          <w:rFonts w:asciiTheme="minorHAnsi" w:hAnsiTheme="minorHAnsi" w:cs="Calibri"/>
          <w:b/>
        </w:rPr>
        <w:t xml:space="preserve"> kancelárii</w:t>
      </w:r>
      <w:r w:rsidR="00986881" w:rsidRPr="002D7A10">
        <w:rPr>
          <w:rFonts w:asciiTheme="minorHAnsi" w:hAnsiTheme="minorHAnsi" w:cs="Calibri"/>
        </w:rPr>
        <w:t xml:space="preserve">.  </w:t>
      </w:r>
    </w:p>
    <w:p w:rsidR="00B51749" w:rsidRDefault="00986881" w:rsidP="00080AC9">
      <w:pPr>
        <w:rPr>
          <w:rFonts w:asciiTheme="minorHAnsi" w:hAnsiTheme="minorHAnsi" w:cs="Calibri"/>
          <w:color w:val="000000" w:themeColor="text1"/>
        </w:rPr>
      </w:pPr>
      <w:r w:rsidRPr="002D7A10">
        <w:rPr>
          <w:rFonts w:asciiTheme="minorHAnsi" w:hAnsiTheme="minorHAnsi" w:cs="Calibri"/>
          <w:color w:val="000000" w:themeColor="text1"/>
        </w:rPr>
        <w:t xml:space="preserve">Za účelom propagácie </w:t>
      </w:r>
      <w:r w:rsidR="00543FB8" w:rsidRPr="002D7A10">
        <w:rPr>
          <w:rFonts w:asciiTheme="minorHAnsi" w:hAnsiTheme="minorHAnsi" w:cs="Calibri"/>
          <w:color w:val="000000" w:themeColor="text1"/>
        </w:rPr>
        <w:t xml:space="preserve">a </w:t>
      </w:r>
      <w:r w:rsidRPr="002D7A10">
        <w:rPr>
          <w:rFonts w:asciiTheme="minorHAnsi" w:hAnsiTheme="minorHAnsi" w:cs="Calibri"/>
          <w:color w:val="000000" w:themeColor="text1"/>
        </w:rPr>
        <w:t xml:space="preserve">podpory nových </w:t>
      </w:r>
      <w:proofErr w:type="spellStart"/>
      <w:r w:rsidRPr="002D7A10">
        <w:rPr>
          <w:rFonts w:asciiTheme="minorHAnsi" w:hAnsiTheme="minorHAnsi" w:cs="Calibri"/>
          <w:color w:val="000000" w:themeColor="text1"/>
        </w:rPr>
        <w:t>start-</w:t>
      </w:r>
      <w:r w:rsidR="00543FB8" w:rsidRPr="002D7A10">
        <w:rPr>
          <w:rFonts w:asciiTheme="minorHAnsi" w:hAnsiTheme="minorHAnsi" w:cs="Calibri"/>
          <w:color w:val="000000" w:themeColor="text1"/>
        </w:rPr>
        <w:t>up</w:t>
      </w:r>
      <w:proofErr w:type="spellEnd"/>
      <w:r w:rsidR="00543FB8" w:rsidRPr="002D7A10">
        <w:rPr>
          <w:rFonts w:asciiTheme="minorHAnsi" w:hAnsiTheme="minorHAnsi" w:cs="Calibri"/>
          <w:color w:val="000000" w:themeColor="text1"/>
        </w:rPr>
        <w:t xml:space="preserve"> firiem </w:t>
      </w:r>
      <w:r w:rsidRPr="002D7A10">
        <w:rPr>
          <w:rFonts w:asciiTheme="minorHAnsi" w:hAnsiTheme="minorHAnsi" w:cs="Calibri"/>
          <w:color w:val="000000" w:themeColor="text1"/>
        </w:rPr>
        <w:t>a</w:t>
      </w:r>
      <w:r w:rsidR="00543FB8" w:rsidRPr="002D7A10">
        <w:rPr>
          <w:rFonts w:asciiTheme="minorHAnsi" w:hAnsiTheme="minorHAnsi" w:cs="Calibri"/>
          <w:color w:val="000000" w:themeColor="text1"/>
        </w:rPr>
        <w:t> v snahe</w:t>
      </w:r>
      <w:r w:rsidRPr="002D7A10">
        <w:rPr>
          <w:rFonts w:asciiTheme="minorHAnsi" w:hAnsiTheme="minorHAnsi" w:cs="Calibri"/>
          <w:color w:val="000000" w:themeColor="text1"/>
        </w:rPr>
        <w:t xml:space="preserve"> priblížiť sa študentom bola založená informačná kancelária univerzitného inkubátora na Fakulte elektrotechniky a inf</w:t>
      </w:r>
      <w:r w:rsidR="00080AC9" w:rsidRPr="002D7A10">
        <w:rPr>
          <w:rFonts w:asciiTheme="minorHAnsi" w:hAnsiTheme="minorHAnsi" w:cs="Calibri"/>
          <w:color w:val="000000" w:themeColor="text1"/>
        </w:rPr>
        <w:t>ormatiky STU v Mlynskej doline.</w:t>
      </w:r>
    </w:p>
    <w:p w:rsidR="00375F6E" w:rsidRDefault="00375F6E" w:rsidP="00080AC9">
      <w:pPr>
        <w:rPr>
          <w:rFonts w:asciiTheme="minorHAnsi" w:hAnsiTheme="minorHAnsi" w:cs="Calibri"/>
          <w:color w:val="000000" w:themeColor="text1"/>
        </w:rPr>
      </w:pPr>
    </w:p>
    <w:p w:rsidR="00375F6E" w:rsidRPr="002D7A10" w:rsidRDefault="00375F6E" w:rsidP="00080AC9">
      <w:pPr>
        <w:rPr>
          <w:rFonts w:asciiTheme="minorHAnsi" w:hAnsiTheme="minorHAnsi" w:cs="Calibri"/>
          <w:color w:val="000000" w:themeColor="text1"/>
        </w:rPr>
      </w:pPr>
    </w:p>
    <w:p w:rsidR="00B51749" w:rsidRPr="002D7A10" w:rsidRDefault="00B51749" w:rsidP="00B51749">
      <w:pPr>
        <w:pStyle w:val="Nadpis3"/>
        <w:rPr>
          <w:rFonts w:asciiTheme="minorHAnsi" w:hAnsiTheme="minorHAnsi"/>
          <w:color w:val="auto"/>
        </w:rPr>
      </w:pPr>
      <w:bookmarkStart w:id="42" w:name="_Toc448261584"/>
      <w:r w:rsidRPr="002D7A10">
        <w:rPr>
          <w:rFonts w:asciiTheme="minorHAnsi" w:hAnsiTheme="minorHAnsi"/>
          <w:color w:val="auto"/>
        </w:rPr>
        <w:t xml:space="preserve">STU </w:t>
      </w:r>
      <w:proofErr w:type="spellStart"/>
      <w:r w:rsidRPr="002D7A10">
        <w:rPr>
          <w:rFonts w:asciiTheme="minorHAnsi" w:hAnsiTheme="minorHAnsi"/>
          <w:color w:val="auto"/>
        </w:rPr>
        <w:t>Scientific</w:t>
      </w:r>
      <w:bookmarkEnd w:id="42"/>
      <w:proofErr w:type="spellEnd"/>
    </w:p>
    <w:p w:rsidR="00E94120" w:rsidRPr="002D7A10" w:rsidRDefault="00E94120" w:rsidP="00E94120">
      <w:pPr>
        <w:rPr>
          <w:rFonts w:asciiTheme="minorHAnsi" w:hAnsiTheme="minorHAnsi"/>
          <w:lang w:eastAsia="cs-CZ"/>
        </w:rPr>
      </w:pPr>
    </w:p>
    <w:p w:rsidR="00427E64" w:rsidRPr="002D7A10" w:rsidRDefault="00427E64" w:rsidP="00427E64">
      <w:pPr>
        <w:rPr>
          <w:rFonts w:asciiTheme="minorHAnsi" w:hAnsiTheme="minorHAnsi"/>
        </w:rPr>
      </w:pPr>
      <w:r w:rsidRPr="002D7A10">
        <w:rPr>
          <w:rFonts w:asciiTheme="minorHAnsi" w:hAnsiTheme="minorHAnsi"/>
        </w:rPr>
        <w:t xml:space="preserve">Transfer poznatkov z akademickej pôdy do hospodárskej a spoločenskej praxe prostredníctvom inovatívnych </w:t>
      </w:r>
      <w:proofErr w:type="spellStart"/>
      <w:r w:rsidRPr="002D7A10">
        <w:rPr>
          <w:rFonts w:asciiTheme="minorHAnsi" w:hAnsiTheme="minorHAnsi"/>
        </w:rPr>
        <w:t>spin-off</w:t>
      </w:r>
      <w:proofErr w:type="spellEnd"/>
      <w:r w:rsidRPr="002D7A10">
        <w:rPr>
          <w:rFonts w:asciiTheme="minorHAnsi" w:hAnsiTheme="minorHAnsi"/>
        </w:rPr>
        <w:t xml:space="preserve"> spoločností s majetkovou účasťou univerzity je jedným zo spôsobov ekonomického zhodnocovania duševného vlastníctva. V prípade Slovenskej technickej univerzity v Bratislave podporu pri zakladaní a rozvoji univerzitných </w:t>
      </w:r>
      <w:proofErr w:type="spellStart"/>
      <w:r w:rsidRPr="002D7A10">
        <w:rPr>
          <w:rFonts w:asciiTheme="minorHAnsi" w:hAnsiTheme="minorHAnsi"/>
        </w:rPr>
        <w:t>spin-off</w:t>
      </w:r>
      <w:proofErr w:type="spellEnd"/>
      <w:r w:rsidRPr="002D7A10">
        <w:rPr>
          <w:rFonts w:asciiTheme="minorHAnsi" w:hAnsiTheme="minorHAnsi"/>
        </w:rPr>
        <w:t xml:space="preserve"> spoločností poskytuje špecializované pracovisko univerzity – STU </w:t>
      </w:r>
      <w:proofErr w:type="spellStart"/>
      <w:r w:rsidRPr="002D7A10">
        <w:rPr>
          <w:rFonts w:asciiTheme="minorHAnsi" w:hAnsiTheme="minorHAnsi"/>
        </w:rPr>
        <w:t>Scientific</w:t>
      </w:r>
      <w:proofErr w:type="spellEnd"/>
      <w:r w:rsidRPr="002D7A10">
        <w:rPr>
          <w:rFonts w:asciiTheme="minorHAnsi" w:hAnsiTheme="minorHAnsi"/>
        </w:rPr>
        <w:t>, s. r. o.</w:t>
      </w:r>
    </w:p>
    <w:p w:rsidR="00427E64" w:rsidRPr="002D7A10" w:rsidRDefault="00427E64" w:rsidP="00427E64">
      <w:pPr>
        <w:rPr>
          <w:rFonts w:asciiTheme="minorHAnsi" w:hAnsiTheme="minorHAnsi"/>
        </w:rPr>
      </w:pPr>
      <w:r w:rsidRPr="002D7A10">
        <w:rPr>
          <w:rFonts w:asciiTheme="minorHAnsi" w:hAnsiTheme="minorHAnsi"/>
          <w:b/>
        </w:rPr>
        <w:t xml:space="preserve">V priebehu roka  2015 pracovalo v prostredí STU 5 inovatívnych </w:t>
      </w:r>
      <w:proofErr w:type="spellStart"/>
      <w:r w:rsidRPr="002D7A10">
        <w:rPr>
          <w:rFonts w:asciiTheme="minorHAnsi" w:hAnsiTheme="minorHAnsi"/>
          <w:b/>
        </w:rPr>
        <w:t>spin-off</w:t>
      </w:r>
      <w:proofErr w:type="spellEnd"/>
      <w:r w:rsidRPr="002D7A10">
        <w:rPr>
          <w:rFonts w:asciiTheme="minorHAnsi" w:hAnsiTheme="minorHAnsi"/>
          <w:b/>
        </w:rPr>
        <w:t xml:space="preserve"> spoločností s majetkovou účasťou STU, ktoré založili pracovníci STU na základe výsledkov vlastného výskumu. </w:t>
      </w:r>
      <w:r w:rsidRPr="002D7A10">
        <w:rPr>
          <w:rFonts w:asciiTheme="minorHAnsi" w:hAnsiTheme="minorHAnsi"/>
        </w:rPr>
        <w:t xml:space="preserve">Cieľom týchto firiem je komercializácia progresívnych myšlienok ako výsledkov doterajšieho výskumu a vývoja. Spoločnosť STUVITAL s. r. o., ktorej členmi sú aj osoby mimo prostredia univerzity, má za cieľ hlavne komerčné zužitkovanie </w:t>
      </w:r>
      <w:proofErr w:type="spellStart"/>
      <w:r w:rsidRPr="002D7A10">
        <w:rPr>
          <w:rFonts w:asciiTheme="minorHAnsi" w:hAnsiTheme="minorHAnsi"/>
        </w:rPr>
        <w:t>know-how</w:t>
      </w:r>
      <w:proofErr w:type="spellEnd"/>
      <w:r w:rsidRPr="002D7A10">
        <w:rPr>
          <w:rFonts w:asciiTheme="minorHAnsi" w:hAnsiTheme="minorHAnsi"/>
        </w:rPr>
        <w:t xml:space="preserve"> v oblasti výživy a vývoja zdraviu prospešných potravín. Firma IVMA STU s. r. o.</w:t>
      </w:r>
      <w:r w:rsidR="00080AC9" w:rsidRPr="002D7A10">
        <w:rPr>
          <w:rFonts w:asciiTheme="minorHAnsi" w:hAnsiTheme="minorHAnsi"/>
        </w:rPr>
        <w:t>,</w:t>
      </w:r>
      <w:r w:rsidRPr="002D7A10">
        <w:rPr>
          <w:rFonts w:asciiTheme="minorHAnsi" w:hAnsiTheme="minorHAnsi"/>
        </w:rPr>
        <w:t xml:space="preserve"> sa venovala oblasti vývoja materiálov pre špecifické aplikácie a extrémne podmienky. Spoločnosť SMME-STU s. r. o.</w:t>
      </w:r>
      <w:r w:rsidR="00080AC9" w:rsidRPr="002D7A10">
        <w:rPr>
          <w:rFonts w:asciiTheme="minorHAnsi" w:hAnsiTheme="minorHAnsi"/>
        </w:rPr>
        <w:t>,</w:t>
      </w:r>
      <w:r w:rsidRPr="002D7A10">
        <w:rPr>
          <w:rFonts w:asciiTheme="minorHAnsi" w:hAnsiTheme="minorHAnsi"/>
        </w:rPr>
        <w:t xml:space="preserve"> je primárne zameraná na výskum, vývoj a poradenstvo v oblasti </w:t>
      </w:r>
      <w:proofErr w:type="spellStart"/>
      <w:r w:rsidRPr="002D7A10">
        <w:rPr>
          <w:rFonts w:asciiTheme="minorHAnsi" w:hAnsiTheme="minorHAnsi"/>
        </w:rPr>
        <w:t>elektromobility</w:t>
      </w:r>
      <w:proofErr w:type="spellEnd"/>
      <w:r w:rsidRPr="002D7A10">
        <w:rPr>
          <w:rFonts w:asciiTheme="minorHAnsi" w:hAnsiTheme="minorHAnsi"/>
        </w:rPr>
        <w:t xml:space="preserve">, automobilov a ich </w:t>
      </w:r>
      <w:proofErr w:type="spellStart"/>
      <w:r w:rsidRPr="002D7A10">
        <w:rPr>
          <w:rFonts w:asciiTheme="minorHAnsi" w:hAnsiTheme="minorHAnsi"/>
        </w:rPr>
        <w:t>mechatronických</w:t>
      </w:r>
      <w:proofErr w:type="spellEnd"/>
      <w:r w:rsidRPr="002D7A10">
        <w:rPr>
          <w:rFonts w:asciiTheme="minorHAnsi" w:hAnsiTheme="minorHAnsi"/>
        </w:rPr>
        <w:t xml:space="preserve"> systémov, ako aj bezpečnostných systémov. Spoločnosť </w:t>
      </w:r>
      <w:proofErr w:type="spellStart"/>
      <w:r w:rsidRPr="002D7A10">
        <w:rPr>
          <w:rFonts w:asciiTheme="minorHAnsi" w:hAnsiTheme="minorHAnsi"/>
        </w:rPr>
        <w:t>Hydrotechnika</w:t>
      </w:r>
      <w:proofErr w:type="spellEnd"/>
      <w:r w:rsidRPr="002D7A10">
        <w:rPr>
          <w:rFonts w:asciiTheme="minorHAnsi" w:hAnsiTheme="minorHAnsi"/>
        </w:rPr>
        <w:t xml:space="preserve"> STU s. r. o.</w:t>
      </w:r>
      <w:r w:rsidR="00080AC9" w:rsidRPr="002D7A10">
        <w:rPr>
          <w:rFonts w:asciiTheme="minorHAnsi" w:hAnsiTheme="minorHAnsi"/>
        </w:rPr>
        <w:t>,</w:t>
      </w:r>
      <w:r w:rsidRPr="002D7A10">
        <w:rPr>
          <w:rFonts w:asciiTheme="minorHAnsi" w:hAnsiTheme="minorHAnsi"/>
        </w:rPr>
        <w:t xml:space="preserve"> poskytuje služby v oblasti projektových a inžinierskych činností protipovodňovej ochrany územia najmä v úrovniach, ktoré nepokrývajú klasické projektové kancelárie a v oblasti obnoviteľných zdrojov energie. Ťažiskom aktivít spoločnosti ENFEI s.r.o., zostáva výskum a vývoj v oblasti prevádzky elektrizačných sústav s dôrazom na optimalizáciu rozvoja a prevádzky elektrických sietí všetkých napäťových úrovní, ako aj zdrojovej základne elektrizačnej sústavy SR vrátane analýzy stavu siete a návrhu riešenia zníženia strát pri prenose. </w:t>
      </w:r>
    </w:p>
    <w:p w:rsidR="00427E64" w:rsidRPr="002D7A10" w:rsidRDefault="00427E64" w:rsidP="00427E64">
      <w:pPr>
        <w:rPr>
          <w:rFonts w:asciiTheme="minorHAnsi" w:hAnsiTheme="minorHAnsi"/>
        </w:rPr>
      </w:pPr>
      <w:r w:rsidRPr="002D7A10">
        <w:rPr>
          <w:rFonts w:asciiTheme="minorHAnsi" w:hAnsiTheme="minorHAnsi"/>
        </w:rPr>
        <w:t xml:space="preserve">Ďalším z využívaných spôsobov transferu technológií je riešenie konkrétnych úloh pre subjekty z hospodárskej sféry. Spoločnosť STU </w:t>
      </w:r>
      <w:proofErr w:type="spellStart"/>
      <w:r w:rsidRPr="002D7A10">
        <w:rPr>
          <w:rFonts w:asciiTheme="minorHAnsi" w:hAnsiTheme="minorHAnsi"/>
        </w:rPr>
        <w:t>Scientific</w:t>
      </w:r>
      <w:proofErr w:type="spellEnd"/>
      <w:r w:rsidRPr="002D7A10">
        <w:rPr>
          <w:rFonts w:asciiTheme="minorHAnsi" w:hAnsiTheme="minorHAnsi"/>
        </w:rPr>
        <w:t xml:space="preserve">, s. r. o. prostredníctvom schém na podporu spolupráce podnikateľských subjektov a vedecko-výskumných pracovísk formou inovačných </w:t>
      </w:r>
      <w:proofErr w:type="spellStart"/>
      <w:r w:rsidRPr="002D7A10">
        <w:rPr>
          <w:rFonts w:asciiTheme="minorHAnsi" w:hAnsiTheme="minorHAnsi"/>
        </w:rPr>
        <w:t>voucherov</w:t>
      </w:r>
      <w:proofErr w:type="spellEnd"/>
      <w:r w:rsidRPr="002D7A10">
        <w:rPr>
          <w:rFonts w:asciiTheme="minorHAnsi" w:hAnsiTheme="minorHAnsi"/>
        </w:rPr>
        <w:t xml:space="preserve"> v priebehu roka 2015 úspešne vyriešila 3 projekty z oblasti aplikovaného výskumu. </w:t>
      </w:r>
    </w:p>
    <w:p w:rsidR="00427E64" w:rsidRPr="002D7A10" w:rsidRDefault="00F12D4B" w:rsidP="00427E64">
      <w:pPr>
        <w:rPr>
          <w:rFonts w:asciiTheme="minorHAnsi" w:hAnsiTheme="minorHAnsi"/>
        </w:rPr>
      </w:pPr>
      <w:r w:rsidRPr="002D7A10">
        <w:rPr>
          <w:rFonts w:asciiTheme="minorHAnsi" w:hAnsiTheme="minorHAnsi"/>
        </w:rPr>
        <w:t xml:space="preserve">Na základe zmluvy </w:t>
      </w:r>
      <w:r w:rsidR="00427E64" w:rsidRPr="002D7A10">
        <w:rPr>
          <w:rFonts w:asciiTheme="minorHAnsi" w:hAnsiTheme="minorHAnsi"/>
        </w:rPr>
        <w:t xml:space="preserve">s Centrom vedecko-technických informácií Slovenskej republiky spoločnosť STU </w:t>
      </w:r>
      <w:proofErr w:type="spellStart"/>
      <w:r w:rsidR="00427E64" w:rsidRPr="002D7A10">
        <w:rPr>
          <w:rFonts w:asciiTheme="minorHAnsi" w:hAnsiTheme="minorHAnsi"/>
        </w:rPr>
        <w:t>Scientific</w:t>
      </w:r>
      <w:proofErr w:type="spellEnd"/>
      <w:r w:rsidR="00427E64" w:rsidRPr="002D7A10">
        <w:rPr>
          <w:rFonts w:asciiTheme="minorHAnsi" w:hAnsiTheme="minorHAnsi"/>
        </w:rPr>
        <w:t xml:space="preserve">, s.r.o. poskytovala expertné podporné služby v procese transferu technológií pre Národný systém podpory transferu technológií v rámci </w:t>
      </w:r>
      <w:r w:rsidR="00427E64" w:rsidRPr="002D7A10">
        <w:rPr>
          <w:rFonts w:asciiTheme="minorHAnsi" w:hAnsiTheme="minorHAnsi"/>
        </w:rPr>
        <w:lastRenderedPageBreak/>
        <w:t xml:space="preserve">implementácie projektu NITT SK. Expertné podporné služby využili v prvom rade organizácie z verejného sektora, v menšej miere aj podnikateľské subjekty. </w:t>
      </w:r>
    </w:p>
    <w:p w:rsidR="00427E64" w:rsidRPr="002D7A10" w:rsidRDefault="00427E64" w:rsidP="00E94120">
      <w:pPr>
        <w:rPr>
          <w:rFonts w:asciiTheme="minorHAnsi" w:hAnsiTheme="minorHAnsi"/>
          <w:lang w:eastAsia="cs-CZ"/>
        </w:rPr>
      </w:pPr>
    </w:p>
    <w:p w:rsidR="00B51749" w:rsidRPr="002D7A10" w:rsidRDefault="00B51749" w:rsidP="00B51749">
      <w:pPr>
        <w:pStyle w:val="Nadpis2"/>
        <w:rPr>
          <w:rFonts w:asciiTheme="minorHAnsi" w:hAnsiTheme="minorHAnsi"/>
          <w:color w:val="auto"/>
          <w:sz w:val="24"/>
          <w:szCs w:val="24"/>
        </w:rPr>
      </w:pPr>
      <w:bookmarkStart w:id="43" w:name="_Toc448261585"/>
      <w:r w:rsidRPr="002D7A10">
        <w:rPr>
          <w:rFonts w:asciiTheme="minorHAnsi" w:hAnsiTheme="minorHAnsi"/>
          <w:color w:val="auto"/>
          <w:sz w:val="24"/>
          <w:szCs w:val="24"/>
        </w:rPr>
        <w:t>Podporné služby výskumu</w:t>
      </w:r>
      <w:bookmarkEnd w:id="43"/>
      <w:r w:rsidRPr="002D7A10">
        <w:rPr>
          <w:rFonts w:asciiTheme="minorHAnsi" w:hAnsiTheme="minorHAnsi"/>
          <w:color w:val="auto"/>
          <w:sz w:val="24"/>
          <w:szCs w:val="24"/>
        </w:rPr>
        <w:t xml:space="preserve"> </w:t>
      </w:r>
    </w:p>
    <w:p w:rsidR="00B51749" w:rsidRPr="002D7A10" w:rsidRDefault="00B51749" w:rsidP="00B51749">
      <w:pPr>
        <w:autoSpaceDE w:val="0"/>
        <w:autoSpaceDN w:val="0"/>
        <w:adjustRightInd w:val="0"/>
        <w:rPr>
          <w:rFonts w:asciiTheme="minorHAnsi" w:hAnsiTheme="minorHAnsi"/>
          <w:bCs/>
          <w:i/>
        </w:rPr>
      </w:pPr>
    </w:p>
    <w:p w:rsidR="00B51749" w:rsidRPr="002D7A10" w:rsidRDefault="00B51749" w:rsidP="00D31559">
      <w:pPr>
        <w:pStyle w:val="Odsekzoznamu"/>
        <w:numPr>
          <w:ilvl w:val="0"/>
          <w:numId w:val="8"/>
        </w:numPr>
        <w:autoSpaceDE w:val="0"/>
        <w:autoSpaceDN w:val="0"/>
        <w:adjustRightInd w:val="0"/>
        <w:spacing w:after="0" w:line="240" w:lineRule="auto"/>
        <w:rPr>
          <w:rFonts w:asciiTheme="minorHAnsi" w:hAnsiTheme="minorHAnsi"/>
          <w:b/>
          <w:i/>
          <w:sz w:val="24"/>
          <w:szCs w:val="24"/>
        </w:rPr>
      </w:pPr>
      <w:r w:rsidRPr="002D7A10">
        <w:rPr>
          <w:rFonts w:asciiTheme="minorHAnsi" w:hAnsiTheme="minorHAnsi"/>
          <w:b/>
          <w:i/>
          <w:sz w:val="24"/>
          <w:szCs w:val="24"/>
        </w:rPr>
        <w:t xml:space="preserve">Monitorovanie výziev </w:t>
      </w:r>
      <w:r w:rsidR="00777BF7" w:rsidRPr="002D7A10">
        <w:rPr>
          <w:rFonts w:asciiTheme="minorHAnsi" w:hAnsiTheme="minorHAnsi"/>
          <w:b/>
          <w:i/>
          <w:sz w:val="24"/>
          <w:szCs w:val="24"/>
        </w:rPr>
        <w:t>na</w:t>
      </w:r>
      <w:r w:rsidRPr="002D7A10">
        <w:rPr>
          <w:rFonts w:asciiTheme="minorHAnsi" w:hAnsiTheme="minorHAnsi"/>
          <w:b/>
          <w:i/>
          <w:sz w:val="24"/>
          <w:szCs w:val="24"/>
        </w:rPr>
        <w:t xml:space="preserve"> projekty</w:t>
      </w:r>
    </w:p>
    <w:p w:rsidR="00B51749" w:rsidRPr="002D7A10" w:rsidRDefault="00B51749" w:rsidP="00B51749">
      <w:pPr>
        <w:autoSpaceDE w:val="0"/>
        <w:autoSpaceDN w:val="0"/>
        <w:adjustRightInd w:val="0"/>
        <w:rPr>
          <w:rFonts w:asciiTheme="minorHAnsi" w:hAnsiTheme="minorHAnsi"/>
        </w:rPr>
      </w:pPr>
      <w:r w:rsidRPr="002D7A10">
        <w:rPr>
          <w:rFonts w:asciiTheme="minorHAnsi" w:hAnsiTheme="minorHAnsi"/>
        </w:rPr>
        <w:t xml:space="preserve">Aj v uplynulom roku pokračovalo Vyhľadávanie výziev </w:t>
      </w:r>
      <w:r w:rsidR="00777BF7" w:rsidRPr="002D7A10">
        <w:rPr>
          <w:rFonts w:asciiTheme="minorHAnsi" w:hAnsiTheme="minorHAnsi"/>
        </w:rPr>
        <w:t>na</w:t>
      </w:r>
      <w:r w:rsidRPr="002D7A10">
        <w:rPr>
          <w:rFonts w:asciiTheme="minorHAnsi" w:hAnsiTheme="minorHAnsi"/>
        </w:rPr>
        <w:t xml:space="preserve"> projekty prostredníctvom SPIRIT Portálu. Ten sústredil informácie o dostupných zahraničných zdrojoch na výskumnú činnosť, otvorených i chystaných výzvach rámcových programov EÚ a pod. </w:t>
      </w:r>
    </w:p>
    <w:p w:rsidR="00B51749" w:rsidRPr="002D7A10" w:rsidRDefault="00B51749" w:rsidP="00B51749">
      <w:pPr>
        <w:autoSpaceDE w:val="0"/>
        <w:autoSpaceDN w:val="0"/>
        <w:adjustRightInd w:val="0"/>
        <w:rPr>
          <w:rFonts w:asciiTheme="minorHAnsi" w:hAnsiTheme="minorHAnsi"/>
        </w:rPr>
      </w:pPr>
    </w:p>
    <w:p w:rsidR="00B51749" w:rsidRPr="002D7A10" w:rsidRDefault="00B51749" w:rsidP="00D31559">
      <w:pPr>
        <w:pStyle w:val="Odsekzoznamu"/>
        <w:numPr>
          <w:ilvl w:val="0"/>
          <w:numId w:val="8"/>
        </w:numPr>
        <w:autoSpaceDE w:val="0"/>
        <w:autoSpaceDN w:val="0"/>
        <w:adjustRightInd w:val="0"/>
        <w:spacing w:after="0" w:line="240" w:lineRule="auto"/>
        <w:rPr>
          <w:rFonts w:asciiTheme="minorHAnsi" w:hAnsiTheme="minorHAnsi"/>
          <w:i/>
          <w:sz w:val="24"/>
          <w:szCs w:val="24"/>
        </w:rPr>
      </w:pPr>
      <w:r w:rsidRPr="002D7A10">
        <w:rPr>
          <w:rFonts w:asciiTheme="minorHAnsi" w:hAnsiTheme="minorHAnsi"/>
          <w:b/>
          <w:i/>
          <w:sz w:val="24"/>
          <w:szCs w:val="24"/>
        </w:rPr>
        <w:t xml:space="preserve">Program </w:t>
      </w:r>
      <w:proofErr w:type="spellStart"/>
      <w:r w:rsidRPr="002D7A10">
        <w:rPr>
          <w:rFonts w:asciiTheme="minorHAnsi" w:hAnsiTheme="minorHAnsi"/>
          <w:b/>
          <w:i/>
          <w:sz w:val="24"/>
          <w:szCs w:val="24"/>
        </w:rPr>
        <w:t>prefinancovania</w:t>
      </w:r>
      <w:proofErr w:type="spellEnd"/>
      <w:r w:rsidRPr="002D7A10">
        <w:rPr>
          <w:rFonts w:asciiTheme="minorHAnsi" w:hAnsiTheme="minorHAnsi"/>
          <w:b/>
          <w:i/>
          <w:sz w:val="24"/>
          <w:szCs w:val="24"/>
        </w:rPr>
        <w:t xml:space="preserve"> MVTS</w:t>
      </w:r>
    </w:p>
    <w:p w:rsidR="00B51749" w:rsidRPr="002D7A10" w:rsidRDefault="00B51749" w:rsidP="00B51749">
      <w:pPr>
        <w:autoSpaceDE w:val="0"/>
        <w:autoSpaceDN w:val="0"/>
        <w:adjustRightInd w:val="0"/>
        <w:rPr>
          <w:rFonts w:asciiTheme="minorHAnsi" w:hAnsiTheme="minorHAnsi"/>
        </w:rPr>
      </w:pPr>
      <w:r w:rsidRPr="002D7A10">
        <w:rPr>
          <w:rFonts w:asciiTheme="minorHAnsi" w:hAnsiTheme="minorHAnsi"/>
        </w:rPr>
        <w:t xml:space="preserve">Od roku 2008 sa realizuje </w:t>
      </w:r>
      <w:r w:rsidRPr="002D7A10">
        <w:rPr>
          <w:rFonts w:asciiTheme="minorHAnsi" w:hAnsiTheme="minorHAnsi"/>
          <w:b/>
        </w:rPr>
        <w:t xml:space="preserve">Program na </w:t>
      </w:r>
      <w:proofErr w:type="spellStart"/>
      <w:r w:rsidRPr="002D7A10">
        <w:rPr>
          <w:rFonts w:asciiTheme="minorHAnsi" w:hAnsiTheme="minorHAnsi"/>
          <w:b/>
        </w:rPr>
        <w:t>prefinancovanie</w:t>
      </w:r>
      <w:proofErr w:type="spellEnd"/>
      <w:r w:rsidRPr="002D7A10">
        <w:rPr>
          <w:rFonts w:asciiTheme="minorHAnsi" w:hAnsiTheme="minorHAnsi"/>
          <w:b/>
        </w:rPr>
        <w:t xml:space="preserve"> výskumných projektov medzinárodnej vedecko-technickej spolupráce</w:t>
      </w:r>
      <w:r w:rsidRPr="002D7A10">
        <w:rPr>
          <w:rFonts w:asciiTheme="minorHAnsi" w:hAnsiTheme="minorHAnsi"/>
        </w:rPr>
        <w:t xml:space="preserve"> (ďalej len MVTS) za účelom podpory plynulého riešenia projektov MVTS, najmä v rámcových programov EÚ a zvýšenia úspešnosti pracovísk STU pri riešení týchto projektov. Program je súčasťou systému podpory rozvoja vedy na STU v súlade s odporúčaniami Európskej asociácie univerzít. </w:t>
      </w:r>
    </w:p>
    <w:p w:rsidR="00B51749" w:rsidRPr="002D7A10" w:rsidRDefault="00B51749" w:rsidP="00B51749">
      <w:pPr>
        <w:autoSpaceDE w:val="0"/>
        <w:autoSpaceDN w:val="0"/>
        <w:adjustRightInd w:val="0"/>
        <w:rPr>
          <w:rFonts w:asciiTheme="minorHAnsi" w:hAnsiTheme="minorHAnsi"/>
        </w:rPr>
      </w:pPr>
    </w:p>
    <w:p w:rsidR="00B51749" w:rsidRPr="002D7A10" w:rsidRDefault="00B51749" w:rsidP="00D31559">
      <w:pPr>
        <w:pStyle w:val="Odsekzoznamu"/>
        <w:numPr>
          <w:ilvl w:val="0"/>
          <w:numId w:val="8"/>
        </w:numPr>
        <w:autoSpaceDE w:val="0"/>
        <w:autoSpaceDN w:val="0"/>
        <w:adjustRightInd w:val="0"/>
        <w:spacing w:after="0" w:line="240" w:lineRule="auto"/>
        <w:rPr>
          <w:rFonts w:asciiTheme="minorHAnsi" w:hAnsiTheme="minorHAnsi"/>
          <w:i/>
          <w:sz w:val="24"/>
          <w:szCs w:val="24"/>
        </w:rPr>
      </w:pPr>
      <w:r w:rsidRPr="002D7A10">
        <w:rPr>
          <w:rFonts w:asciiTheme="minorHAnsi" w:hAnsiTheme="minorHAnsi"/>
          <w:b/>
          <w:i/>
          <w:sz w:val="24"/>
          <w:szCs w:val="24"/>
        </w:rPr>
        <w:t>Motivačný program</w:t>
      </w:r>
    </w:p>
    <w:p w:rsidR="00B51749" w:rsidRDefault="00B51749" w:rsidP="00B51749">
      <w:pPr>
        <w:autoSpaceDE w:val="0"/>
        <w:autoSpaceDN w:val="0"/>
        <w:adjustRightInd w:val="0"/>
        <w:rPr>
          <w:rFonts w:asciiTheme="minorHAnsi" w:hAnsiTheme="minorHAnsi"/>
        </w:rPr>
      </w:pPr>
      <w:r w:rsidRPr="002D7A10">
        <w:rPr>
          <w:rFonts w:asciiTheme="minorHAnsi" w:hAnsiTheme="minorHAnsi"/>
        </w:rPr>
        <w:t xml:space="preserve">Od toho istého roku, v snahe podporiť motiváciu jednotlivcov na podávanie projektov MVTS, rektor STU zriadil </w:t>
      </w:r>
      <w:r w:rsidRPr="002D7A10">
        <w:rPr>
          <w:rFonts w:asciiTheme="minorHAnsi" w:hAnsiTheme="minorHAnsi"/>
          <w:b/>
        </w:rPr>
        <w:t>Program na podporu zapájania STU do projektov medzinárodnej vedecko-technickej spolupráce</w:t>
      </w:r>
      <w:r w:rsidRPr="002D7A10">
        <w:rPr>
          <w:rFonts w:asciiTheme="minorHAnsi" w:hAnsiTheme="minorHAnsi"/>
        </w:rPr>
        <w:t xml:space="preserve">, tzv. </w:t>
      </w:r>
      <w:r w:rsidRPr="002D7A10">
        <w:rPr>
          <w:rFonts w:asciiTheme="minorHAnsi" w:hAnsiTheme="minorHAnsi"/>
          <w:i/>
        </w:rPr>
        <w:t>Motivačný program</w:t>
      </w:r>
      <w:r w:rsidRPr="002D7A10">
        <w:rPr>
          <w:rFonts w:asciiTheme="minorHAnsi" w:hAnsiTheme="minorHAnsi"/>
        </w:rPr>
        <w:t>. V rámci tohto programu rektor priznáva mimoriadnu odmenu tým zamestnancom, resp. študentom STU, ktorí vypracujú a/alebo dohodnú účasť kolektívu STU na projekte medzinárodnej vedecko-technickej spolupráce financovanom z prostriedkov zahraničných schém</w:t>
      </w:r>
      <w:r w:rsidR="00777BF7" w:rsidRPr="002D7A10">
        <w:rPr>
          <w:rFonts w:asciiTheme="minorHAnsi" w:hAnsiTheme="minorHAnsi"/>
        </w:rPr>
        <w:t>,</w:t>
      </w:r>
      <w:r w:rsidRPr="002D7A10">
        <w:rPr>
          <w:rFonts w:asciiTheme="minorHAnsi" w:hAnsiTheme="minorHAnsi"/>
        </w:rPr>
        <w:t xml:space="preserve"> ktoré sú posudzované financujúcim orgánom. Projekty MVTS, zahrnuté do tohto programu, musia mať charakter vedeckých, technických alebo umeleckých projektov podporujúcich medzinárodnú spoluprácu, musia zapájať do projektu minimálne jedno pracovisko STU a musia finančne podporovať činnosť tohto pracoviska zo zahraničných zdrojov, ako sú napr. Rámcové programy Európskej únie pre výskum a vývoj (7. RP a CIP), Nórsky fi</w:t>
      </w:r>
      <w:r w:rsidR="0090392E">
        <w:rPr>
          <w:rFonts w:asciiTheme="minorHAnsi" w:hAnsiTheme="minorHAnsi"/>
        </w:rPr>
        <w:t>nančný mechanizmus, NATO a pod.</w:t>
      </w:r>
    </w:p>
    <w:p w:rsidR="00495157" w:rsidRPr="002D7A10" w:rsidRDefault="00495157" w:rsidP="00B51749">
      <w:pPr>
        <w:autoSpaceDE w:val="0"/>
        <w:autoSpaceDN w:val="0"/>
        <w:adjustRightInd w:val="0"/>
        <w:rPr>
          <w:rFonts w:asciiTheme="minorHAnsi" w:hAnsiTheme="minorHAnsi"/>
        </w:rPr>
      </w:pPr>
    </w:p>
    <w:p w:rsidR="00B51749" w:rsidRPr="002D7A10" w:rsidRDefault="00B51749" w:rsidP="00B51749">
      <w:pPr>
        <w:autoSpaceDE w:val="0"/>
        <w:autoSpaceDN w:val="0"/>
        <w:adjustRightInd w:val="0"/>
        <w:rPr>
          <w:rFonts w:asciiTheme="minorHAnsi" w:hAnsiTheme="minorHAnsi"/>
        </w:rPr>
      </w:pPr>
    </w:p>
    <w:p w:rsidR="00B51749" w:rsidRPr="002D7A10" w:rsidRDefault="00B51749" w:rsidP="00B51749">
      <w:pPr>
        <w:pStyle w:val="Nadpis3"/>
        <w:rPr>
          <w:rFonts w:asciiTheme="minorHAnsi" w:hAnsiTheme="minorHAnsi"/>
        </w:rPr>
      </w:pPr>
      <w:bookmarkStart w:id="44" w:name="_Toc448261586"/>
      <w:r w:rsidRPr="002D7A10">
        <w:rPr>
          <w:rFonts w:asciiTheme="minorHAnsi" w:hAnsiTheme="minorHAnsi"/>
        </w:rPr>
        <w:t>Univerzitná knižnica STU</w:t>
      </w:r>
      <w:bookmarkEnd w:id="44"/>
      <w:r w:rsidRPr="002D7A10">
        <w:rPr>
          <w:rFonts w:asciiTheme="minorHAnsi" w:hAnsiTheme="minorHAnsi"/>
        </w:rPr>
        <w:t xml:space="preserve"> </w:t>
      </w:r>
    </w:p>
    <w:p w:rsidR="00B51749" w:rsidRPr="00950832" w:rsidRDefault="00950832" w:rsidP="00950832">
      <w:pPr>
        <w:tabs>
          <w:tab w:val="left" w:pos="1427"/>
        </w:tabs>
        <w:rPr>
          <w:rFonts w:asciiTheme="minorHAnsi" w:hAnsiTheme="minorHAnsi"/>
        </w:rPr>
      </w:pPr>
      <w:r w:rsidRPr="00950832">
        <w:rPr>
          <w:rFonts w:asciiTheme="minorHAnsi" w:hAnsiTheme="minorHAnsi"/>
        </w:rPr>
        <w:tab/>
      </w:r>
    </w:p>
    <w:p w:rsidR="00B51749" w:rsidRPr="00950832" w:rsidRDefault="00B51749" w:rsidP="00B51749">
      <w:pPr>
        <w:rPr>
          <w:rFonts w:asciiTheme="minorHAnsi" w:hAnsiTheme="minorHAnsi"/>
        </w:rPr>
      </w:pPr>
      <w:r w:rsidRPr="00950832">
        <w:rPr>
          <w:rFonts w:asciiTheme="minorHAnsi" w:hAnsiTheme="minorHAnsi"/>
        </w:rPr>
        <w:t xml:space="preserve">Jedným z podporných pracovísk STU je Univerzitná knižnica  STU. Toto pracovisko pôsobí ako koordinátor aktivít akademických knižníc na STU. Jeho aktivity a služby sú dostupné na stránke STU Virtuálna knižnica. </w:t>
      </w:r>
    </w:p>
    <w:p w:rsidR="00462368" w:rsidRPr="00950832" w:rsidRDefault="00B51749" w:rsidP="00462368">
      <w:pPr>
        <w:rPr>
          <w:rFonts w:asciiTheme="minorHAnsi" w:hAnsiTheme="minorHAnsi"/>
        </w:rPr>
      </w:pPr>
      <w:r w:rsidRPr="00520814">
        <w:rPr>
          <w:rFonts w:asciiTheme="minorHAnsi" w:hAnsiTheme="minorHAnsi"/>
          <w:b/>
        </w:rPr>
        <w:t>Cieľom činnosti tohto pracoviska je</w:t>
      </w:r>
      <w:r w:rsidR="00462368" w:rsidRPr="00950832">
        <w:rPr>
          <w:rFonts w:asciiTheme="minorHAnsi" w:hAnsiTheme="minorHAnsi"/>
        </w:rPr>
        <w:t xml:space="preserve">: </w:t>
      </w:r>
      <w:r w:rsidRPr="00950832">
        <w:rPr>
          <w:rFonts w:asciiTheme="minorHAnsi" w:hAnsiTheme="minorHAnsi"/>
        </w:rPr>
        <w:t xml:space="preserve"> </w:t>
      </w:r>
    </w:p>
    <w:p w:rsidR="00462368" w:rsidRPr="00950832" w:rsidRDefault="00462368" w:rsidP="00462368">
      <w:pPr>
        <w:rPr>
          <w:rFonts w:asciiTheme="minorHAnsi" w:hAnsiTheme="minorHAnsi"/>
        </w:rPr>
      </w:pPr>
      <w:r w:rsidRPr="00950832">
        <w:rPr>
          <w:rFonts w:asciiTheme="minorHAnsi" w:hAnsiTheme="minorHAnsi"/>
        </w:rPr>
        <w:t xml:space="preserve">- </w:t>
      </w:r>
      <w:r w:rsidR="00B51749" w:rsidRPr="00950832">
        <w:rPr>
          <w:rFonts w:asciiTheme="minorHAnsi" w:hAnsiTheme="minorHAnsi"/>
        </w:rPr>
        <w:t>zjednocovanie pracovných postupov akademic</w:t>
      </w:r>
      <w:r w:rsidRPr="00950832">
        <w:rPr>
          <w:rFonts w:asciiTheme="minorHAnsi" w:hAnsiTheme="minorHAnsi"/>
        </w:rPr>
        <w:t>kých knižníc na fakultách STU,</w:t>
      </w:r>
    </w:p>
    <w:p w:rsidR="00462368" w:rsidRPr="00950832" w:rsidRDefault="00462368" w:rsidP="00462368">
      <w:pPr>
        <w:rPr>
          <w:rFonts w:asciiTheme="minorHAnsi" w:hAnsiTheme="minorHAnsi"/>
        </w:rPr>
      </w:pPr>
      <w:r w:rsidRPr="00950832">
        <w:rPr>
          <w:rFonts w:asciiTheme="minorHAnsi" w:hAnsiTheme="minorHAnsi"/>
        </w:rPr>
        <w:t xml:space="preserve">- </w:t>
      </w:r>
      <w:r w:rsidR="00B51749" w:rsidRPr="00950832">
        <w:rPr>
          <w:rFonts w:asciiTheme="minorHAnsi" w:hAnsiTheme="minorHAnsi"/>
        </w:rPr>
        <w:t>centralizovaný nákup databáz (okrem projektu NISPEZ – CVTI SR)</w:t>
      </w:r>
      <w:r w:rsidRPr="00950832">
        <w:rPr>
          <w:rFonts w:asciiTheme="minorHAnsi" w:hAnsiTheme="minorHAnsi"/>
        </w:rPr>
        <w:t xml:space="preserve"> zameraný na technické odbory, </w:t>
      </w:r>
    </w:p>
    <w:p w:rsidR="00520814" w:rsidRDefault="00462368" w:rsidP="00520814">
      <w:pPr>
        <w:rPr>
          <w:rFonts w:asciiTheme="minorHAnsi" w:hAnsiTheme="minorHAnsi"/>
        </w:rPr>
      </w:pPr>
      <w:r w:rsidRPr="00950832">
        <w:rPr>
          <w:rFonts w:asciiTheme="minorHAnsi" w:hAnsiTheme="minorHAnsi"/>
        </w:rPr>
        <w:lastRenderedPageBreak/>
        <w:t xml:space="preserve">- </w:t>
      </w:r>
      <w:r w:rsidR="00B51749" w:rsidRPr="00950832">
        <w:rPr>
          <w:rFonts w:asciiTheme="minorHAnsi" w:hAnsiTheme="minorHAnsi"/>
        </w:rPr>
        <w:t>metodické riadenie publikačnej a umeleckej činnosti (EPČ a EUCA), komunikácia s nadriadenými orgánmi, kontrola výstupov z CREPC a EUCA (z dát v CVT STU), ich následné vyhodnotenie a vytvorenie podkladov k ro</w:t>
      </w:r>
      <w:r w:rsidR="00520814">
        <w:rPr>
          <w:rFonts w:asciiTheme="minorHAnsi" w:hAnsiTheme="minorHAnsi"/>
        </w:rPr>
        <w:t>zpisu dotácií na fakulty STU</w:t>
      </w:r>
    </w:p>
    <w:p w:rsidR="00520814" w:rsidRDefault="00520814" w:rsidP="005D7173">
      <w:pPr>
        <w:rPr>
          <w:rFonts w:asciiTheme="minorHAnsi" w:hAnsiTheme="minorHAnsi"/>
        </w:rPr>
      </w:pPr>
      <w:r>
        <w:rPr>
          <w:rFonts w:asciiTheme="minorHAnsi" w:hAnsiTheme="minorHAnsi"/>
        </w:rPr>
        <w:t xml:space="preserve">- </w:t>
      </w:r>
      <w:r w:rsidR="00950832" w:rsidRPr="00950832">
        <w:rPr>
          <w:rFonts w:asciiTheme="minorHAnsi" w:hAnsiTheme="minorHAnsi"/>
        </w:rPr>
        <w:t>poskytovanie kvalitných servisných a konzultačných služieb pre študentov, doktorandov a zamestnancov STU v oblasti vzdelávani</w:t>
      </w:r>
      <w:r>
        <w:rPr>
          <w:rFonts w:asciiTheme="minorHAnsi" w:hAnsiTheme="minorHAnsi"/>
        </w:rPr>
        <w:t>a a vedecko-výskumnej činnosti</w:t>
      </w:r>
    </w:p>
    <w:p w:rsidR="00520814" w:rsidRDefault="00520814" w:rsidP="005D7173">
      <w:pPr>
        <w:rPr>
          <w:rFonts w:asciiTheme="minorHAnsi" w:hAnsiTheme="minorHAnsi"/>
        </w:rPr>
      </w:pPr>
      <w:r>
        <w:rPr>
          <w:rFonts w:asciiTheme="minorHAnsi" w:hAnsiTheme="minorHAnsi"/>
        </w:rPr>
        <w:t xml:space="preserve">- </w:t>
      </w:r>
      <w:r w:rsidR="00950832" w:rsidRPr="00950832">
        <w:rPr>
          <w:rFonts w:asciiTheme="minorHAnsi" w:hAnsiTheme="minorHAnsi"/>
        </w:rPr>
        <w:t xml:space="preserve">technické zabezpečenie prevádzky siete a informačného systému, výpožičnej, publikačnej a rešeršnej činnosti. </w:t>
      </w:r>
    </w:p>
    <w:p w:rsidR="00B51749" w:rsidRPr="00950832" w:rsidRDefault="00950832" w:rsidP="005D7173">
      <w:pPr>
        <w:rPr>
          <w:rFonts w:asciiTheme="minorHAnsi" w:hAnsiTheme="minorHAnsi"/>
        </w:rPr>
      </w:pPr>
      <w:r w:rsidRPr="00950832">
        <w:rPr>
          <w:rFonts w:asciiTheme="minorHAnsi" w:hAnsiTheme="minorHAnsi"/>
        </w:rPr>
        <w:t xml:space="preserve">Vznik knižnice sa datuje od roku 2008. V minulosti knižnica poskytovala klasické služby  – nákup literatúry, tvorba bibliografií, výmenu publikácií, spracovávanie dokumentov, uchovávanie, vypožičiavanie dokumentov. </w:t>
      </w:r>
      <w:r w:rsidR="00B51749" w:rsidRPr="00950832">
        <w:rPr>
          <w:rFonts w:asciiTheme="minorHAnsi" w:hAnsiTheme="minorHAnsi"/>
        </w:rPr>
        <w:t>Od roku 2008 je v prevádzke vzdialený prístup cez virtuálnu privátnu sieť (VPN</w:t>
      </w:r>
      <w:r w:rsidR="005D7173" w:rsidRPr="00950832">
        <w:rPr>
          <w:rFonts w:asciiTheme="minorHAnsi" w:hAnsiTheme="minorHAnsi"/>
        </w:rPr>
        <w:t xml:space="preserve">). </w:t>
      </w:r>
      <w:r w:rsidR="00B51749" w:rsidRPr="00950832">
        <w:rPr>
          <w:rFonts w:asciiTheme="minorHAnsi" w:hAnsiTheme="minorHAnsi"/>
        </w:rPr>
        <w:t xml:space="preserve">Univerzitná knižnica pravidelne organizuje špecializované školenia zamerané na využívanie svetových databáz v súlade s požiadavkami odborovo zameraných skupín </w:t>
      </w:r>
      <w:r w:rsidR="00633A75" w:rsidRPr="00950832">
        <w:rPr>
          <w:rFonts w:asciiTheme="minorHAnsi" w:hAnsiTheme="minorHAnsi"/>
        </w:rPr>
        <w:t>–</w:t>
      </w:r>
      <w:r w:rsidR="00B51749" w:rsidRPr="00950832">
        <w:rPr>
          <w:rFonts w:asciiTheme="minorHAnsi" w:hAnsiTheme="minorHAnsi"/>
        </w:rPr>
        <w:t xml:space="preserve"> doktorandi, študenti bakalárskeho a inžinierskeho stupňa štúdia. </w:t>
      </w:r>
    </w:p>
    <w:p w:rsidR="00B51749" w:rsidRPr="002D7A10" w:rsidRDefault="00B51749" w:rsidP="00B51749">
      <w:pPr>
        <w:rPr>
          <w:rFonts w:asciiTheme="minorHAnsi" w:hAnsiTheme="minorHAnsi"/>
        </w:rPr>
      </w:pPr>
    </w:p>
    <w:p w:rsidR="003E53CF" w:rsidRPr="003E53CF" w:rsidRDefault="00B51749" w:rsidP="003E53CF">
      <w:pPr>
        <w:pStyle w:val="Nadpis2"/>
        <w:rPr>
          <w:rFonts w:asciiTheme="minorHAnsi" w:hAnsiTheme="minorHAnsi"/>
          <w:color w:val="auto"/>
          <w:sz w:val="24"/>
          <w:szCs w:val="24"/>
        </w:rPr>
      </w:pPr>
      <w:bookmarkStart w:id="45" w:name="_Toc448261587"/>
      <w:r w:rsidRPr="002D7A10">
        <w:rPr>
          <w:rFonts w:asciiTheme="minorHAnsi" w:hAnsiTheme="minorHAnsi"/>
          <w:color w:val="auto"/>
          <w:sz w:val="24"/>
          <w:szCs w:val="24"/>
        </w:rPr>
        <w:t>Výskumná činnosť nepodporovaná z grantov</w:t>
      </w:r>
      <w:bookmarkEnd w:id="45"/>
      <w:r w:rsidR="003E53CF">
        <w:rPr>
          <w:rFonts w:asciiTheme="minorHAnsi" w:hAnsiTheme="minorHAnsi"/>
          <w:color w:val="auto"/>
          <w:sz w:val="24"/>
          <w:szCs w:val="24"/>
        </w:rPr>
        <w:t xml:space="preserve"> </w:t>
      </w:r>
    </w:p>
    <w:p w:rsidR="008154A3" w:rsidRPr="008154A3" w:rsidRDefault="008154A3" w:rsidP="008154A3">
      <w:pPr>
        <w:autoSpaceDE w:val="0"/>
        <w:autoSpaceDN w:val="0"/>
        <w:adjustRightInd w:val="0"/>
        <w:rPr>
          <w:rFonts w:asciiTheme="minorHAnsi" w:hAnsiTheme="minorHAnsi"/>
        </w:rPr>
      </w:pPr>
      <w:r w:rsidRPr="008154A3">
        <w:rPr>
          <w:rFonts w:asciiTheme="minorHAnsi" w:hAnsiTheme="minorHAnsi"/>
        </w:rPr>
        <w:t xml:space="preserve">Slovenská technická univerzita v Bratislave je dlhodobo stabilným partnerom priemyselnej praxe v oblasti poskytovania inovatívnych a netradičných riešení pre priamu aplikáciu v hospodárskej sfére, ktoré spravidla vychádzajú z prioritných tém výskumu pracovísk univerzity. Pracoviská fakúlt riešia pre domáce a zahraničné hospodárske subjekty </w:t>
      </w:r>
      <w:r w:rsidR="00520814">
        <w:rPr>
          <w:rFonts w:asciiTheme="minorHAnsi" w:hAnsiTheme="minorHAnsi"/>
        </w:rPr>
        <w:t>v</w:t>
      </w:r>
      <w:r w:rsidRPr="008154A3">
        <w:rPr>
          <w:rFonts w:asciiTheme="minorHAnsi" w:hAnsiTheme="minorHAnsi"/>
        </w:rPr>
        <w:t xml:space="preserve">ýskumné projekty </w:t>
      </w:r>
      <w:r w:rsidR="00520814">
        <w:rPr>
          <w:rFonts w:asciiTheme="minorHAnsi" w:hAnsiTheme="minorHAnsi"/>
        </w:rPr>
        <w:t>najmä</w:t>
      </w:r>
      <w:r w:rsidRPr="008154A3">
        <w:rPr>
          <w:rFonts w:asciiTheme="minorHAnsi" w:hAnsiTheme="minorHAnsi"/>
        </w:rPr>
        <w:t xml:space="preserve"> formou podnikateľskej činnosti, ktorá sa realizuje najčastejšie formou Zmluvy o dielo. Zmluvný výskum sa spravidla uskutočňuje ako projekt, ktorý sa získava súťažnou formou. Tento má často exaktne definovaný predmet plnenia a formu výstupu a jeho výsledky sa obyčajne odovzdávajú oponentúrou výsledkov.</w:t>
      </w:r>
    </w:p>
    <w:p w:rsidR="008154A3" w:rsidRPr="008154A3" w:rsidRDefault="008154A3" w:rsidP="008154A3">
      <w:pPr>
        <w:autoSpaceDE w:val="0"/>
        <w:autoSpaceDN w:val="0"/>
        <w:adjustRightInd w:val="0"/>
        <w:rPr>
          <w:rFonts w:asciiTheme="minorHAnsi" w:hAnsiTheme="minorHAnsi"/>
          <w:color w:val="FF0000"/>
        </w:rPr>
      </w:pPr>
    </w:p>
    <w:p w:rsidR="00975572" w:rsidRPr="00975572" w:rsidRDefault="008154A3" w:rsidP="00975572">
      <w:pPr>
        <w:autoSpaceDE w:val="0"/>
        <w:autoSpaceDN w:val="0"/>
        <w:adjustRightInd w:val="0"/>
        <w:rPr>
          <w:rFonts w:asciiTheme="minorHAnsi" w:hAnsiTheme="minorHAnsi"/>
        </w:rPr>
      </w:pPr>
      <w:r w:rsidRPr="008154A3">
        <w:rPr>
          <w:rFonts w:asciiTheme="minorHAnsi" w:hAnsiTheme="minorHAnsi"/>
          <w:b/>
        </w:rPr>
        <w:t>V roku 2015 sa na STU riešilo 29</w:t>
      </w:r>
      <w:r w:rsidR="008275CA">
        <w:rPr>
          <w:rFonts w:asciiTheme="minorHAnsi" w:hAnsiTheme="minorHAnsi"/>
          <w:b/>
        </w:rPr>
        <w:t>4</w:t>
      </w:r>
      <w:r w:rsidRPr="008154A3">
        <w:rPr>
          <w:rFonts w:asciiTheme="minorHAnsi" w:hAnsiTheme="minorHAnsi"/>
          <w:b/>
        </w:rPr>
        <w:t xml:space="preserve"> projektov zmluvného výskumu pre priemyselnú prax</w:t>
      </w:r>
      <w:r w:rsidRPr="008154A3">
        <w:rPr>
          <w:rFonts w:asciiTheme="minorHAnsi" w:hAnsiTheme="minorHAnsi"/>
        </w:rPr>
        <w:t xml:space="preserve">, ktoré sú podrobne a prehľadne vymenované v tabuľke 19 prílohy výročnej správy. Prehľad počtu zmluvných výskumných projektov na pracoviskách fakúlt je </w:t>
      </w:r>
      <w:r w:rsidRPr="00975572">
        <w:rPr>
          <w:rFonts w:asciiTheme="minorHAnsi" w:hAnsiTheme="minorHAnsi"/>
        </w:rPr>
        <w:t>uvedený v tabuľke 5.</w:t>
      </w:r>
      <w:r w:rsidR="00115561">
        <w:rPr>
          <w:rFonts w:asciiTheme="minorHAnsi" w:hAnsiTheme="minorHAnsi"/>
        </w:rPr>
        <w:t>8</w:t>
      </w:r>
      <w:r w:rsidRPr="00975572">
        <w:rPr>
          <w:rFonts w:asciiTheme="minorHAnsi" w:hAnsiTheme="minorHAnsi"/>
        </w:rPr>
        <w:t xml:space="preserve">. </w:t>
      </w:r>
      <w:r w:rsidR="00115561">
        <w:rPr>
          <w:rFonts w:asciiTheme="minorHAnsi" w:hAnsiTheme="minorHAnsi"/>
        </w:rPr>
        <w:t>V tabuľke 5.9</w:t>
      </w:r>
      <w:r w:rsidR="00975572" w:rsidRPr="00975572">
        <w:rPr>
          <w:rFonts w:asciiTheme="minorHAnsi" w:hAnsiTheme="minorHAnsi"/>
        </w:rPr>
        <w:t>. sú uvedené finančné objemy uhradených zmluvných výskumných projektov jednotlivých fakúlt v roku 2015.</w:t>
      </w:r>
    </w:p>
    <w:p w:rsidR="008154A3" w:rsidRPr="00975572" w:rsidRDefault="008154A3" w:rsidP="008154A3">
      <w:pPr>
        <w:autoSpaceDE w:val="0"/>
        <w:autoSpaceDN w:val="0"/>
        <w:adjustRightInd w:val="0"/>
        <w:rPr>
          <w:rFonts w:asciiTheme="minorHAnsi" w:hAnsiTheme="minorHAnsi"/>
          <w:sz w:val="20"/>
          <w:szCs w:val="20"/>
        </w:rPr>
      </w:pPr>
    </w:p>
    <w:p w:rsidR="008154A3" w:rsidRPr="00975572" w:rsidRDefault="008154A3" w:rsidP="008154A3">
      <w:pPr>
        <w:autoSpaceDE w:val="0"/>
        <w:autoSpaceDN w:val="0"/>
        <w:adjustRightInd w:val="0"/>
        <w:rPr>
          <w:rFonts w:asciiTheme="minorHAnsi" w:hAnsiTheme="minorHAnsi"/>
          <w:b/>
          <w:sz w:val="20"/>
          <w:szCs w:val="20"/>
        </w:rPr>
      </w:pPr>
      <w:r w:rsidRPr="00975572">
        <w:rPr>
          <w:rFonts w:asciiTheme="minorHAnsi" w:hAnsiTheme="minorHAnsi"/>
          <w:b/>
          <w:sz w:val="20"/>
          <w:szCs w:val="20"/>
        </w:rPr>
        <w:t>Tabuľka 5.</w:t>
      </w:r>
      <w:r w:rsidR="00115561">
        <w:rPr>
          <w:rFonts w:asciiTheme="minorHAnsi" w:hAnsiTheme="minorHAnsi"/>
          <w:b/>
          <w:sz w:val="20"/>
          <w:szCs w:val="20"/>
        </w:rPr>
        <w:t>8</w:t>
      </w:r>
      <w:r w:rsidR="00975572" w:rsidRPr="00975572">
        <w:rPr>
          <w:rFonts w:asciiTheme="minorHAnsi" w:hAnsiTheme="minorHAnsi"/>
          <w:b/>
          <w:sz w:val="20"/>
          <w:szCs w:val="20"/>
        </w:rPr>
        <w:t>:</w:t>
      </w:r>
      <w:r w:rsidRPr="00975572">
        <w:rPr>
          <w:rFonts w:asciiTheme="minorHAnsi" w:hAnsiTheme="minorHAnsi"/>
          <w:b/>
          <w:sz w:val="20"/>
          <w:szCs w:val="20"/>
        </w:rPr>
        <w:t xml:space="preserve"> Prehľad počtu zmluvných výskumných projektov STU v roku 2015</w:t>
      </w:r>
    </w:p>
    <w:tbl>
      <w:tblPr>
        <w:tblW w:w="85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943"/>
        <w:gridCol w:w="1041"/>
        <w:gridCol w:w="992"/>
        <w:gridCol w:w="1134"/>
        <w:gridCol w:w="993"/>
        <w:gridCol w:w="992"/>
        <w:gridCol w:w="1417"/>
      </w:tblGrid>
      <w:tr w:rsidR="008154A3" w:rsidRPr="00975572" w:rsidTr="00D7160C">
        <w:trPr>
          <w:trHeight w:val="453"/>
        </w:trPr>
        <w:tc>
          <w:tcPr>
            <w:tcW w:w="1063" w:type="dxa"/>
            <w:shd w:val="clear" w:color="auto" w:fill="auto"/>
          </w:tcPr>
          <w:p w:rsidR="008154A3" w:rsidRPr="00975572" w:rsidRDefault="008154A3" w:rsidP="00D7160C">
            <w:pPr>
              <w:autoSpaceDE w:val="0"/>
              <w:autoSpaceDN w:val="0"/>
              <w:adjustRightInd w:val="0"/>
              <w:jc w:val="center"/>
              <w:rPr>
                <w:rFonts w:asciiTheme="minorHAnsi" w:hAnsiTheme="minorHAnsi"/>
                <w:b/>
                <w:sz w:val="20"/>
                <w:szCs w:val="20"/>
              </w:rPr>
            </w:pPr>
            <w:r w:rsidRPr="00975572">
              <w:rPr>
                <w:rFonts w:asciiTheme="minorHAnsi" w:hAnsiTheme="minorHAnsi"/>
                <w:b/>
                <w:sz w:val="20"/>
                <w:szCs w:val="20"/>
              </w:rPr>
              <w:t>SvF</w:t>
            </w:r>
          </w:p>
        </w:tc>
        <w:tc>
          <w:tcPr>
            <w:tcW w:w="943" w:type="dxa"/>
            <w:shd w:val="clear" w:color="auto" w:fill="auto"/>
          </w:tcPr>
          <w:p w:rsidR="008154A3" w:rsidRPr="00975572" w:rsidRDefault="008154A3" w:rsidP="00D7160C">
            <w:pPr>
              <w:autoSpaceDE w:val="0"/>
              <w:autoSpaceDN w:val="0"/>
              <w:adjustRightInd w:val="0"/>
              <w:jc w:val="center"/>
              <w:rPr>
                <w:rFonts w:asciiTheme="minorHAnsi" w:hAnsiTheme="minorHAnsi"/>
                <w:b/>
                <w:sz w:val="20"/>
                <w:szCs w:val="20"/>
              </w:rPr>
            </w:pPr>
            <w:r w:rsidRPr="00975572">
              <w:rPr>
                <w:rFonts w:asciiTheme="minorHAnsi" w:hAnsiTheme="minorHAnsi"/>
                <w:b/>
                <w:sz w:val="20"/>
                <w:szCs w:val="20"/>
              </w:rPr>
              <w:t>SjF</w:t>
            </w:r>
          </w:p>
        </w:tc>
        <w:tc>
          <w:tcPr>
            <w:tcW w:w="1041" w:type="dxa"/>
            <w:shd w:val="clear" w:color="auto" w:fill="auto"/>
          </w:tcPr>
          <w:p w:rsidR="008154A3" w:rsidRPr="00975572" w:rsidRDefault="008154A3" w:rsidP="00D7160C">
            <w:pPr>
              <w:autoSpaceDE w:val="0"/>
              <w:autoSpaceDN w:val="0"/>
              <w:adjustRightInd w:val="0"/>
              <w:jc w:val="center"/>
              <w:rPr>
                <w:rFonts w:asciiTheme="minorHAnsi" w:hAnsiTheme="minorHAnsi"/>
                <w:b/>
                <w:sz w:val="20"/>
                <w:szCs w:val="20"/>
              </w:rPr>
            </w:pPr>
            <w:r w:rsidRPr="00975572">
              <w:rPr>
                <w:rFonts w:asciiTheme="minorHAnsi" w:hAnsiTheme="minorHAnsi"/>
                <w:b/>
                <w:sz w:val="20"/>
                <w:szCs w:val="20"/>
              </w:rPr>
              <w:t>FEI</w:t>
            </w:r>
          </w:p>
        </w:tc>
        <w:tc>
          <w:tcPr>
            <w:tcW w:w="992" w:type="dxa"/>
            <w:shd w:val="clear" w:color="auto" w:fill="auto"/>
          </w:tcPr>
          <w:p w:rsidR="008154A3" w:rsidRPr="00975572" w:rsidRDefault="008154A3" w:rsidP="00D7160C">
            <w:pPr>
              <w:autoSpaceDE w:val="0"/>
              <w:autoSpaceDN w:val="0"/>
              <w:adjustRightInd w:val="0"/>
              <w:jc w:val="center"/>
              <w:rPr>
                <w:rFonts w:asciiTheme="minorHAnsi" w:hAnsiTheme="minorHAnsi"/>
                <w:b/>
                <w:sz w:val="20"/>
                <w:szCs w:val="20"/>
              </w:rPr>
            </w:pPr>
            <w:r w:rsidRPr="00975572">
              <w:rPr>
                <w:rFonts w:asciiTheme="minorHAnsi" w:hAnsiTheme="minorHAnsi"/>
                <w:b/>
                <w:sz w:val="20"/>
                <w:szCs w:val="20"/>
              </w:rPr>
              <w:t>FIIT</w:t>
            </w:r>
          </w:p>
        </w:tc>
        <w:tc>
          <w:tcPr>
            <w:tcW w:w="1134" w:type="dxa"/>
            <w:shd w:val="clear" w:color="auto" w:fill="auto"/>
          </w:tcPr>
          <w:p w:rsidR="008154A3" w:rsidRPr="00975572" w:rsidRDefault="008154A3" w:rsidP="00D7160C">
            <w:pPr>
              <w:autoSpaceDE w:val="0"/>
              <w:autoSpaceDN w:val="0"/>
              <w:adjustRightInd w:val="0"/>
              <w:jc w:val="center"/>
              <w:rPr>
                <w:rFonts w:asciiTheme="minorHAnsi" w:hAnsiTheme="minorHAnsi"/>
                <w:b/>
                <w:sz w:val="20"/>
                <w:szCs w:val="20"/>
              </w:rPr>
            </w:pPr>
            <w:r w:rsidRPr="00975572">
              <w:rPr>
                <w:rFonts w:asciiTheme="minorHAnsi" w:hAnsiTheme="minorHAnsi"/>
                <w:b/>
                <w:sz w:val="20"/>
                <w:szCs w:val="20"/>
              </w:rPr>
              <w:t>FCHPT</w:t>
            </w:r>
          </w:p>
        </w:tc>
        <w:tc>
          <w:tcPr>
            <w:tcW w:w="993" w:type="dxa"/>
            <w:shd w:val="clear" w:color="auto" w:fill="auto"/>
          </w:tcPr>
          <w:p w:rsidR="008154A3" w:rsidRPr="00975572" w:rsidRDefault="008154A3" w:rsidP="00D7160C">
            <w:pPr>
              <w:autoSpaceDE w:val="0"/>
              <w:autoSpaceDN w:val="0"/>
              <w:adjustRightInd w:val="0"/>
              <w:jc w:val="center"/>
              <w:rPr>
                <w:rFonts w:asciiTheme="minorHAnsi" w:hAnsiTheme="minorHAnsi"/>
                <w:b/>
                <w:sz w:val="20"/>
                <w:szCs w:val="20"/>
              </w:rPr>
            </w:pPr>
            <w:r w:rsidRPr="00975572">
              <w:rPr>
                <w:rFonts w:asciiTheme="minorHAnsi" w:hAnsiTheme="minorHAnsi"/>
                <w:b/>
                <w:sz w:val="20"/>
                <w:szCs w:val="20"/>
              </w:rPr>
              <w:t>FA</w:t>
            </w:r>
          </w:p>
        </w:tc>
        <w:tc>
          <w:tcPr>
            <w:tcW w:w="992" w:type="dxa"/>
            <w:shd w:val="clear" w:color="auto" w:fill="auto"/>
          </w:tcPr>
          <w:p w:rsidR="008154A3" w:rsidRPr="00975572" w:rsidRDefault="008154A3" w:rsidP="00D7160C">
            <w:pPr>
              <w:autoSpaceDE w:val="0"/>
              <w:autoSpaceDN w:val="0"/>
              <w:adjustRightInd w:val="0"/>
              <w:jc w:val="center"/>
              <w:rPr>
                <w:rFonts w:asciiTheme="minorHAnsi" w:hAnsiTheme="minorHAnsi"/>
                <w:b/>
                <w:sz w:val="20"/>
                <w:szCs w:val="20"/>
              </w:rPr>
            </w:pPr>
            <w:r w:rsidRPr="00975572">
              <w:rPr>
                <w:rFonts w:asciiTheme="minorHAnsi" w:hAnsiTheme="minorHAnsi"/>
                <w:b/>
                <w:sz w:val="20"/>
                <w:szCs w:val="20"/>
              </w:rPr>
              <w:t>MTF</w:t>
            </w:r>
          </w:p>
        </w:tc>
        <w:tc>
          <w:tcPr>
            <w:tcW w:w="1417" w:type="dxa"/>
            <w:shd w:val="clear" w:color="auto" w:fill="auto"/>
          </w:tcPr>
          <w:p w:rsidR="008154A3" w:rsidRPr="00975572" w:rsidRDefault="008154A3" w:rsidP="00D7160C">
            <w:pPr>
              <w:autoSpaceDE w:val="0"/>
              <w:autoSpaceDN w:val="0"/>
              <w:adjustRightInd w:val="0"/>
              <w:jc w:val="center"/>
              <w:rPr>
                <w:rFonts w:asciiTheme="minorHAnsi" w:hAnsiTheme="minorHAnsi"/>
                <w:b/>
                <w:sz w:val="20"/>
                <w:szCs w:val="20"/>
              </w:rPr>
            </w:pPr>
            <w:r w:rsidRPr="00975572">
              <w:rPr>
                <w:rFonts w:asciiTheme="minorHAnsi" w:hAnsiTheme="minorHAnsi"/>
                <w:b/>
                <w:sz w:val="20"/>
                <w:szCs w:val="20"/>
              </w:rPr>
              <w:t>Spolu</w:t>
            </w:r>
          </w:p>
        </w:tc>
      </w:tr>
      <w:tr w:rsidR="008154A3" w:rsidRPr="00975572" w:rsidTr="00D7160C">
        <w:trPr>
          <w:trHeight w:val="325"/>
        </w:trPr>
        <w:tc>
          <w:tcPr>
            <w:tcW w:w="1063" w:type="dxa"/>
            <w:shd w:val="clear" w:color="auto" w:fill="auto"/>
          </w:tcPr>
          <w:p w:rsidR="008154A3" w:rsidRPr="00975572" w:rsidRDefault="008154A3" w:rsidP="00D7160C">
            <w:pPr>
              <w:autoSpaceDE w:val="0"/>
              <w:autoSpaceDN w:val="0"/>
              <w:adjustRightInd w:val="0"/>
              <w:jc w:val="center"/>
              <w:rPr>
                <w:rFonts w:asciiTheme="minorHAnsi" w:hAnsiTheme="minorHAnsi"/>
                <w:sz w:val="20"/>
                <w:szCs w:val="20"/>
              </w:rPr>
            </w:pPr>
            <w:r w:rsidRPr="00975572">
              <w:rPr>
                <w:rFonts w:asciiTheme="minorHAnsi" w:hAnsiTheme="minorHAnsi"/>
                <w:sz w:val="20"/>
                <w:szCs w:val="20"/>
              </w:rPr>
              <w:t>32</w:t>
            </w:r>
          </w:p>
        </w:tc>
        <w:tc>
          <w:tcPr>
            <w:tcW w:w="943" w:type="dxa"/>
            <w:shd w:val="clear" w:color="auto" w:fill="auto"/>
          </w:tcPr>
          <w:p w:rsidR="008154A3" w:rsidRPr="00975572" w:rsidRDefault="008154A3" w:rsidP="00D7160C">
            <w:pPr>
              <w:autoSpaceDE w:val="0"/>
              <w:autoSpaceDN w:val="0"/>
              <w:adjustRightInd w:val="0"/>
              <w:jc w:val="center"/>
              <w:rPr>
                <w:rFonts w:asciiTheme="minorHAnsi" w:hAnsiTheme="minorHAnsi"/>
                <w:sz w:val="20"/>
                <w:szCs w:val="20"/>
              </w:rPr>
            </w:pPr>
            <w:r w:rsidRPr="00975572">
              <w:rPr>
                <w:rFonts w:asciiTheme="minorHAnsi" w:hAnsiTheme="minorHAnsi"/>
                <w:sz w:val="20"/>
                <w:szCs w:val="20"/>
              </w:rPr>
              <w:t>24</w:t>
            </w:r>
          </w:p>
        </w:tc>
        <w:tc>
          <w:tcPr>
            <w:tcW w:w="1041" w:type="dxa"/>
            <w:shd w:val="clear" w:color="auto" w:fill="auto"/>
          </w:tcPr>
          <w:p w:rsidR="008154A3" w:rsidRPr="00975572" w:rsidRDefault="008154A3" w:rsidP="00D7160C">
            <w:pPr>
              <w:autoSpaceDE w:val="0"/>
              <w:autoSpaceDN w:val="0"/>
              <w:adjustRightInd w:val="0"/>
              <w:jc w:val="center"/>
              <w:rPr>
                <w:rFonts w:asciiTheme="minorHAnsi" w:hAnsiTheme="minorHAnsi"/>
                <w:sz w:val="20"/>
                <w:szCs w:val="20"/>
              </w:rPr>
            </w:pPr>
            <w:r w:rsidRPr="00975572">
              <w:rPr>
                <w:rFonts w:asciiTheme="minorHAnsi" w:hAnsiTheme="minorHAnsi"/>
                <w:sz w:val="20"/>
                <w:szCs w:val="20"/>
              </w:rPr>
              <w:t>6</w:t>
            </w:r>
          </w:p>
        </w:tc>
        <w:tc>
          <w:tcPr>
            <w:tcW w:w="992" w:type="dxa"/>
            <w:shd w:val="clear" w:color="auto" w:fill="auto"/>
          </w:tcPr>
          <w:p w:rsidR="008154A3" w:rsidRPr="00975572" w:rsidRDefault="0012180E" w:rsidP="005805C9">
            <w:pPr>
              <w:autoSpaceDE w:val="0"/>
              <w:autoSpaceDN w:val="0"/>
              <w:adjustRightInd w:val="0"/>
              <w:jc w:val="center"/>
              <w:rPr>
                <w:rFonts w:asciiTheme="minorHAnsi" w:hAnsiTheme="minorHAnsi"/>
                <w:sz w:val="20"/>
                <w:szCs w:val="20"/>
              </w:rPr>
            </w:pPr>
            <w:r>
              <w:rPr>
                <w:rFonts w:asciiTheme="minorHAnsi" w:hAnsiTheme="minorHAnsi"/>
                <w:sz w:val="20"/>
                <w:szCs w:val="20"/>
              </w:rPr>
              <w:t>10</w:t>
            </w:r>
          </w:p>
        </w:tc>
        <w:tc>
          <w:tcPr>
            <w:tcW w:w="1134" w:type="dxa"/>
            <w:shd w:val="clear" w:color="auto" w:fill="auto"/>
          </w:tcPr>
          <w:p w:rsidR="008154A3" w:rsidRPr="00975572" w:rsidRDefault="008154A3" w:rsidP="00D7160C">
            <w:pPr>
              <w:autoSpaceDE w:val="0"/>
              <w:autoSpaceDN w:val="0"/>
              <w:adjustRightInd w:val="0"/>
              <w:jc w:val="center"/>
              <w:rPr>
                <w:rFonts w:asciiTheme="minorHAnsi" w:hAnsiTheme="minorHAnsi"/>
                <w:sz w:val="20"/>
                <w:szCs w:val="20"/>
              </w:rPr>
            </w:pPr>
            <w:r w:rsidRPr="00975572">
              <w:rPr>
                <w:rFonts w:asciiTheme="minorHAnsi" w:hAnsiTheme="minorHAnsi"/>
                <w:sz w:val="20"/>
                <w:szCs w:val="20"/>
              </w:rPr>
              <w:t>62</w:t>
            </w:r>
          </w:p>
        </w:tc>
        <w:tc>
          <w:tcPr>
            <w:tcW w:w="993" w:type="dxa"/>
            <w:shd w:val="clear" w:color="auto" w:fill="auto"/>
          </w:tcPr>
          <w:p w:rsidR="008154A3" w:rsidRPr="00975572" w:rsidRDefault="008275CA" w:rsidP="00D7160C">
            <w:pPr>
              <w:autoSpaceDE w:val="0"/>
              <w:autoSpaceDN w:val="0"/>
              <w:adjustRightInd w:val="0"/>
              <w:jc w:val="center"/>
              <w:rPr>
                <w:rFonts w:asciiTheme="minorHAnsi" w:hAnsiTheme="minorHAnsi"/>
                <w:sz w:val="20"/>
                <w:szCs w:val="20"/>
              </w:rPr>
            </w:pPr>
            <w:r>
              <w:rPr>
                <w:rFonts w:asciiTheme="minorHAnsi" w:hAnsiTheme="minorHAnsi"/>
                <w:sz w:val="20"/>
                <w:szCs w:val="20"/>
              </w:rPr>
              <w:t>9</w:t>
            </w:r>
          </w:p>
        </w:tc>
        <w:tc>
          <w:tcPr>
            <w:tcW w:w="992" w:type="dxa"/>
            <w:shd w:val="clear" w:color="auto" w:fill="auto"/>
          </w:tcPr>
          <w:p w:rsidR="008154A3" w:rsidRPr="00975572" w:rsidRDefault="008154A3" w:rsidP="00D7160C">
            <w:pPr>
              <w:autoSpaceDE w:val="0"/>
              <w:autoSpaceDN w:val="0"/>
              <w:adjustRightInd w:val="0"/>
              <w:jc w:val="center"/>
              <w:rPr>
                <w:rFonts w:asciiTheme="minorHAnsi" w:hAnsiTheme="minorHAnsi"/>
                <w:sz w:val="20"/>
                <w:szCs w:val="20"/>
              </w:rPr>
            </w:pPr>
            <w:r w:rsidRPr="00975572">
              <w:rPr>
                <w:rFonts w:asciiTheme="minorHAnsi" w:hAnsiTheme="minorHAnsi"/>
                <w:sz w:val="20"/>
                <w:szCs w:val="20"/>
              </w:rPr>
              <w:t>147</w:t>
            </w:r>
          </w:p>
        </w:tc>
        <w:tc>
          <w:tcPr>
            <w:tcW w:w="1417" w:type="dxa"/>
            <w:shd w:val="clear" w:color="auto" w:fill="auto"/>
          </w:tcPr>
          <w:p w:rsidR="008154A3" w:rsidRPr="00975572" w:rsidRDefault="005805C9" w:rsidP="0012180E">
            <w:pPr>
              <w:autoSpaceDE w:val="0"/>
              <w:autoSpaceDN w:val="0"/>
              <w:adjustRightInd w:val="0"/>
              <w:jc w:val="center"/>
              <w:rPr>
                <w:rFonts w:asciiTheme="minorHAnsi" w:hAnsiTheme="minorHAnsi"/>
                <w:sz w:val="20"/>
                <w:szCs w:val="20"/>
              </w:rPr>
            </w:pPr>
            <w:r>
              <w:rPr>
                <w:rFonts w:asciiTheme="minorHAnsi" w:hAnsiTheme="minorHAnsi"/>
                <w:sz w:val="20"/>
                <w:szCs w:val="20"/>
              </w:rPr>
              <w:t>2</w:t>
            </w:r>
            <w:r w:rsidR="0012180E">
              <w:rPr>
                <w:rFonts w:asciiTheme="minorHAnsi" w:hAnsiTheme="minorHAnsi"/>
                <w:sz w:val="20"/>
                <w:szCs w:val="20"/>
              </w:rPr>
              <w:t>9</w:t>
            </w:r>
            <w:r>
              <w:rPr>
                <w:rFonts w:asciiTheme="minorHAnsi" w:hAnsiTheme="minorHAnsi"/>
                <w:sz w:val="20"/>
                <w:szCs w:val="20"/>
              </w:rPr>
              <w:t>4</w:t>
            </w:r>
          </w:p>
        </w:tc>
      </w:tr>
    </w:tbl>
    <w:p w:rsidR="008154A3" w:rsidRPr="00975572" w:rsidRDefault="008154A3" w:rsidP="008154A3">
      <w:pPr>
        <w:autoSpaceDE w:val="0"/>
        <w:autoSpaceDN w:val="0"/>
        <w:adjustRightInd w:val="0"/>
        <w:rPr>
          <w:rFonts w:asciiTheme="minorHAnsi" w:hAnsiTheme="minorHAnsi"/>
        </w:rPr>
      </w:pPr>
    </w:p>
    <w:p w:rsidR="008154A3" w:rsidRPr="008154A3" w:rsidRDefault="00115561" w:rsidP="008154A3">
      <w:pPr>
        <w:autoSpaceDE w:val="0"/>
        <w:autoSpaceDN w:val="0"/>
        <w:adjustRightInd w:val="0"/>
        <w:rPr>
          <w:rFonts w:asciiTheme="minorHAnsi" w:hAnsiTheme="minorHAnsi"/>
          <w:b/>
          <w:sz w:val="20"/>
          <w:szCs w:val="20"/>
        </w:rPr>
      </w:pPr>
      <w:r>
        <w:rPr>
          <w:rFonts w:asciiTheme="minorHAnsi" w:hAnsiTheme="minorHAnsi"/>
          <w:b/>
          <w:sz w:val="20"/>
          <w:szCs w:val="20"/>
        </w:rPr>
        <w:t>Tabuľka 5.9</w:t>
      </w:r>
      <w:r w:rsidR="00975572" w:rsidRPr="00975572">
        <w:rPr>
          <w:rFonts w:asciiTheme="minorHAnsi" w:hAnsiTheme="minorHAnsi"/>
          <w:b/>
          <w:sz w:val="20"/>
          <w:szCs w:val="20"/>
        </w:rPr>
        <w:t>:</w:t>
      </w:r>
      <w:r w:rsidR="008154A3" w:rsidRPr="00975572">
        <w:rPr>
          <w:rFonts w:asciiTheme="minorHAnsi" w:hAnsiTheme="minorHAnsi"/>
          <w:b/>
          <w:sz w:val="20"/>
          <w:szCs w:val="20"/>
        </w:rPr>
        <w:t xml:space="preserve"> Prehľad finančných úhr</w:t>
      </w:r>
      <w:r w:rsidR="008154A3" w:rsidRPr="008154A3">
        <w:rPr>
          <w:rFonts w:asciiTheme="minorHAnsi" w:hAnsiTheme="minorHAnsi"/>
          <w:b/>
          <w:sz w:val="20"/>
          <w:szCs w:val="20"/>
        </w:rPr>
        <w:t>ad za zmluvné výskumné projekty STU v roku 2015 (v tis. eur)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003"/>
        <w:gridCol w:w="994"/>
        <w:gridCol w:w="1057"/>
        <w:gridCol w:w="1075"/>
        <w:gridCol w:w="1001"/>
        <w:gridCol w:w="1005"/>
        <w:gridCol w:w="1345"/>
      </w:tblGrid>
      <w:tr w:rsidR="008154A3" w:rsidRPr="008154A3" w:rsidTr="00D7160C">
        <w:tc>
          <w:tcPr>
            <w:tcW w:w="1013" w:type="dxa"/>
            <w:shd w:val="clear" w:color="auto" w:fill="auto"/>
          </w:tcPr>
          <w:p w:rsidR="008154A3" w:rsidRPr="008154A3" w:rsidRDefault="008154A3" w:rsidP="00D7160C">
            <w:pPr>
              <w:autoSpaceDE w:val="0"/>
              <w:autoSpaceDN w:val="0"/>
              <w:adjustRightInd w:val="0"/>
              <w:jc w:val="center"/>
              <w:rPr>
                <w:rFonts w:asciiTheme="minorHAnsi" w:hAnsiTheme="minorHAnsi"/>
                <w:b/>
                <w:sz w:val="20"/>
                <w:szCs w:val="20"/>
              </w:rPr>
            </w:pPr>
            <w:r w:rsidRPr="008154A3">
              <w:rPr>
                <w:rFonts w:asciiTheme="minorHAnsi" w:hAnsiTheme="minorHAnsi"/>
                <w:b/>
                <w:sz w:val="20"/>
                <w:szCs w:val="20"/>
              </w:rPr>
              <w:t>SvF</w:t>
            </w:r>
          </w:p>
        </w:tc>
        <w:tc>
          <w:tcPr>
            <w:tcW w:w="1012" w:type="dxa"/>
            <w:shd w:val="clear" w:color="auto" w:fill="auto"/>
          </w:tcPr>
          <w:p w:rsidR="008154A3" w:rsidRPr="008154A3" w:rsidRDefault="008154A3" w:rsidP="00D7160C">
            <w:pPr>
              <w:autoSpaceDE w:val="0"/>
              <w:autoSpaceDN w:val="0"/>
              <w:adjustRightInd w:val="0"/>
              <w:jc w:val="center"/>
              <w:rPr>
                <w:rFonts w:asciiTheme="minorHAnsi" w:hAnsiTheme="minorHAnsi"/>
                <w:b/>
                <w:sz w:val="20"/>
                <w:szCs w:val="20"/>
              </w:rPr>
            </w:pPr>
            <w:r w:rsidRPr="008154A3">
              <w:rPr>
                <w:rFonts w:asciiTheme="minorHAnsi" w:hAnsiTheme="minorHAnsi"/>
                <w:b/>
                <w:sz w:val="20"/>
                <w:szCs w:val="20"/>
              </w:rPr>
              <w:t>SjF</w:t>
            </w:r>
          </w:p>
        </w:tc>
        <w:tc>
          <w:tcPr>
            <w:tcW w:w="1006" w:type="dxa"/>
            <w:shd w:val="clear" w:color="auto" w:fill="auto"/>
          </w:tcPr>
          <w:p w:rsidR="008154A3" w:rsidRPr="008154A3" w:rsidRDefault="008154A3" w:rsidP="00D7160C">
            <w:pPr>
              <w:autoSpaceDE w:val="0"/>
              <w:autoSpaceDN w:val="0"/>
              <w:adjustRightInd w:val="0"/>
              <w:jc w:val="center"/>
              <w:rPr>
                <w:rFonts w:asciiTheme="minorHAnsi" w:hAnsiTheme="minorHAnsi"/>
                <w:b/>
                <w:sz w:val="20"/>
                <w:szCs w:val="20"/>
              </w:rPr>
            </w:pPr>
            <w:r w:rsidRPr="008154A3">
              <w:rPr>
                <w:rFonts w:asciiTheme="minorHAnsi" w:hAnsiTheme="minorHAnsi"/>
                <w:b/>
                <w:sz w:val="20"/>
                <w:szCs w:val="20"/>
              </w:rPr>
              <w:t>FEI</w:t>
            </w:r>
          </w:p>
        </w:tc>
        <w:tc>
          <w:tcPr>
            <w:tcW w:w="1070" w:type="dxa"/>
            <w:shd w:val="clear" w:color="auto" w:fill="auto"/>
          </w:tcPr>
          <w:p w:rsidR="008154A3" w:rsidRPr="008154A3" w:rsidRDefault="008154A3" w:rsidP="00D7160C">
            <w:pPr>
              <w:autoSpaceDE w:val="0"/>
              <w:autoSpaceDN w:val="0"/>
              <w:adjustRightInd w:val="0"/>
              <w:jc w:val="center"/>
              <w:rPr>
                <w:rFonts w:asciiTheme="minorHAnsi" w:hAnsiTheme="minorHAnsi"/>
                <w:b/>
                <w:sz w:val="20"/>
                <w:szCs w:val="20"/>
              </w:rPr>
            </w:pPr>
            <w:r w:rsidRPr="008154A3">
              <w:rPr>
                <w:rFonts w:asciiTheme="minorHAnsi" w:hAnsiTheme="minorHAnsi"/>
                <w:b/>
                <w:sz w:val="20"/>
                <w:szCs w:val="20"/>
              </w:rPr>
              <w:t>FIIT</w:t>
            </w:r>
          </w:p>
        </w:tc>
        <w:tc>
          <w:tcPr>
            <w:tcW w:w="1084" w:type="dxa"/>
            <w:shd w:val="clear" w:color="auto" w:fill="auto"/>
          </w:tcPr>
          <w:p w:rsidR="008154A3" w:rsidRPr="008154A3" w:rsidRDefault="008154A3" w:rsidP="00D7160C">
            <w:pPr>
              <w:autoSpaceDE w:val="0"/>
              <w:autoSpaceDN w:val="0"/>
              <w:adjustRightInd w:val="0"/>
              <w:jc w:val="center"/>
              <w:rPr>
                <w:rFonts w:asciiTheme="minorHAnsi" w:hAnsiTheme="minorHAnsi"/>
                <w:b/>
                <w:sz w:val="20"/>
                <w:szCs w:val="20"/>
              </w:rPr>
            </w:pPr>
            <w:r w:rsidRPr="008154A3">
              <w:rPr>
                <w:rFonts w:asciiTheme="minorHAnsi" w:hAnsiTheme="minorHAnsi"/>
                <w:b/>
                <w:sz w:val="20"/>
                <w:szCs w:val="20"/>
              </w:rPr>
              <w:t>FCHPT</w:t>
            </w:r>
          </w:p>
        </w:tc>
        <w:tc>
          <w:tcPr>
            <w:tcW w:w="1013" w:type="dxa"/>
            <w:shd w:val="clear" w:color="auto" w:fill="auto"/>
          </w:tcPr>
          <w:p w:rsidR="008154A3" w:rsidRPr="008154A3" w:rsidRDefault="008154A3" w:rsidP="00D7160C">
            <w:pPr>
              <w:autoSpaceDE w:val="0"/>
              <w:autoSpaceDN w:val="0"/>
              <w:adjustRightInd w:val="0"/>
              <w:jc w:val="center"/>
              <w:rPr>
                <w:rFonts w:asciiTheme="minorHAnsi" w:hAnsiTheme="minorHAnsi"/>
                <w:b/>
                <w:sz w:val="20"/>
                <w:szCs w:val="20"/>
              </w:rPr>
            </w:pPr>
            <w:r w:rsidRPr="008154A3">
              <w:rPr>
                <w:rFonts w:asciiTheme="minorHAnsi" w:hAnsiTheme="minorHAnsi"/>
                <w:b/>
                <w:sz w:val="20"/>
                <w:szCs w:val="20"/>
              </w:rPr>
              <w:t>FA</w:t>
            </w:r>
          </w:p>
        </w:tc>
        <w:tc>
          <w:tcPr>
            <w:tcW w:w="1014" w:type="dxa"/>
            <w:shd w:val="clear" w:color="auto" w:fill="auto"/>
          </w:tcPr>
          <w:p w:rsidR="008154A3" w:rsidRPr="008154A3" w:rsidRDefault="008154A3" w:rsidP="00D7160C">
            <w:pPr>
              <w:autoSpaceDE w:val="0"/>
              <w:autoSpaceDN w:val="0"/>
              <w:adjustRightInd w:val="0"/>
              <w:jc w:val="center"/>
              <w:rPr>
                <w:rFonts w:asciiTheme="minorHAnsi" w:hAnsiTheme="minorHAnsi"/>
                <w:b/>
                <w:sz w:val="20"/>
                <w:szCs w:val="20"/>
              </w:rPr>
            </w:pPr>
            <w:r w:rsidRPr="008154A3">
              <w:rPr>
                <w:rFonts w:asciiTheme="minorHAnsi" w:hAnsiTheme="minorHAnsi"/>
                <w:b/>
                <w:sz w:val="20"/>
                <w:szCs w:val="20"/>
              </w:rPr>
              <w:t>MTF</w:t>
            </w:r>
          </w:p>
        </w:tc>
        <w:tc>
          <w:tcPr>
            <w:tcW w:w="1363" w:type="dxa"/>
            <w:shd w:val="clear" w:color="auto" w:fill="auto"/>
          </w:tcPr>
          <w:p w:rsidR="008154A3" w:rsidRPr="008154A3" w:rsidRDefault="008154A3" w:rsidP="00D7160C">
            <w:pPr>
              <w:autoSpaceDE w:val="0"/>
              <w:autoSpaceDN w:val="0"/>
              <w:adjustRightInd w:val="0"/>
              <w:jc w:val="center"/>
              <w:rPr>
                <w:rFonts w:asciiTheme="minorHAnsi" w:hAnsiTheme="minorHAnsi"/>
                <w:b/>
                <w:sz w:val="20"/>
                <w:szCs w:val="20"/>
              </w:rPr>
            </w:pPr>
            <w:r w:rsidRPr="008154A3">
              <w:rPr>
                <w:rFonts w:asciiTheme="minorHAnsi" w:hAnsiTheme="minorHAnsi"/>
                <w:b/>
                <w:sz w:val="20"/>
                <w:szCs w:val="20"/>
              </w:rPr>
              <w:t>Spolu</w:t>
            </w:r>
          </w:p>
        </w:tc>
      </w:tr>
      <w:tr w:rsidR="008154A3" w:rsidRPr="008154A3" w:rsidTr="00D7160C">
        <w:tc>
          <w:tcPr>
            <w:tcW w:w="1013" w:type="dxa"/>
            <w:shd w:val="clear" w:color="auto" w:fill="auto"/>
          </w:tcPr>
          <w:p w:rsidR="008154A3" w:rsidRPr="008154A3" w:rsidRDefault="008154A3" w:rsidP="00D7160C">
            <w:pPr>
              <w:autoSpaceDE w:val="0"/>
              <w:autoSpaceDN w:val="0"/>
              <w:adjustRightInd w:val="0"/>
              <w:jc w:val="center"/>
              <w:rPr>
                <w:rFonts w:asciiTheme="minorHAnsi" w:hAnsiTheme="minorHAnsi"/>
                <w:sz w:val="20"/>
                <w:szCs w:val="20"/>
              </w:rPr>
            </w:pPr>
            <w:r w:rsidRPr="008154A3">
              <w:rPr>
                <w:rFonts w:asciiTheme="minorHAnsi" w:hAnsiTheme="minorHAnsi"/>
                <w:sz w:val="20"/>
                <w:szCs w:val="20"/>
              </w:rPr>
              <w:t>657,6</w:t>
            </w:r>
          </w:p>
        </w:tc>
        <w:tc>
          <w:tcPr>
            <w:tcW w:w="1012" w:type="dxa"/>
            <w:shd w:val="clear" w:color="auto" w:fill="auto"/>
          </w:tcPr>
          <w:p w:rsidR="008154A3" w:rsidRPr="008154A3" w:rsidRDefault="008154A3" w:rsidP="00D7160C">
            <w:pPr>
              <w:autoSpaceDE w:val="0"/>
              <w:autoSpaceDN w:val="0"/>
              <w:adjustRightInd w:val="0"/>
              <w:jc w:val="center"/>
              <w:rPr>
                <w:rFonts w:asciiTheme="minorHAnsi" w:hAnsiTheme="minorHAnsi"/>
                <w:sz w:val="20"/>
                <w:szCs w:val="20"/>
              </w:rPr>
            </w:pPr>
            <w:r w:rsidRPr="008154A3">
              <w:rPr>
                <w:rFonts w:asciiTheme="minorHAnsi" w:hAnsiTheme="minorHAnsi"/>
                <w:sz w:val="20"/>
                <w:szCs w:val="20"/>
              </w:rPr>
              <w:t>116,1</w:t>
            </w:r>
          </w:p>
        </w:tc>
        <w:tc>
          <w:tcPr>
            <w:tcW w:w="1006" w:type="dxa"/>
            <w:shd w:val="clear" w:color="auto" w:fill="auto"/>
          </w:tcPr>
          <w:p w:rsidR="008154A3" w:rsidRPr="008154A3" w:rsidRDefault="008154A3" w:rsidP="00D7160C">
            <w:pPr>
              <w:autoSpaceDE w:val="0"/>
              <w:autoSpaceDN w:val="0"/>
              <w:adjustRightInd w:val="0"/>
              <w:jc w:val="center"/>
              <w:rPr>
                <w:rFonts w:asciiTheme="minorHAnsi" w:hAnsiTheme="minorHAnsi"/>
                <w:sz w:val="20"/>
                <w:szCs w:val="20"/>
              </w:rPr>
            </w:pPr>
            <w:r w:rsidRPr="008154A3">
              <w:rPr>
                <w:rFonts w:asciiTheme="minorHAnsi" w:hAnsiTheme="minorHAnsi"/>
                <w:sz w:val="20"/>
                <w:szCs w:val="20"/>
              </w:rPr>
              <w:t>65,3</w:t>
            </w:r>
          </w:p>
        </w:tc>
        <w:tc>
          <w:tcPr>
            <w:tcW w:w="1070" w:type="dxa"/>
            <w:shd w:val="clear" w:color="auto" w:fill="auto"/>
          </w:tcPr>
          <w:p w:rsidR="008154A3" w:rsidRPr="008154A3" w:rsidRDefault="008275CA" w:rsidP="00D7160C">
            <w:pPr>
              <w:autoSpaceDE w:val="0"/>
              <w:autoSpaceDN w:val="0"/>
              <w:adjustRightInd w:val="0"/>
              <w:jc w:val="center"/>
              <w:rPr>
                <w:rFonts w:asciiTheme="minorHAnsi" w:hAnsiTheme="minorHAnsi"/>
                <w:sz w:val="20"/>
                <w:szCs w:val="20"/>
              </w:rPr>
            </w:pPr>
            <w:r>
              <w:rPr>
                <w:rFonts w:asciiTheme="minorHAnsi" w:hAnsiTheme="minorHAnsi"/>
                <w:sz w:val="20"/>
                <w:szCs w:val="20"/>
              </w:rPr>
              <w:t>81,4</w:t>
            </w:r>
          </w:p>
        </w:tc>
        <w:tc>
          <w:tcPr>
            <w:tcW w:w="1084" w:type="dxa"/>
            <w:shd w:val="clear" w:color="auto" w:fill="auto"/>
          </w:tcPr>
          <w:p w:rsidR="008154A3" w:rsidRPr="008154A3" w:rsidRDefault="008154A3" w:rsidP="00D7160C">
            <w:pPr>
              <w:autoSpaceDE w:val="0"/>
              <w:autoSpaceDN w:val="0"/>
              <w:adjustRightInd w:val="0"/>
              <w:jc w:val="center"/>
              <w:rPr>
                <w:rFonts w:asciiTheme="minorHAnsi" w:hAnsiTheme="minorHAnsi"/>
                <w:sz w:val="20"/>
                <w:szCs w:val="20"/>
              </w:rPr>
            </w:pPr>
            <w:r w:rsidRPr="008154A3">
              <w:rPr>
                <w:rFonts w:asciiTheme="minorHAnsi" w:hAnsiTheme="minorHAnsi"/>
                <w:sz w:val="20"/>
                <w:szCs w:val="20"/>
              </w:rPr>
              <w:t>208,3</w:t>
            </w:r>
          </w:p>
        </w:tc>
        <w:tc>
          <w:tcPr>
            <w:tcW w:w="1013" w:type="dxa"/>
            <w:shd w:val="clear" w:color="auto" w:fill="auto"/>
          </w:tcPr>
          <w:p w:rsidR="008154A3" w:rsidRPr="008154A3" w:rsidRDefault="008275CA" w:rsidP="00D7160C">
            <w:pPr>
              <w:autoSpaceDE w:val="0"/>
              <w:autoSpaceDN w:val="0"/>
              <w:adjustRightInd w:val="0"/>
              <w:jc w:val="center"/>
              <w:rPr>
                <w:rFonts w:asciiTheme="minorHAnsi" w:hAnsiTheme="minorHAnsi"/>
                <w:sz w:val="20"/>
                <w:szCs w:val="20"/>
              </w:rPr>
            </w:pPr>
            <w:r>
              <w:rPr>
                <w:rFonts w:asciiTheme="minorHAnsi" w:hAnsiTheme="minorHAnsi"/>
                <w:sz w:val="20"/>
                <w:szCs w:val="20"/>
              </w:rPr>
              <w:t>93,3</w:t>
            </w:r>
          </w:p>
        </w:tc>
        <w:tc>
          <w:tcPr>
            <w:tcW w:w="1014" w:type="dxa"/>
            <w:shd w:val="clear" w:color="auto" w:fill="auto"/>
          </w:tcPr>
          <w:p w:rsidR="008154A3" w:rsidRPr="008154A3" w:rsidRDefault="008154A3" w:rsidP="00D7160C">
            <w:pPr>
              <w:autoSpaceDE w:val="0"/>
              <w:autoSpaceDN w:val="0"/>
              <w:adjustRightInd w:val="0"/>
              <w:jc w:val="center"/>
              <w:rPr>
                <w:rFonts w:asciiTheme="minorHAnsi" w:hAnsiTheme="minorHAnsi"/>
                <w:sz w:val="20"/>
                <w:szCs w:val="20"/>
              </w:rPr>
            </w:pPr>
            <w:r w:rsidRPr="008154A3">
              <w:rPr>
                <w:rFonts w:asciiTheme="minorHAnsi" w:hAnsiTheme="minorHAnsi"/>
                <w:sz w:val="20"/>
                <w:szCs w:val="20"/>
              </w:rPr>
              <w:t>222,7</w:t>
            </w:r>
          </w:p>
        </w:tc>
        <w:tc>
          <w:tcPr>
            <w:tcW w:w="1363" w:type="dxa"/>
            <w:shd w:val="clear" w:color="auto" w:fill="auto"/>
          </w:tcPr>
          <w:p w:rsidR="008154A3" w:rsidRPr="008154A3" w:rsidRDefault="008275CA" w:rsidP="005805C9">
            <w:pPr>
              <w:autoSpaceDE w:val="0"/>
              <w:autoSpaceDN w:val="0"/>
              <w:adjustRightInd w:val="0"/>
              <w:jc w:val="center"/>
              <w:rPr>
                <w:rFonts w:asciiTheme="minorHAnsi" w:hAnsiTheme="minorHAnsi"/>
                <w:sz w:val="20"/>
                <w:szCs w:val="20"/>
              </w:rPr>
            </w:pPr>
            <w:r>
              <w:rPr>
                <w:rFonts w:asciiTheme="minorHAnsi" w:hAnsiTheme="minorHAnsi"/>
                <w:sz w:val="20"/>
                <w:szCs w:val="20"/>
              </w:rPr>
              <w:t>1</w:t>
            </w:r>
            <w:r w:rsidR="00D41CFA">
              <w:rPr>
                <w:rFonts w:asciiTheme="minorHAnsi" w:hAnsiTheme="minorHAnsi"/>
                <w:sz w:val="20"/>
                <w:szCs w:val="20"/>
              </w:rPr>
              <w:t xml:space="preserve"> </w:t>
            </w:r>
            <w:r>
              <w:rPr>
                <w:rFonts w:asciiTheme="minorHAnsi" w:hAnsiTheme="minorHAnsi"/>
                <w:sz w:val="20"/>
                <w:szCs w:val="20"/>
              </w:rPr>
              <w:t>44</w:t>
            </w:r>
            <w:r w:rsidR="00D41CFA">
              <w:rPr>
                <w:rFonts w:asciiTheme="minorHAnsi" w:hAnsiTheme="minorHAnsi"/>
                <w:sz w:val="20"/>
                <w:szCs w:val="20"/>
              </w:rPr>
              <w:t>4</w:t>
            </w:r>
            <w:r>
              <w:rPr>
                <w:rFonts w:asciiTheme="minorHAnsi" w:hAnsiTheme="minorHAnsi"/>
                <w:sz w:val="20"/>
                <w:szCs w:val="20"/>
              </w:rPr>
              <w:t>,9</w:t>
            </w:r>
          </w:p>
        </w:tc>
      </w:tr>
    </w:tbl>
    <w:p w:rsidR="008154A3" w:rsidRPr="008154A3" w:rsidRDefault="008154A3" w:rsidP="008154A3">
      <w:pPr>
        <w:rPr>
          <w:rFonts w:asciiTheme="minorHAnsi" w:hAnsiTheme="minorHAnsi"/>
          <w:sz w:val="20"/>
          <w:szCs w:val="20"/>
        </w:rPr>
      </w:pPr>
    </w:p>
    <w:p w:rsidR="00520814" w:rsidRDefault="00520814">
      <w:pPr>
        <w:spacing w:after="200" w:line="276" w:lineRule="auto"/>
        <w:jc w:val="left"/>
        <w:rPr>
          <w:rFonts w:asciiTheme="minorHAnsi" w:hAnsiTheme="minorHAnsi"/>
          <w:b/>
          <w:bCs/>
          <w:color w:val="FF0000"/>
        </w:rPr>
      </w:pPr>
    </w:p>
    <w:p w:rsidR="00B51749" w:rsidRPr="002D7A10" w:rsidRDefault="00B51749" w:rsidP="00B51749">
      <w:pPr>
        <w:rPr>
          <w:rFonts w:asciiTheme="minorHAnsi" w:hAnsiTheme="minorHAnsi"/>
          <w:b/>
          <w:bCs/>
          <w:color w:val="FF0000"/>
        </w:rPr>
      </w:pPr>
    </w:p>
    <w:p w:rsidR="00B51749" w:rsidRPr="002D7A10" w:rsidRDefault="00B51749" w:rsidP="00B51749">
      <w:pPr>
        <w:pStyle w:val="Nadpis1"/>
        <w:rPr>
          <w:rFonts w:asciiTheme="minorHAnsi" w:hAnsiTheme="minorHAnsi"/>
          <w:color w:val="auto"/>
          <w:sz w:val="24"/>
          <w:szCs w:val="24"/>
        </w:rPr>
      </w:pPr>
      <w:bookmarkStart w:id="46" w:name="_Toc448261588"/>
      <w:r w:rsidRPr="002D7A10">
        <w:rPr>
          <w:rFonts w:asciiTheme="minorHAnsi" w:hAnsiTheme="minorHAnsi"/>
          <w:color w:val="auto"/>
          <w:sz w:val="24"/>
          <w:szCs w:val="24"/>
        </w:rPr>
        <w:lastRenderedPageBreak/>
        <w:t>Habilitačné konania a konania na vymenúvanie profesorov</w:t>
      </w:r>
      <w:bookmarkEnd w:id="46"/>
    </w:p>
    <w:p w:rsidR="00130A60" w:rsidRPr="002D7A10" w:rsidRDefault="00130A60" w:rsidP="00B51749">
      <w:pPr>
        <w:rPr>
          <w:rFonts w:asciiTheme="minorHAnsi" w:hAnsiTheme="minorHAnsi"/>
          <w:color w:val="FF0000"/>
        </w:rPr>
      </w:pPr>
    </w:p>
    <w:p w:rsidR="00130A60" w:rsidRPr="002D7A10" w:rsidRDefault="00130A60" w:rsidP="00130A60">
      <w:pPr>
        <w:rPr>
          <w:rFonts w:asciiTheme="minorHAnsi" w:hAnsiTheme="minorHAnsi"/>
        </w:rPr>
      </w:pPr>
      <w:r w:rsidRPr="002D7A10">
        <w:rPr>
          <w:rFonts w:asciiTheme="minorHAnsi" w:hAnsiTheme="minorHAnsi"/>
        </w:rPr>
        <w:t>Na zasadnutiach</w:t>
      </w:r>
      <w:r w:rsidR="00F12D4B" w:rsidRPr="002D7A10">
        <w:rPr>
          <w:rFonts w:asciiTheme="minorHAnsi" w:hAnsiTheme="minorHAnsi"/>
        </w:rPr>
        <w:t xml:space="preserve"> Vedeckej rady STU (VR STU) bolo</w:t>
      </w:r>
      <w:r w:rsidRPr="002D7A10">
        <w:rPr>
          <w:rFonts w:asciiTheme="minorHAnsi" w:hAnsiTheme="minorHAnsi"/>
        </w:rPr>
        <w:t xml:space="preserve"> prerokovan</w:t>
      </w:r>
      <w:r w:rsidR="00F12D4B" w:rsidRPr="002D7A10">
        <w:rPr>
          <w:rFonts w:asciiTheme="minorHAnsi" w:hAnsiTheme="minorHAnsi"/>
        </w:rPr>
        <w:t>ých 13</w:t>
      </w:r>
      <w:r w:rsidRPr="002D7A10">
        <w:rPr>
          <w:rFonts w:asciiTheme="minorHAnsi" w:hAnsiTheme="minorHAnsi"/>
        </w:rPr>
        <w:t xml:space="preserve"> návrh</w:t>
      </w:r>
      <w:r w:rsidR="00F12D4B" w:rsidRPr="002D7A10">
        <w:rPr>
          <w:rFonts w:asciiTheme="minorHAnsi" w:hAnsiTheme="minorHAnsi"/>
        </w:rPr>
        <w:t>ov</w:t>
      </w:r>
      <w:r w:rsidRPr="002D7A10">
        <w:rPr>
          <w:rFonts w:asciiTheme="minorHAnsi" w:hAnsiTheme="minorHAnsi"/>
        </w:rPr>
        <w:t xml:space="preserve"> na vymenovanie za profesor</w:t>
      </w:r>
      <w:r w:rsidR="00F12D4B" w:rsidRPr="002D7A10">
        <w:rPr>
          <w:rFonts w:asciiTheme="minorHAnsi" w:hAnsiTheme="minorHAnsi"/>
        </w:rPr>
        <w:t>a</w:t>
      </w:r>
      <w:r w:rsidRPr="002D7A10">
        <w:rPr>
          <w:rFonts w:asciiTheme="minorHAnsi" w:hAnsiTheme="minorHAnsi"/>
        </w:rPr>
        <w:t>, ktoré predkladali dekani fakúlt. Schválené návrhy na vymenovanie za profesora boli predsedom VR STU postúpené na Ministerstvo školstva, vedy, výskumu a</w:t>
      </w:r>
      <w:r w:rsidR="00F12D4B" w:rsidRPr="002D7A10">
        <w:rPr>
          <w:rFonts w:asciiTheme="minorHAnsi" w:hAnsiTheme="minorHAnsi"/>
        </w:rPr>
        <w:t> </w:t>
      </w:r>
      <w:r w:rsidRPr="002D7A10">
        <w:rPr>
          <w:rFonts w:asciiTheme="minorHAnsi" w:hAnsiTheme="minorHAnsi"/>
        </w:rPr>
        <w:t>športu</w:t>
      </w:r>
      <w:r w:rsidR="00F12D4B" w:rsidRPr="002D7A10">
        <w:rPr>
          <w:rFonts w:asciiTheme="minorHAnsi" w:hAnsiTheme="minorHAnsi"/>
        </w:rPr>
        <w:t xml:space="preserve"> SR</w:t>
      </w:r>
      <w:r w:rsidRPr="002D7A10">
        <w:rPr>
          <w:rFonts w:asciiTheme="minorHAnsi" w:hAnsiTheme="minorHAnsi"/>
        </w:rPr>
        <w:t>.</w:t>
      </w:r>
    </w:p>
    <w:p w:rsidR="00130A60" w:rsidRPr="002D7A10" w:rsidRDefault="00130A60" w:rsidP="00130A60">
      <w:pPr>
        <w:rPr>
          <w:rFonts w:asciiTheme="minorHAnsi" w:hAnsiTheme="minorHAnsi"/>
        </w:rPr>
      </w:pPr>
    </w:p>
    <w:p w:rsidR="00130A60" w:rsidRPr="00375F6E" w:rsidRDefault="00130A60" w:rsidP="00130A60">
      <w:pPr>
        <w:rPr>
          <w:rFonts w:asciiTheme="minorHAnsi" w:hAnsiTheme="minorHAnsi"/>
          <w:b/>
          <w:sz w:val="20"/>
          <w:szCs w:val="20"/>
        </w:rPr>
      </w:pPr>
      <w:r w:rsidRPr="00375F6E">
        <w:rPr>
          <w:rFonts w:asciiTheme="minorHAnsi" w:hAnsiTheme="minorHAnsi"/>
          <w:b/>
          <w:sz w:val="20"/>
          <w:szCs w:val="20"/>
        </w:rPr>
        <w:t>Tabuľka č.  6.1.: Prehľad návrhov na vymenovanie za profesora na VR STU podľa fakúlt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785"/>
        <w:gridCol w:w="908"/>
        <w:gridCol w:w="910"/>
        <w:gridCol w:w="969"/>
        <w:gridCol w:w="904"/>
        <w:gridCol w:w="935"/>
        <w:gridCol w:w="921"/>
        <w:gridCol w:w="927"/>
      </w:tblGrid>
      <w:tr w:rsidR="00130A60" w:rsidRPr="00375F6E" w:rsidTr="00617EB1">
        <w:trPr>
          <w:trHeight w:val="286"/>
        </w:trPr>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VR STU</w:t>
            </w:r>
          </w:p>
        </w:tc>
        <w:tc>
          <w:tcPr>
            <w:tcW w:w="855"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SvF</w:t>
            </w: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SjF</w:t>
            </w: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FEI</w:t>
            </w:r>
          </w:p>
        </w:tc>
        <w:tc>
          <w:tcPr>
            <w:tcW w:w="1023"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FCHPT</w:t>
            </w: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FA</w:t>
            </w:r>
          </w:p>
        </w:tc>
        <w:tc>
          <w:tcPr>
            <w:tcW w:w="102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MTF</w:t>
            </w:r>
          </w:p>
        </w:tc>
        <w:tc>
          <w:tcPr>
            <w:tcW w:w="102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FIIT</w:t>
            </w:r>
          </w:p>
        </w:tc>
        <w:tc>
          <w:tcPr>
            <w:tcW w:w="102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STU</w:t>
            </w:r>
          </w:p>
        </w:tc>
      </w:tr>
      <w:tr w:rsidR="00130A60" w:rsidRPr="00375F6E" w:rsidTr="00617EB1">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28.1.2015</w:t>
            </w:r>
          </w:p>
        </w:tc>
        <w:tc>
          <w:tcPr>
            <w:tcW w:w="855" w:type="dxa"/>
            <w:shd w:val="clear" w:color="auto" w:fill="auto"/>
          </w:tcPr>
          <w:p w:rsidR="00130A60" w:rsidRPr="00375F6E" w:rsidRDefault="00130A60" w:rsidP="00617EB1">
            <w:pPr>
              <w:rPr>
                <w:rFonts w:asciiTheme="minorHAnsi" w:hAnsiTheme="minorHAnsi"/>
                <w:sz w:val="20"/>
                <w:szCs w:val="20"/>
              </w:rPr>
            </w:pPr>
          </w:p>
        </w:tc>
        <w:tc>
          <w:tcPr>
            <w:tcW w:w="1018" w:type="dxa"/>
            <w:shd w:val="clear" w:color="auto" w:fill="auto"/>
          </w:tcPr>
          <w:p w:rsidR="00130A60" w:rsidRPr="00375F6E" w:rsidRDefault="00130A60" w:rsidP="00617EB1">
            <w:pPr>
              <w:rPr>
                <w:rFonts w:asciiTheme="minorHAnsi" w:hAnsiTheme="minorHAnsi"/>
                <w:sz w:val="20"/>
                <w:szCs w:val="20"/>
              </w:rPr>
            </w:pPr>
          </w:p>
        </w:tc>
        <w:tc>
          <w:tcPr>
            <w:tcW w:w="1018" w:type="dxa"/>
            <w:shd w:val="clear" w:color="auto" w:fill="auto"/>
          </w:tcPr>
          <w:p w:rsidR="00130A60" w:rsidRPr="00375F6E" w:rsidRDefault="00130A60" w:rsidP="00617EB1">
            <w:pPr>
              <w:rPr>
                <w:rFonts w:asciiTheme="minorHAnsi" w:hAnsiTheme="minorHAnsi"/>
                <w:sz w:val="20"/>
                <w:szCs w:val="20"/>
              </w:rPr>
            </w:pPr>
          </w:p>
        </w:tc>
        <w:tc>
          <w:tcPr>
            <w:tcW w:w="1023"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20" w:type="dxa"/>
            <w:shd w:val="clear" w:color="auto" w:fill="auto"/>
          </w:tcPr>
          <w:p w:rsidR="00130A60" w:rsidRPr="00375F6E" w:rsidRDefault="00130A60" w:rsidP="00617EB1">
            <w:pPr>
              <w:rPr>
                <w:rFonts w:asciiTheme="minorHAnsi" w:hAnsiTheme="minorHAnsi"/>
                <w:sz w:val="20"/>
                <w:szCs w:val="20"/>
              </w:rPr>
            </w:pPr>
          </w:p>
        </w:tc>
        <w:tc>
          <w:tcPr>
            <w:tcW w:w="1020" w:type="dxa"/>
            <w:shd w:val="clear" w:color="auto" w:fill="auto"/>
          </w:tcPr>
          <w:p w:rsidR="00130A60" w:rsidRPr="00375F6E" w:rsidRDefault="00130A60" w:rsidP="00617EB1">
            <w:pPr>
              <w:rPr>
                <w:rFonts w:asciiTheme="minorHAnsi" w:hAnsiTheme="minorHAnsi"/>
                <w:sz w:val="20"/>
                <w:szCs w:val="20"/>
              </w:rPr>
            </w:pPr>
          </w:p>
        </w:tc>
        <w:tc>
          <w:tcPr>
            <w:tcW w:w="102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w:t>
            </w:r>
          </w:p>
        </w:tc>
      </w:tr>
      <w:tr w:rsidR="00130A60" w:rsidRPr="00375F6E" w:rsidTr="00617EB1">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10.6.2015</w:t>
            </w:r>
          </w:p>
        </w:tc>
        <w:tc>
          <w:tcPr>
            <w:tcW w:w="855" w:type="dxa"/>
            <w:shd w:val="clear" w:color="auto" w:fill="auto"/>
          </w:tcPr>
          <w:p w:rsidR="00130A60" w:rsidRPr="00375F6E" w:rsidRDefault="00130A60" w:rsidP="00617EB1">
            <w:pPr>
              <w:rPr>
                <w:rFonts w:asciiTheme="minorHAnsi" w:hAnsiTheme="minorHAnsi"/>
                <w:sz w:val="20"/>
                <w:szCs w:val="20"/>
              </w:rPr>
            </w:pPr>
          </w:p>
        </w:tc>
        <w:tc>
          <w:tcPr>
            <w:tcW w:w="1018" w:type="dxa"/>
            <w:shd w:val="clear" w:color="auto" w:fill="auto"/>
          </w:tcPr>
          <w:p w:rsidR="00130A60" w:rsidRPr="00375F6E" w:rsidRDefault="00130A60" w:rsidP="00617EB1">
            <w:pPr>
              <w:rPr>
                <w:rFonts w:asciiTheme="minorHAnsi" w:hAnsiTheme="minorHAnsi"/>
                <w:sz w:val="20"/>
                <w:szCs w:val="20"/>
              </w:rPr>
            </w:pP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23" w:type="dxa"/>
            <w:shd w:val="clear" w:color="auto" w:fill="auto"/>
          </w:tcPr>
          <w:p w:rsidR="00130A60" w:rsidRPr="00375F6E" w:rsidRDefault="00130A60" w:rsidP="00617EB1">
            <w:pPr>
              <w:rPr>
                <w:rFonts w:asciiTheme="minorHAnsi" w:hAnsiTheme="minorHAnsi"/>
                <w:sz w:val="20"/>
                <w:szCs w:val="20"/>
              </w:rPr>
            </w:pP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2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w:t>
            </w:r>
          </w:p>
        </w:tc>
        <w:tc>
          <w:tcPr>
            <w:tcW w:w="1020" w:type="dxa"/>
            <w:shd w:val="clear" w:color="auto" w:fill="auto"/>
          </w:tcPr>
          <w:p w:rsidR="00130A60" w:rsidRPr="00375F6E" w:rsidRDefault="00130A60" w:rsidP="00617EB1">
            <w:pPr>
              <w:rPr>
                <w:rFonts w:asciiTheme="minorHAnsi" w:hAnsiTheme="minorHAnsi"/>
                <w:sz w:val="20"/>
                <w:szCs w:val="20"/>
              </w:rPr>
            </w:pPr>
          </w:p>
        </w:tc>
        <w:tc>
          <w:tcPr>
            <w:tcW w:w="102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4</w:t>
            </w:r>
          </w:p>
        </w:tc>
      </w:tr>
      <w:tr w:rsidR="00130A60" w:rsidRPr="00375F6E" w:rsidTr="00617EB1">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28.10.2015</w:t>
            </w:r>
          </w:p>
        </w:tc>
        <w:tc>
          <w:tcPr>
            <w:tcW w:w="855"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18" w:type="dxa"/>
            <w:shd w:val="clear" w:color="auto" w:fill="auto"/>
          </w:tcPr>
          <w:p w:rsidR="00130A60" w:rsidRPr="00375F6E" w:rsidRDefault="00130A60" w:rsidP="00617EB1">
            <w:pPr>
              <w:rPr>
                <w:rFonts w:asciiTheme="minorHAnsi" w:hAnsiTheme="minorHAnsi"/>
                <w:sz w:val="20"/>
                <w:szCs w:val="20"/>
              </w:rPr>
            </w:pP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23" w:type="dxa"/>
            <w:shd w:val="clear" w:color="auto" w:fill="auto"/>
          </w:tcPr>
          <w:p w:rsidR="00130A60" w:rsidRPr="00375F6E" w:rsidRDefault="00130A60" w:rsidP="00617EB1">
            <w:pPr>
              <w:rPr>
                <w:rFonts w:asciiTheme="minorHAnsi" w:hAnsiTheme="minorHAnsi"/>
                <w:sz w:val="20"/>
                <w:szCs w:val="20"/>
              </w:rPr>
            </w:pP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20" w:type="dxa"/>
            <w:shd w:val="clear" w:color="auto" w:fill="auto"/>
          </w:tcPr>
          <w:p w:rsidR="00130A60" w:rsidRPr="00375F6E" w:rsidRDefault="00130A60" w:rsidP="00617EB1">
            <w:pPr>
              <w:rPr>
                <w:rFonts w:asciiTheme="minorHAnsi" w:hAnsiTheme="minorHAnsi"/>
                <w:sz w:val="20"/>
                <w:szCs w:val="20"/>
              </w:rPr>
            </w:pPr>
          </w:p>
        </w:tc>
        <w:tc>
          <w:tcPr>
            <w:tcW w:w="1020" w:type="dxa"/>
            <w:shd w:val="clear" w:color="auto" w:fill="auto"/>
          </w:tcPr>
          <w:p w:rsidR="00130A60" w:rsidRPr="00375F6E" w:rsidRDefault="00130A60" w:rsidP="00617EB1">
            <w:pPr>
              <w:rPr>
                <w:rFonts w:asciiTheme="minorHAnsi" w:hAnsiTheme="minorHAnsi"/>
                <w:sz w:val="20"/>
                <w:szCs w:val="20"/>
              </w:rPr>
            </w:pPr>
          </w:p>
        </w:tc>
        <w:tc>
          <w:tcPr>
            <w:tcW w:w="102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3</w:t>
            </w:r>
          </w:p>
        </w:tc>
      </w:tr>
      <w:tr w:rsidR="00130A60" w:rsidRPr="00375F6E" w:rsidTr="00617EB1">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9.12.2015</w:t>
            </w:r>
          </w:p>
        </w:tc>
        <w:tc>
          <w:tcPr>
            <w:tcW w:w="855" w:type="dxa"/>
            <w:shd w:val="clear" w:color="auto" w:fill="auto"/>
          </w:tcPr>
          <w:p w:rsidR="00130A60" w:rsidRPr="00375F6E" w:rsidRDefault="00130A60" w:rsidP="00617EB1">
            <w:pPr>
              <w:rPr>
                <w:rFonts w:asciiTheme="minorHAnsi" w:hAnsiTheme="minorHAnsi"/>
                <w:sz w:val="20"/>
                <w:szCs w:val="20"/>
              </w:rPr>
            </w:pP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3</w:t>
            </w: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23" w:type="dxa"/>
            <w:shd w:val="clear" w:color="auto" w:fill="auto"/>
          </w:tcPr>
          <w:p w:rsidR="00130A60" w:rsidRPr="00375F6E" w:rsidRDefault="00130A60" w:rsidP="00617EB1">
            <w:pPr>
              <w:rPr>
                <w:rFonts w:asciiTheme="minorHAnsi" w:hAnsiTheme="minorHAnsi"/>
                <w:sz w:val="20"/>
                <w:szCs w:val="20"/>
              </w:rPr>
            </w:pPr>
          </w:p>
        </w:tc>
        <w:tc>
          <w:tcPr>
            <w:tcW w:w="1018" w:type="dxa"/>
            <w:shd w:val="clear" w:color="auto" w:fill="auto"/>
          </w:tcPr>
          <w:p w:rsidR="00130A60" w:rsidRPr="00375F6E" w:rsidRDefault="00130A60" w:rsidP="00617EB1">
            <w:pPr>
              <w:rPr>
                <w:rFonts w:asciiTheme="minorHAnsi" w:hAnsiTheme="minorHAnsi"/>
                <w:sz w:val="20"/>
                <w:szCs w:val="20"/>
              </w:rPr>
            </w:pPr>
          </w:p>
        </w:tc>
        <w:tc>
          <w:tcPr>
            <w:tcW w:w="1020" w:type="dxa"/>
            <w:shd w:val="clear" w:color="auto" w:fill="auto"/>
          </w:tcPr>
          <w:p w:rsidR="00130A60" w:rsidRPr="00375F6E" w:rsidRDefault="00130A60" w:rsidP="00617EB1">
            <w:pPr>
              <w:rPr>
                <w:rFonts w:asciiTheme="minorHAnsi" w:hAnsiTheme="minorHAnsi"/>
                <w:sz w:val="20"/>
                <w:szCs w:val="20"/>
              </w:rPr>
            </w:pPr>
          </w:p>
        </w:tc>
        <w:tc>
          <w:tcPr>
            <w:tcW w:w="1020" w:type="dxa"/>
            <w:shd w:val="clear" w:color="auto" w:fill="auto"/>
          </w:tcPr>
          <w:p w:rsidR="00130A60" w:rsidRPr="00375F6E" w:rsidRDefault="00130A60" w:rsidP="00617EB1">
            <w:pPr>
              <w:rPr>
                <w:rFonts w:asciiTheme="minorHAnsi" w:hAnsiTheme="minorHAnsi"/>
                <w:sz w:val="20"/>
                <w:szCs w:val="20"/>
              </w:rPr>
            </w:pPr>
          </w:p>
        </w:tc>
        <w:tc>
          <w:tcPr>
            <w:tcW w:w="102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4</w:t>
            </w:r>
          </w:p>
        </w:tc>
      </w:tr>
      <w:tr w:rsidR="00130A60" w:rsidRPr="00375F6E" w:rsidTr="00617EB1">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Spolu</w:t>
            </w:r>
          </w:p>
        </w:tc>
        <w:tc>
          <w:tcPr>
            <w:tcW w:w="855"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3</w:t>
            </w: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3</w:t>
            </w:r>
          </w:p>
        </w:tc>
        <w:tc>
          <w:tcPr>
            <w:tcW w:w="1023"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1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3</w:t>
            </w:r>
          </w:p>
        </w:tc>
        <w:tc>
          <w:tcPr>
            <w:tcW w:w="102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w:t>
            </w:r>
          </w:p>
        </w:tc>
        <w:tc>
          <w:tcPr>
            <w:tcW w:w="1020" w:type="dxa"/>
            <w:shd w:val="clear" w:color="auto" w:fill="auto"/>
          </w:tcPr>
          <w:p w:rsidR="00130A60" w:rsidRPr="00375F6E" w:rsidRDefault="00130A60" w:rsidP="00617EB1">
            <w:pPr>
              <w:rPr>
                <w:rFonts w:asciiTheme="minorHAnsi" w:hAnsiTheme="minorHAnsi"/>
                <w:sz w:val="20"/>
                <w:szCs w:val="20"/>
              </w:rPr>
            </w:pPr>
          </w:p>
        </w:tc>
        <w:tc>
          <w:tcPr>
            <w:tcW w:w="102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13</w:t>
            </w:r>
          </w:p>
        </w:tc>
      </w:tr>
    </w:tbl>
    <w:p w:rsidR="00130A60" w:rsidRPr="00375F6E" w:rsidRDefault="00130A60" w:rsidP="00130A60">
      <w:pPr>
        <w:rPr>
          <w:rFonts w:asciiTheme="minorHAnsi" w:hAnsiTheme="minorHAnsi"/>
          <w:sz w:val="20"/>
          <w:szCs w:val="20"/>
        </w:rPr>
      </w:pPr>
    </w:p>
    <w:p w:rsidR="00130A60" w:rsidRPr="002D7A10" w:rsidRDefault="00130A60" w:rsidP="00130A60">
      <w:pPr>
        <w:rPr>
          <w:rFonts w:asciiTheme="minorHAnsi" w:hAnsiTheme="minorHAnsi"/>
        </w:rPr>
      </w:pPr>
      <w:r w:rsidRPr="002D7A10">
        <w:rPr>
          <w:rFonts w:asciiTheme="minorHAnsi" w:hAnsiTheme="minorHAnsi"/>
        </w:rPr>
        <w:t>Kompletný zoznam vymenovaných profesorov uvádza tabuľka č. 7/MŠVVaŠ SR v prílohe výročnej správy.</w:t>
      </w:r>
    </w:p>
    <w:p w:rsidR="00130A60" w:rsidRPr="002D7A10" w:rsidRDefault="00130A60" w:rsidP="00130A60">
      <w:pPr>
        <w:rPr>
          <w:rFonts w:asciiTheme="minorHAnsi" w:hAnsiTheme="minorHAnsi"/>
        </w:rPr>
      </w:pPr>
    </w:p>
    <w:p w:rsidR="00130A60" w:rsidRPr="002D7A10" w:rsidRDefault="00130A60" w:rsidP="00130A60">
      <w:pPr>
        <w:rPr>
          <w:rFonts w:asciiTheme="minorHAnsi" w:hAnsiTheme="minorHAnsi"/>
        </w:rPr>
      </w:pPr>
      <w:r w:rsidRPr="002D7A10">
        <w:rPr>
          <w:rFonts w:asciiTheme="minorHAnsi" w:hAnsiTheme="minorHAnsi"/>
        </w:rPr>
        <w:t>V roku 2015 rektor STU vymenoval spolu 34 docentov</w:t>
      </w:r>
      <w:r w:rsidR="00F12D4B" w:rsidRPr="002D7A10">
        <w:rPr>
          <w:rFonts w:asciiTheme="minorHAnsi" w:hAnsiTheme="minorHAnsi"/>
        </w:rPr>
        <w:t>,</w:t>
      </w:r>
      <w:r w:rsidRPr="002D7A10">
        <w:rPr>
          <w:rFonts w:asciiTheme="minorHAnsi" w:hAnsiTheme="minorHAnsi"/>
        </w:rPr>
        <w:t xml:space="preserve"> z toho 9 bolo z iných organizácií.</w:t>
      </w:r>
    </w:p>
    <w:p w:rsidR="00130A60" w:rsidRPr="00375F6E" w:rsidRDefault="00130A60" w:rsidP="00130A60">
      <w:pPr>
        <w:rPr>
          <w:rFonts w:asciiTheme="minorHAnsi" w:hAnsiTheme="minorHAnsi"/>
          <w:sz w:val="20"/>
          <w:szCs w:val="20"/>
        </w:rPr>
      </w:pPr>
    </w:p>
    <w:p w:rsidR="00130A60" w:rsidRPr="00375F6E" w:rsidRDefault="00130A60" w:rsidP="00130A60">
      <w:pPr>
        <w:rPr>
          <w:rFonts w:asciiTheme="minorHAnsi" w:hAnsiTheme="minorHAnsi"/>
          <w:sz w:val="20"/>
          <w:szCs w:val="20"/>
        </w:rPr>
      </w:pPr>
      <w:r w:rsidRPr="00375F6E">
        <w:rPr>
          <w:rFonts w:asciiTheme="minorHAnsi" w:hAnsiTheme="minorHAnsi"/>
          <w:b/>
          <w:sz w:val="20"/>
          <w:szCs w:val="20"/>
        </w:rPr>
        <w:t>Tabuľka 6.2: Počty vymenovaných docentov podľa fakúlt 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795"/>
        <w:gridCol w:w="779"/>
        <w:gridCol w:w="784"/>
        <w:gridCol w:w="915"/>
        <w:gridCol w:w="771"/>
        <w:gridCol w:w="824"/>
        <w:gridCol w:w="804"/>
        <w:gridCol w:w="800"/>
        <w:gridCol w:w="811"/>
      </w:tblGrid>
      <w:tr w:rsidR="00130A60" w:rsidRPr="00375F6E" w:rsidTr="00617EB1">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Docenti</w:t>
            </w:r>
          </w:p>
        </w:tc>
        <w:tc>
          <w:tcPr>
            <w:tcW w:w="877"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SvF</w:t>
            </w:r>
          </w:p>
        </w:tc>
        <w:tc>
          <w:tcPr>
            <w:tcW w:w="87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SjF</w:t>
            </w:r>
          </w:p>
        </w:tc>
        <w:tc>
          <w:tcPr>
            <w:tcW w:w="87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FEI</w:t>
            </w:r>
          </w:p>
        </w:tc>
        <w:tc>
          <w:tcPr>
            <w:tcW w:w="963"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FCHPT</w:t>
            </w:r>
          </w:p>
        </w:tc>
        <w:tc>
          <w:tcPr>
            <w:tcW w:w="86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FA</w:t>
            </w:r>
          </w:p>
        </w:tc>
        <w:tc>
          <w:tcPr>
            <w:tcW w:w="892"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 xml:space="preserve">MTF </w:t>
            </w:r>
          </w:p>
        </w:tc>
        <w:tc>
          <w:tcPr>
            <w:tcW w:w="885"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 xml:space="preserve">FIIT </w:t>
            </w:r>
          </w:p>
        </w:tc>
        <w:tc>
          <w:tcPr>
            <w:tcW w:w="87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ÚM</w:t>
            </w:r>
          </w:p>
        </w:tc>
        <w:tc>
          <w:tcPr>
            <w:tcW w:w="887"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STU</w:t>
            </w:r>
          </w:p>
        </w:tc>
      </w:tr>
      <w:tr w:rsidR="00130A60" w:rsidRPr="00375F6E" w:rsidTr="00617EB1">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14.1.2015</w:t>
            </w:r>
          </w:p>
        </w:tc>
        <w:tc>
          <w:tcPr>
            <w:tcW w:w="877"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870" w:type="dxa"/>
            <w:shd w:val="clear" w:color="auto" w:fill="auto"/>
          </w:tcPr>
          <w:p w:rsidR="00130A60" w:rsidRPr="00375F6E" w:rsidRDefault="00130A60" w:rsidP="00617EB1">
            <w:pPr>
              <w:rPr>
                <w:rFonts w:asciiTheme="minorHAnsi" w:hAnsiTheme="minorHAnsi"/>
                <w:sz w:val="20"/>
                <w:szCs w:val="20"/>
              </w:rPr>
            </w:pPr>
          </w:p>
        </w:tc>
        <w:tc>
          <w:tcPr>
            <w:tcW w:w="87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963" w:type="dxa"/>
            <w:shd w:val="clear" w:color="auto" w:fill="auto"/>
          </w:tcPr>
          <w:p w:rsidR="00130A60" w:rsidRPr="00375F6E" w:rsidRDefault="00130A60" w:rsidP="00617EB1">
            <w:pPr>
              <w:rPr>
                <w:rFonts w:asciiTheme="minorHAnsi" w:hAnsiTheme="minorHAnsi"/>
                <w:sz w:val="20"/>
                <w:szCs w:val="20"/>
              </w:rPr>
            </w:pPr>
          </w:p>
        </w:tc>
        <w:tc>
          <w:tcPr>
            <w:tcW w:w="86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892" w:type="dxa"/>
            <w:shd w:val="clear" w:color="auto" w:fill="auto"/>
          </w:tcPr>
          <w:p w:rsidR="00130A60" w:rsidRPr="00375F6E" w:rsidRDefault="00130A60" w:rsidP="00617EB1">
            <w:pPr>
              <w:rPr>
                <w:rFonts w:asciiTheme="minorHAnsi" w:hAnsiTheme="minorHAnsi"/>
                <w:sz w:val="20"/>
                <w:szCs w:val="20"/>
              </w:rPr>
            </w:pPr>
          </w:p>
        </w:tc>
        <w:tc>
          <w:tcPr>
            <w:tcW w:w="885" w:type="dxa"/>
            <w:shd w:val="clear" w:color="auto" w:fill="auto"/>
          </w:tcPr>
          <w:p w:rsidR="00130A60" w:rsidRPr="00375F6E" w:rsidRDefault="00130A60" w:rsidP="00617EB1">
            <w:pPr>
              <w:rPr>
                <w:rFonts w:asciiTheme="minorHAnsi" w:hAnsiTheme="minorHAnsi"/>
                <w:sz w:val="20"/>
                <w:szCs w:val="20"/>
              </w:rPr>
            </w:pPr>
          </w:p>
        </w:tc>
        <w:tc>
          <w:tcPr>
            <w:tcW w:w="878" w:type="dxa"/>
            <w:shd w:val="clear" w:color="auto" w:fill="auto"/>
          </w:tcPr>
          <w:p w:rsidR="00130A60" w:rsidRPr="00375F6E" w:rsidRDefault="00130A60" w:rsidP="00617EB1">
            <w:pPr>
              <w:rPr>
                <w:rFonts w:asciiTheme="minorHAnsi" w:hAnsiTheme="minorHAnsi"/>
                <w:sz w:val="20"/>
                <w:szCs w:val="20"/>
              </w:rPr>
            </w:pPr>
          </w:p>
        </w:tc>
        <w:tc>
          <w:tcPr>
            <w:tcW w:w="887"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3</w:t>
            </w:r>
          </w:p>
        </w:tc>
      </w:tr>
      <w:tr w:rsidR="00130A60" w:rsidRPr="00375F6E" w:rsidTr="00617EB1">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1.4.2015</w:t>
            </w:r>
          </w:p>
        </w:tc>
        <w:tc>
          <w:tcPr>
            <w:tcW w:w="877" w:type="dxa"/>
            <w:shd w:val="clear" w:color="auto" w:fill="auto"/>
          </w:tcPr>
          <w:p w:rsidR="00130A60" w:rsidRPr="00375F6E" w:rsidRDefault="00130A60" w:rsidP="00617EB1">
            <w:pPr>
              <w:rPr>
                <w:rFonts w:asciiTheme="minorHAnsi" w:hAnsiTheme="minorHAnsi"/>
                <w:sz w:val="20"/>
                <w:szCs w:val="20"/>
              </w:rPr>
            </w:pPr>
          </w:p>
        </w:tc>
        <w:tc>
          <w:tcPr>
            <w:tcW w:w="87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4</w:t>
            </w:r>
          </w:p>
        </w:tc>
        <w:tc>
          <w:tcPr>
            <w:tcW w:w="874" w:type="dxa"/>
            <w:shd w:val="clear" w:color="auto" w:fill="auto"/>
          </w:tcPr>
          <w:p w:rsidR="00130A60" w:rsidRPr="00375F6E" w:rsidRDefault="00130A60" w:rsidP="00617EB1">
            <w:pPr>
              <w:rPr>
                <w:rFonts w:asciiTheme="minorHAnsi" w:hAnsiTheme="minorHAnsi"/>
                <w:sz w:val="20"/>
                <w:szCs w:val="20"/>
              </w:rPr>
            </w:pPr>
          </w:p>
        </w:tc>
        <w:tc>
          <w:tcPr>
            <w:tcW w:w="963"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w:t>
            </w:r>
          </w:p>
        </w:tc>
        <w:tc>
          <w:tcPr>
            <w:tcW w:w="86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4</w:t>
            </w:r>
          </w:p>
        </w:tc>
        <w:tc>
          <w:tcPr>
            <w:tcW w:w="892" w:type="dxa"/>
            <w:shd w:val="clear" w:color="auto" w:fill="auto"/>
          </w:tcPr>
          <w:p w:rsidR="00130A60" w:rsidRPr="00375F6E" w:rsidRDefault="00130A60" w:rsidP="00617EB1">
            <w:pPr>
              <w:rPr>
                <w:rFonts w:asciiTheme="minorHAnsi" w:hAnsiTheme="minorHAnsi"/>
                <w:sz w:val="20"/>
                <w:szCs w:val="20"/>
              </w:rPr>
            </w:pPr>
          </w:p>
        </w:tc>
        <w:tc>
          <w:tcPr>
            <w:tcW w:w="885" w:type="dxa"/>
            <w:shd w:val="clear" w:color="auto" w:fill="auto"/>
          </w:tcPr>
          <w:p w:rsidR="00130A60" w:rsidRPr="00375F6E" w:rsidRDefault="00130A60" w:rsidP="00617EB1">
            <w:pPr>
              <w:rPr>
                <w:rFonts w:asciiTheme="minorHAnsi" w:hAnsiTheme="minorHAnsi"/>
                <w:sz w:val="20"/>
                <w:szCs w:val="20"/>
              </w:rPr>
            </w:pPr>
          </w:p>
        </w:tc>
        <w:tc>
          <w:tcPr>
            <w:tcW w:w="878" w:type="dxa"/>
            <w:shd w:val="clear" w:color="auto" w:fill="auto"/>
          </w:tcPr>
          <w:p w:rsidR="00130A60" w:rsidRPr="00375F6E" w:rsidRDefault="00130A60" w:rsidP="00617EB1">
            <w:pPr>
              <w:rPr>
                <w:rFonts w:asciiTheme="minorHAnsi" w:hAnsiTheme="minorHAnsi"/>
                <w:sz w:val="20"/>
                <w:szCs w:val="20"/>
              </w:rPr>
            </w:pPr>
          </w:p>
        </w:tc>
        <w:tc>
          <w:tcPr>
            <w:tcW w:w="887"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10</w:t>
            </w:r>
          </w:p>
        </w:tc>
      </w:tr>
      <w:tr w:rsidR="00130A60" w:rsidRPr="00375F6E" w:rsidTr="00617EB1">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24.6.2015</w:t>
            </w:r>
          </w:p>
        </w:tc>
        <w:tc>
          <w:tcPr>
            <w:tcW w:w="877"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3</w:t>
            </w:r>
          </w:p>
        </w:tc>
        <w:tc>
          <w:tcPr>
            <w:tcW w:w="870" w:type="dxa"/>
            <w:shd w:val="clear" w:color="auto" w:fill="auto"/>
          </w:tcPr>
          <w:p w:rsidR="00130A60" w:rsidRPr="00375F6E" w:rsidRDefault="00130A60" w:rsidP="00617EB1">
            <w:pPr>
              <w:rPr>
                <w:rFonts w:asciiTheme="minorHAnsi" w:hAnsiTheme="minorHAnsi"/>
                <w:sz w:val="20"/>
                <w:szCs w:val="20"/>
              </w:rPr>
            </w:pPr>
          </w:p>
        </w:tc>
        <w:tc>
          <w:tcPr>
            <w:tcW w:w="874" w:type="dxa"/>
            <w:shd w:val="clear" w:color="auto" w:fill="auto"/>
          </w:tcPr>
          <w:p w:rsidR="00130A60" w:rsidRPr="00375F6E" w:rsidRDefault="00130A60" w:rsidP="00617EB1">
            <w:pPr>
              <w:rPr>
                <w:rFonts w:asciiTheme="minorHAnsi" w:hAnsiTheme="minorHAnsi"/>
                <w:sz w:val="20"/>
                <w:szCs w:val="20"/>
              </w:rPr>
            </w:pPr>
          </w:p>
        </w:tc>
        <w:tc>
          <w:tcPr>
            <w:tcW w:w="963"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86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892"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w:t>
            </w:r>
          </w:p>
        </w:tc>
        <w:tc>
          <w:tcPr>
            <w:tcW w:w="885" w:type="dxa"/>
            <w:shd w:val="clear" w:color="auto" w:fill="auto"/>
          </w:tcPr>
          <w:p w:rsidR="00130A60" w:rsidRPr="00375F6E" w:rsidRDefault="00130A60" w:rsidP="00617EB1">
            <w:pPr>
              <w:rPr>
                <w:rFonts w:asciiTheme="minorHAnsi" w:hAnsiTheme="minorHAnsi"/>
                <w:sz w:val="20"/>
                <w:szCs w:val="20"/>
              </w:rPr>
            </w:pPr>
          </w:p>
        </w:tc>
        <w:tc>
          <w:tcPr>
            <w:tcW w:w="878" w:type="dxa"/>
            <w:shd w:val="clear" w:color="auto" w:fill="auto"/>
          </w:tcPr>
          <w:p w:rsidR="00130A60" w:rsidRPr="00375F6E" w:rsidRDefault="00130A60" w:rsidP="00617EB1">
            <w:pPr>
              <w:rPr>
                <w:rFonts w:asciiTheme="minorHAnsi" w:hAnsiTheme="minorHAnsi"/>
                <w:sz w:val="20"/>
                <w:szCs w:val="20"/>
              </w:rPr>
            </w:pPr>
          </w:p>
        </w:tc>
        <w:tc>
          <w:tcPr>
            <w:tcW w:w="887"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7</w:t>
            </w:r>
          </w:p>
        </w:tc>
      </w:tr>
      <w:tr w:rsidR="00130A60" w:rsidRPr="00375F6E" w:rsidTr="00617EB1">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7.10.2015</w:t>
            </w:r>
          </w:p>
        </w:tc>
        <w:tc>
          <w:tcPr>
            <w:tcW w:w="877" w:type="dxa"/>
            <w:shd w:val="clear" w:color="auto" w:fill="auto"/>
          </w:tcPr>
          <w:p w:rsidR="00130A60" w:rsidRPr="00375F6E" w:rsidRDefault="00130A60" w:rsidP="00617EB1">
            <w:pPr>
              <w:rPr>
                <w:rFonts w:asciiTheme="minorHAnsi" w:hAnsiTheme="minorHAnsi"/>
                <w:sz w:val="20"/>
                <w:szCs w:val="20"/>
              </w:rPr>
            </w:pPr>
          </w:p>
        </w:tc>
        <w:tc>
          <w:tcPr>
            <w:tcW w:w="870" w:type="dxa"/>
            <w:shd w:val="clear" w:color="auto" w:fill="auto"/>
          </w:tcPr>
          <w:p w:rsidR="00130A60" w:rsidRPr="00375F6E" w:rsidRDefault="00130A60" w:rsidP="00617EB1">
            <w:pPr>
              <w:rPr>
                <w:rFonts w:asciiTheme="minorHAnsi" w:hAnsiTheme="minorHAnsi"/>
                <w:sz w:val="20"/>
                <w:szCs w:val="20"/>
              </w:rPr>
            </w:pPr>
          </w:p>
        </w:tc>
        <w:tc>
          <w:tcPr>
            <w:tcW w:w="87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w:t>
            </w:r>
          </w:p>
        </w:tc>
        <w:tc>
          <w:tcPr>
            <w:tcW w:w="963" w:type="dxa"/>
            <w:shd w:val="clear" w:color="auto" w:fill="auto"/>
          </w:tcPr>
          <w:p w:rsidR="00130A60" w:rsidRPr="00375F6E" w:rsidRDefault="00130A60" w:rsidP="00617EB1">
            <w:pPr>
              <w:rPr>
                <w:rFonts w:asciiTheme="minorHAnsi" w:hAnsiTheme="minorHAnsi"/>
                <w:sz w:val="20"/>
                <w:szCs w:val="20"/>
              </w:rPr>
            </w:pPr>
          </w:p>
        </w:tc>
        <w:tc>
          <w:tcPr>
            <w:tcW w:w="866" w:type="dxa"/>
            <w:shd w:val="clear" w:color="auto" w:fill="auto"/>
          </w:tcPr>
          <w:p w:rsidR="00130A60" w:rsidRPr="00375F6E" w:rsidRDefault="00130A60" w:rsidP="00617EB1">
            <w:pPr>
              <w:rPr>
                <w:rFonts w:asciiTheme="minorHAnsi" w:hAnsiTheme="minorHAnsi"/>
                <w:sz w:val="20"/>
                <w:szCs w:val="20"/>
              </w:rPr>
            </w:pPr>
          </w:p>
        </w:tc>
        <w:tc>
          <w:tcPr>
            <w:tcW w:w="892" w:type="dxa"/>
            <w:shd w:val="clear" w:color="auto" w:fill="auto"/>
          </w:tcPr>
          <w:p w:rsidR="00130A60" w:rsidRPr="00375F6E" w:rsidRDefault="00130A60" w:rsidP="00617EB1">
            <w:pPr>
              <w:rPr>
                <w:rFonts w:asciiTheme="minorHAnsi" w:hAnsiTheme="minorHAnsi"/>
                <w:sz w:val="20"/>
                <w:szCs w:val="20"/>
              </w:rPr>
            </w:pPr>
          </w:p>
        </w:tc>
        <w:tc>
          <w:tcPr>
            <w:tcW w:w="885" w:type="dxa"/>
            <w:shd w:val="clear" w:color="auto" w:fill="auto"/>
          </w:tcPr>
          <w:p w:rsidR="00130A60" w:rsidRPr="00375F6E" w:rsidRDefault="00130A60" w:rsidP="00617EB1">
            <w:pPr>
              <w:rPr>
                <w:rFonts w:asciiTheme="minorHAnsi" w:hAnsiTheme="minorHAnsi"/>
                <w:sz w:val="20"/>
                <w:szCs w:val="20"/>
              </w:rPr>
            </w:pPr>
          </w:p>
        </w:tc>
        <w:tc>
          <w:tcPr>
            <w:tcW w:w="878" w:type="dxa"/>
            <w:shd w:val="clear" w:color="auto" w:fill="auto"/>
          </w:tcPr>
          <w:p w:rsidR="00130A60" w:rsidRPr="00375F6E" w:rsidRDefault="00130A60" w:rsidP="00617EB1">
            <w:pPr>
              <w:rPr>
                <w:rFonts w:asciiTheme="minorHAnsi" w:hAnsiTheme="minorHAnsi"/>
                <w:sz w:val="20"/>
                <w:szCs w:val="20"/>
              </w:rPr>
            </w:pPr>
          </w:p>
        </w:tc>
        <w:tc>
          <w:tcPr>
            <w:tcW w:w="887"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w:t>
            </w:r>
          </w:p>
        </w:tc>
      </w:tr>
      <w:tr w:rsidR="00130A60" w:rsidRPr="00375F6E" w:rsidTr="00617EB1">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9.12.2015</w:t>
            </w:r>
          </w:p>
        </w:tc>
        <w:tc>
          <w:tcPr>
            <w:tcW w:w="877"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6</w:t>
            </w:r>
          </w:p>
        </w:tc>
        <w:tc>
          <w:tcPr>
            <w:tcW w:w="87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w:t>
            </w:r>
          </w:p>
        </w:tc>
        <w:tc>
          <w:tcPr>
            <w:tcW w:w="874" w:type="dxa"/>
            <w:shd w:val="clear" w:color="auto" w:fill="auto"/>
          </w:tcPr>
          <w:p w:rsidR="00130A60" w:rsidRPr="00375F6E" w:rsidRDefault="00130A60" w:rsidP="00617EB1">
            <w:pPr>
              <w:rPr>
                <w:rFonts w:asciiTheme="minorHAnsi" w:hAnsiTheme="minorHAnsi"/>
                <w:sz w:val="20"/>
                <w:szCs w:val="20"/>
              </w:rPr>
            </w:pPr>
          </w:p>
        </w:tc>
        <w:tc>
          <w:tcPr>
            <w:tcW w:w="963"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w:t>
            </w:r>
          </w:p>
        </w:tc>
        <w:tc>
          <w:tcPr>
            <w:tcW w:w="866" w:type="dxa"/>
            <w:shd w:val="clear" w:color="auto" w:fill="auto"/>
          </w:tcPr>
          <w:p w:rsidR="00130A60" w:rsidRPr="00375F6E" w:rsidRDefault="00130A60" w:rsidP="00617EB1">
            <w:pPr>
              <w:rPr>
                <w:rFonts w:asciiTheme="minorHAnsi" w:hAnsiTheme="minorHAnsi"/>
                <w:sz w:val="20"/>
                <w:szCs w:val="20"/>
              </w:rPr>
            </w:pPr>
          </w:p>
        </w:tc>
        <w:tc>
          <w:tcPr>
            <w:tcW w:w="892"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885" w:type="dxa"/>
            <w:shd w:val="clear" w:color="auto" w:fill="auto"/>
          </w:tcPr>
          <w:p w:rsidR="00130A60" w:rsidRPr="00375F6E" w:rsidRDefault="00130A60" w:rsidP="00617EB1">
            <w:pPr>
              <w:rPr>
                <w:rFonts w:asciiTheme="minorHAnsi" w:hAnsiTheme="minorHAnsi"/>
                <w:sz w:val="20"/>
                <w:szCs w:val="20"/>
              </w:rPr>
            </w:pPr>
          </w:p>
        </w:tc>
        <w:tc>
          <w:tcPr>
            <w:tcW w:w="87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887"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12</w:t>
            </w:r>
          </w:p>
        </w:tc>
      </w:tr>
      <w:tr w:rsidR="00130A60" w:rsidRPr="00375F6E" w:rsidTr="00617EB1">
        <w:tc>
          <w:tcPr>
            <w:tcW w:w="129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Spolu</w:t>
            </w:r>
          </w:p>
        </w:tc>
        <w:tc>
          <w:tcPr>
            <w:tcW w:w="877"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10</w:t>
            </w:r>
          </w:p>
        </w:tc>
        <w:tc>
          <w:tcPr>
            <w:tcW w:w="870"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6</w:t>
            </w:r>
          </w:p>
        </w:tc>
        <w:tc>
          <w:tcPr>
            <w:tcW w:w="87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3</w:t>
            </w:r>
          </w:p>
        </w:tc>
        <w:tc>
          <w:tcPr>
            <w:tcW w:w="963"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5</w:t>
            </w:r>
          </w:p>
        </w:tc>
        <w:tc>
          <w:tcPr>
            <w:tcW w:w="866"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6</w:t>
            </w:r>
          </w:p>
        </w:tc>
        <w:tc>
          <w:tcPr>
            <w:tcW w:w="892"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3</w:t>
            </w:r>
          </w:p>
        </w:tc>
        <w:tc>
          <w:tcPr>
            <w:tcW w:w="885" w:type="dxa"/>
            <w:shd w:val="clear" w:color="auto" w:fill="auto"/>
          </w:tcPr>
          <w:p w:rsidR="00130A60" w:rsidRPr="00375F6E" w:rsidRDefault="00130A60" w:rsidP="00617EB1">
            <w:pPr>
              <w:rPr>
                <w:rFonts w:asciiTheme="minorHAnsi" w:hAnsiTheme="minorHAnsi"/>
                <w:sz w:val="20"/>
                <w:szCs w:val="20"/>
              </w:rPr>
            </w:pPr>
          </w:p>
        </w:tc>
        <w:tc>
          <w:tcPr>
            <w:tcW w:w="87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887"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34</w:t>
            </w:r>
          </w:p>
        </w:tc>
      </w:tr>
    </w:tbl>
    <w:p w:rsidR="00130A60" w:rsidRPr="00375F6E" w:rsidRDefault="00130A60" w:rsidP="00130A60">
      <w:pPr>
        <w:rPr>
          <w:rFonts w:asciiTheme="minorHAnsi" w:hAnsiTheme="minorHAnsi"/>
          <w:sz w:val="20"/>
          <w:szCs w:val="20"/>
        </w:rPr>
      </w:pPr>
    </w:p>
    <w:p w:rsidR="00130A60" w:rsidRPr="002D7A10" w:rsidRDefault="00130A60" w:rsidP="00130A60">
      <w:pPr>
        <w:rPr>
          <w:rFonts w:asciiTheme="minorHAnsi" w:hAnsiTheme="minorHAnsi"/>
        </w:rPr>
      </w:pPr>
      <w:r w:rsidRPr="002D7A10">
        <w:rPr>
          <w:rFonts w:asciiTheme="minorHAnsi" w:hAnsiTheme="minorHAnsi"/>
        </w:rPr>
        <w:t>Kompletný zoznam docentov uvádza tabuľka č. 8/MŠVVaŠ SR v prílohe tejto správy.</w:t>
      </w:r>
    </w:p>
    <w:p w:rsidR="00B51749" w:rsidRPr="002D7A10" w:rsidRDefault="00B51749" w:rsidP="00B51749">
      <w:pPr>
        <w:rPr>
          <w:rFonts w:asciiTheme="minorHAnsi" w:hAnsiTheme="minorHAnsi"/>
          <w:color w:val="FF0000"/>
        </w:rPr>
      </w:pPr>
    </w:p>
    <w:p w:rsidR="00130A60" w:rsidRPr="002D7A10" w:rsidRDefault="00130A60" w:rsidP="00130A60">
      <w:pPr>
        <w:rPr>
          <w:rFonts w:asciiTheme="minorHAnsi" w:hAnsiTheme="minorHAnsi"/>
          <w:b/>
        </w:rPr>
      </w:pPr>
      <w:r w:rsidRPr="002D7A10">
        <w:rPr>
          <w:rFonts w:asciiTheme="minorHAnsi" w:hAnsiTheme="minorHAnsi"/>
        </w:rPr>
        <w:t xml:space="preserve">Na zasadnutiach vedeckej rady bolo prerokovaných a schválených 5 návrhov na udelenie vedeckej hodnosti doktora vied. </w:t>
      </w:r>
    </w:p>
    <w:p w:rsidR="00130A60" w:rsidRPr="00375F6E" w:rsidRDefault="00130A60" w:rsidP="00B51749">
      <w:pPr>
        <w:rPr>
          <w:rFonts w:asciiTheme="minorHAnsi" w:hAnsiTheme="minorHAnsi"/>
          <w:sz w:val="20"/>
          <w:szCs w:val="20"/>
        </w:rPr>
      </w:pPr>
    </w:p>
    <w:p w:rsidR="00130A60" w:rsidRPr="00375F6E" w:rsidRDefault="00B51749" w:rsidP="00130A60">
      <w:pPr>
        <w:rPr>
          <w:rFonts w:asciiTheme="minorHAnsi" w:hAnsiTheme="minorHAnsi"/>
          <w:b/>
          <w:sz w:val="20"/>
          <w:szCs w:val="20"/>
        </w:rPr>
      </w:pPr>
      <w:r w:rsidRPr="00375F6E">
        <w:rPr>
          <w:rFonts w:asciiTheme="minorHAnsi" w:hAnsiTheme="minorHAnsi"/>
          <w:b/>
          <w:sz w:val="20"/>
          <w:szCs w:val="20"/>
        </w:rPr>
        <w:t xml:space="preserve">Tabuľka 6.3: Prehľad návrhov na udelenie </w:t>
      </w:r>
      <w:r w:rsidR="00633A75" w:rsidRPr="00375F6E">
        <w:rPr>
          <w:rFonts w:asciiTheme="minorHAnsi" w:hAnsiTheme="minorHAnsi"/>
          <w:b/>
          <w:sz w:val="20"/>
          <w:szCs w:val="20"/>
        </w:rPr>
        <w:t>vedeckej hodnosti doktora vied –</w:t>
      </w:r>
      <w:r w:rsidRPr="00375F6E">
        <w:rPr>
          <w:rFonts w:asciiTheme="minorHAnsi" w:hAnsiTheme="minorHAnsi"/>
          <w:b/>
          <w:sz w:val="20"/>
          <w:szCs w:val="20"/>
        </w:rPr>
        <w:t xml:space="preserve"> DrSc.</w:t>
      </w:r>
      <w:r w:rsidR="00130A60" w:rsidRPr="00375F6E">
        <w:rPr>
          <w:rFonts w:asciiTheme="minorHAnsi" w:hAnsiTheme="minorHAnsi"/>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793"/>
        <w:gridCol w:w="921"/>
        <w:gridCol w:w="923"/>
        <w:gridCol w:w="974"/>
        <w:gridCol w:w="918"/>
        <w:gridCol w:w="945"/>
        <w:gridCol w:w="933"/>
        <w:gridCol w:w="937"/>
      </w:tblGrid>
      <w:tr w:rsidR="00130A60" w:rsidRPr="00375F6E" w:rsidTr="00617EB1">
        <w:tc>
          <w:tcPr>
            <w:tcW w:w="118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VR STU</w:t>
            </w:r>
          </w:p>
        </w:tc>
        <w:tc>
          <w:tcPr>
            <w:tcW w:w="85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SvF</w:t>
            </w:r>
          </w:p>
        </w:tc>
        <w:tc>
          <w:tcPr>
            <w:tcW w:w="1023"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SjF</w:t>
            </w:r>
          </w:p>
        </w:tc>
        <w:tc>
          <w:tcPr>
            <w:tcW w:w="1023"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FEI</w:t>
            </w: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FCHPT</w:t>
            </w: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FA</w:t>
            </w: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MTF</w:t>
            </w: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FIIT</w:t>
            </w: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STU</w:t>
            </w:r>
          </w:p>
        </w:tc>
      </w:tr>
      <w:tr w:rsidR="00130A60" w:rsidRPr="00375F6E" w:rsidTr="00617EB1">
        <w:tc>
          <w:tcPr>
            <w:tcW w:w="118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10.6.2015</w:t>
            </w:r>
          </w:p>
        </w:tc>
        <w:tc>
          <w:tcPr>
            <w:tcW w:w="858" w:type="dxa"/>
            <w:shd w:val="clear" w:color="auto" w:fill="auto"/>
          </w:tcPr>
          <w:p w:rsidR="00130A60" w:rsidRPr="00375F6E" w:rsidRDefault="00130A60" w:rsidP="00617EB1">
            <w:pPr>
              <w:rPr>
                <w:rFonts w:asciiTheme="minorHAnsi" w:hAnsiTheme="minorHAnsi"/>
                <w:sz w:val="20"/>
                <w:szCs w:val="20"/>
              </w:rPr>
            </w:pPr>
          </w:p>
        </w:tc>
        <w:tc>
          <w:tcPr>
            <w:tcW w:w="1023" w:type="dxa"/>
            <w:shd w:val="clear" w:color="auto" w:fill="auto"/>
          </w:tcPr>
          <w:p w:rsidR="00130A60" w:rsidRPr="00375F6E" w:rsidRDefault="00130A60" w:rsidP="00617EB1">
            <w:pPr>
              <w:rPr>
                <w:rFonts w:asciiTheme="minorHAnsi" w:hAnsiTheme="minorHAnsi"/>
                <w:sz w:val="20"/>
                <w:szCs w:val="20"/>
              </w:rPr>
            </w:pPr>
          </w:p>
        </w:tc>
        <w:tc>
          <w:tcPr>
            <w:tcW w:w="1023"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24"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r>
      <w:tr w:rsidR="00130A60" w:rsidRPr="00375F6E" w:rsidTr="00617EB1">
        <w:tc>
          <w:tcPr>
            <w:tcW w:w="118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28.10.2015</w:t>
            </w:r>
          </w:p>
        </w:tc>
        <w:tc>
          <w:tcPr>
            <w:tcW w:w="858" w:type="dxa"/>
            <w:shd w:val="clear" w:color="auto" w:fill="auto"/>
          </w:tcPr>
          <w:p w:rsidR="00130A60" w:rsidRPr="00375F6E" w:rsidRDefault="00130A60" w:rsidP="00617EB1">
            <w:pPr>
              <w:rPr>
                <w:rFonts w:asciiTheme="minorHAnsi" w:hAnsiTheme="minorHAnsi"/>
                <w:sz w:val="20"/>
                <w:szCs w:val="20"/>
              </w:rPr>
            </w:pPr>
          </w:p>
        </w:tc>
        <w:tc>
          <w:tcPr>
            <w:tcW w:w="1023" w:type="dxa"/>
            <w:shd w:val="clear" w:color="auto" w:fill="auto"/>
          </w:tcPr>
          <w:p w:rsidR="00130A60" w:rsidRPr="00375F6E" w:rsidRDefault="00130A60" w:rsidP="00617EB1">
            <w:pPr>
              <w:rPr>
                <w:rFonts w:asciiTheme="minorHAnsi" w:hAnsiTheme="minorHAnsi"/>
                <w:sz w:val="20"/>
                <w:szCs w:val="20"/>
              </w:rPr>
            </w:pPr>
          </w:p>
        </w:tc>
        <w:tc>
          <w:tcPr>
            <w:tcW w:w="1023"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24"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24"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w:t>
            </w:r>
          </w:p>
        </w:tc>
      </w:tr>
      <w:tr w:rsidR="00130A60" w:rsidRPr="00375F6E" w:rsidTr="00617EB1">
        <w:tc>
          <w:tcPr>
            <w:tcW w:w="118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9.12.2015</w:t>
            </w:r>
          </w:p>
        </w:tc>
        <w:tc>
          <w:tcPr>
            <w:tcW w:w="858" w:type="dxa"/>
            <w:shd w:val="clear" w:color="auto" w:fill="auto"/>
          </w:tcPr>
          <w:p w:rsidR="00130A60" w:rsidRPr="00375F6E" w:rsidRDefault="00130A60" w:rsidP="00617EB1">
            <w:pPr>
              <w:rPr>
                <w:rFonts w:asciiTheme="minorHAnsi" w:hAnsiTheme="minorHAnsi"/>
                <w:sz w:val="20"/>
                <w:szCs w:val="20"/>
              </w:rPr>
            </w:pPr>
          </w:p>
        </w:tc>
        <w:tc>
          <w:tcPr>
            <w:tcW w:w="1023" w:type="dxa"/>
            <w:shd w:val="clear" w:color="auto" w:fill="auto"/>
          </w:tcPr>
          <w:p w:rsidR="00130A60" w:rsidRPr="00375F6E" w:rsidRDefault="00130A60" w:rsidP="00617EB1">
            <w:pPr>
              <w:rPr>
                <w:rFonts w:asciiTheme="minorHAnsi" w:hAnsiTheme="minorHAnsi"/>
                <w:sz w:val="20"/>
                <w:szCs w:val="20"/>
              </w:rPr>
            </w:pPr>
          </w:p>
        </w:tc>
        <w:tc>
          <w:tcPr>
            <w:tcW w:w="1023"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w:t>
            </w:r>
          </w:p>
        </w:tc>
        <w:tc>
          <w:tcPr>
            <w:tcW w:w="1024"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2</w:t>
            </w:r>
          </w:p>
        </w:tc>
      </w:tr>
      <w:tr w:rsidR="00130A60" w:rsidRPr="00375F6E" w:rsidTr="00617EB1">
        <w:tc>
          <w:tcPr>
            <w:tcW w:w="1188"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Spolu</w:t>
            </w:r>
          </w:p>
        </w:tc>
        <w:tc>
          <w:tcPr>
            <w:tcW w:w="858" w:type="dxa"/>
            <w:shd w:val="clear" w:color="auto" w:fill="auto"/>
          </w:tcPr>
          <w:p w:rsidR="00130A60" w:rsidRPr="00375F6E" w:rsidRDefault="00130A60" w:rsidP="00617EB1">
            <w:pPr>
              <w:rPr>
                <w:rFonts w:asciiTheme="minorHAnsi" w:hAnsiTheme="minorHAnsi"/>
                <w:sz w:val="20"/>
                <w:szCs w:val="20"/>
              </w:rPr>
            </w:pPr>
          </w:p>
        </w:tc>
        <w:tc>
          <w:tcPr>
            <w:tcW w:w="1023" w:type="dxa"/>
            <w:shd w:val="clear" w:color="auto" w:fill="auto"/>
          </w:tcPr>
          <w:p w:rsidR="00130A60" w:rsidRPr="00375F6E" w:rsidRDefault="00130A60" w:rsidP="00617EB1">
            <w:pPr>
              <w:rPr>
                <w:rFonts w:asciiTheme="minorHAnsi" w:hAnsiTheme="minorHAnsi"/>
                <w:sz w:val="20"/>
                <w:szCs w:val="20"/>
              </w:rPr>
            </w:pPr>
          </w:p>
        </w:tc>
        <w:tc>
          <w:tcPr>
            <w:tcW w:w="1023"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4</w:t>
            </w:r>
          </w:p>
        </w:tc>
        <w:tc>
          <w:tcPr>
            <w:tcW w:w="1024"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1</w:t>
            </w:r>
          </w:p>
        </w:tc>
        <w:tc>
          <w:tcPr>
            <w:tcW w:w="1024" w:type="dxa"/>
            <w:shd w:val="clear" w:color="auto" w:fill="auto"/>
          </w:tcPr>
          <w:p w:rsidR="00130A60" w:rsidRPr="00375F6E" w:rsidRDefault="00130A60" w:rsidP="00617EB1">
            <w:pPr>
              <w:rPr>
                <w:rFonts w:asciiTheme="minorHAnsi" w:hAnsiTheme="minorHAnsi"/>
                <w:sz w:val="20"/>
                <w:szCs w:val="20"/>
              </w:rPr>
            </w:pPr>
          </w:p>
        </w:tc>
        <w:tc>
          <w:tcPr>
            <w:tcW w:w="1024" w:type="dxa"/>
            <w:shd w:val="clear" w:color="auto" w:fill="auto"/>
          </w:tcPr>
          <w:p w:rsidR="00130A60" w:rsidRPr="00375F6E" w:rsidRDefault="00130A60" w:rsidP="00617EB1">
            <w:pPr>
              <w:rPr>
                <w:rFonts w:asciiTheme="minorHAnsi" w:hAnsiTheme="minorHAnsi"/>
                <w:sz w:val="20"/>
                <w:szCs w:val="20"/>
              </w:rPr>
            </w:pPr>
            <w:r w:rsidRPr="00375F6E">
              <w:rPr>
                <w:rFonts w:asciiTheme="minorHAnsi" w:hAnsiTheme="minorHAnsi"/>
                <w:sz w:val="20"/>
                <w:szCs w:val="20"/>
              </w:rPr>
              <w:t>5</w:t>
            </w:r>
          </w:p>
        </w:tc>
      </w:tr>
    </w:tbl>
    <w:p w:rsidR="00130A60" w:rsidRPr="00375F6E" w:rsidRDefault="00130A60" w:rsidP="00130A60">
      <w:pPr>
        <w:rPr>
          <w:rFonts w:asciiTheme="minorHAnsi" w:hAnsiTheme="minorHAnsi"/>
          <w:color w:val="FF0000"/>
          <w:sz w:val="20"/>
          <w:szCs w:val="20"/>
        </w:rPr>
      </w:pPr>
    </w:p>
    <w:p w:rsidR="00130A60" w:rsidRPr="002D7A10" w:rsidRDefault="00130A60" w:rsidP="00130A60">
      <w:pPr>
        <w:autoSpaceDE w:val="0"/>
        <w:autoSpaceDN w:val="0"/>
        <w:adjustRightInd w:val="0"/>
        <w:rPr>
          <w:rFonts w:asciiTheme="minorHAnsi" w:hAnsiTheme="minorHAnsi"/>
        </w:rPr>
      </w:pPr>
      <w:r w:rsidRPr="002D7A10">
        <w:rPr>
          <w:rFonts w:asciiTheme="minorHAnsi" w:hAnsiTheme="minorHAnsi"/>
        </w:rPr>
        <w:t xml:space="preserve">Na zasadnutí Vedeckej rady STU dňa 9.12.2015 bol prerokovaný a schválený 1 čestný doktorát Prof. Dr.  </w:t>
      </w:r>
      <w:proofErr w:type="spellStart"/>
      <w:r w:rsidRPr="002D7A10">
        <w:rPr>
          <w:rFonts w:asciiTheme="minorHAnsi" w:hAnsiTheme="minorHAnsi"/>
        </w:rPr>
        <w:t>Imre</w:t>
      </w:r>
      <w:proofErr w:type="spellEnd"/>
      <w:r w:rsidRPr="002D7A10">
        <w:rPr>
          <w:rFonts w:asciiTheme="minorHAnsi" w:hAnsiTheme="minorHAnsi"/>
        </w:rPr>
        <w:t xml:space="preserve">  J. </w:t>
      </w:r>
      <w:proofErr w:type="spellStart"/>
      <w:r w:rsidRPr="002D7A10">
        <w:rPr>
          <w:rFonts w:asciiTheme="minorHAnsi" w:hAnsiTheme="minorHAnsi"/>
        </w:rPr>
        <w:t>Rudasovi</w:t>
      </w:r>
      <w:proofErr w:type="spellEnd"/>
      <w:r w:rsidRPr="002D7A10">
        <w:rPr>
          <w:rFonts w:asciiTheme="minorHAnsi" w:hAnsiTheme="minorHAnsi"/>
        </w:rPr>
        <w:t>.</w:t>
      </w:r>
    </w:p>
    <w:p w:rsidR="00F12D4B" w:rsidRPr="002D7A10" w:rsidRDefault="00F12D4B" w:rsidP="0023692D">
      <w:pPr>
        <w:rPr>
          <w:rFonts w:asciiTheme="minorHAnsi" w:hAnsiTheme="minorHAnsi"/>
          <w:b/>
          <w:color w:val="FF0000"/>
        </w:rPr>
      </w:pPr>
    </w:p>
    <w:p w:rsidR="0023692D" w:rsidRPr="002D7A10" w:rsidRDefault="0023692D" w:rsidP="0023692D">
      <w:pPr>
        <w:rPr>
          <w:rFonts w:asciiTheme="minorHAnsi" w:hAnsiTheme="minorHAnsi"/>
          <w:b/>
        </w:rPr>
      </w:pPr>
      <w:r w:rsidRPr="002D7A10">
        <w:rPr>
          <w:rFonts w:asciiTheme="minorHAnsi" w:hAnsiTheme="minorHAnsi"/>
        </w:rPr>
        <w:t>Vedecká rada STU prerokovala a schválila 6</w:t>
      </w:r>
      <w:r w:rsidRPr="002D7A10">
        <w:rPr>
          <w:rFonts w:asciiTheme="minorHAnsi" w:hAnsiTheme="minorHAnsi"/>
          <w:color w:val="FF0000"/>
        </w:rPr>
        <w:t xml:space="preserve"> </w:t>
      </w:r>
      <w:r w:rsidRPr="002D7A10">
        <w:rPr>
          <w:rFonts w:asciiTheme="minorHAnsi" w:hAnsiTheme="minorHAnsi"/>
        </w:rPr>
        <w:t xml:space="preserve">návrhov na uzatvorenie pracovného pomeru na miesto vysokoškolského učiteľa vo funkcii </w:t>
      </w:r>
      <w:r w:rsidRPr="002D7A10">
        <w:rPr>
          <w:rFonts w:asciiTheme="minorHAnsi" w:hAnsiTheme="minorHAnsi"/>
          <w:b/>
        </w:rPr>
        <w:t xml:space="preserve">„hosťujúci profesor“. </w:t>
      </w:r>
    </w:p>
    <w:p w:rsidR="00B51749" w:rsidRPr="002D7A10" w:rsidRDefault="00B51749" w:rsidP="00B51749">
      <w:pPr>
        <w:rPr>
          <w:rFonts w:asciiTheme="minorHAnsi" w:hAnsiTheme="minorHAnsi"/>
        </w:rPr>
      </w:pPr>
    </w:p>
    <w:p w:rsidR="009F67BE" w:rsidRPr="00375F6E" w:rsidRDefault="00B51749" w:rsidP="009F67BE">
      <w:pPr>
        <w:ind w:left="142"/>
        <w:rPr>
          <w:rFonts w:asciiTheme="minorHAnsi" w:hAnsiTheme="minorHAnsi"/>
          <w:b/>
          <w:sz w:val="20"/>
          <w:szCs w:val="20"/>
        </w:rPr>
      </w:pPr>
      <w:r w:rsidRPr="00375F6E">
        <w:rPr>
          <w:rFonts w:asciiTheme="minorHAnsi" w:hAnsiTheme="minorHAnsi"/>
          <w:b/>
          <w:sz w:val="20"/>
          <w:szCs w:val="20"/>
        </w:rPr>
        <w:lastRenderedPageBreak/>
        <w:t>Tabuľka 6.</w:t>
      </w:r>
      <w:r w:rsidR="0023692D" w:rsidRPr="00375F6E">
        <w:rPr>
          <w:rFonts w:asciiTheme="minorHAnsi" w:hAnsiTheme="minorHAnsi"/>
          <w:b/>
          <w:sz w:val="20"/>
          <w:szCs w:val="20"/>
        </w:rPr>
        <w:t>4</w:t>
      </w:r>
      <w:r w:rsidRPr="00375F6E">
        <w:rPr>
          <w:rFonts w:asciiTheme="minorHAnsi" w:hAnsiTheme="minorHAnsi"/>
          <w:b/>
          <w:sz w:val="20"/>
          <w:szCs w:val="20"/>
        </w:rPr>
        <w:t>: Návrhy na udelenie</w:t>
      </w:r>
      <w:r w:rsidR="0023692D" w:rsidRPr="00375F6E">
        <w:rPr>
          <w:rFonts w:asciiTheme="minorHAnsi" w:hAnsiTheme="minorHAnsi"/>
          <w:b/>
          <w:sz w:val="20"/>
          <w:szCs w:val="20"/>
        </w:rPr>
        <w:t xml:space="preserve"> titulu „hosťujúci profesor“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785"/>
        <w:gridCol w:w="908"/>
        <w:gridCol w:w="910"/>
        <w:gridCol w:w="969"/>
        <w:gridCol w:w="904"/>
        <w:gridCol w:w="935"/>
        <w:gridCol w:w="921"/>
        <w:gridCol w:w="927"/>
      </w:tblGrid>
      <w:tr w:rsidR="009F67BE" w:rsidRPr="00375F6E" w:rsidTr="00617EB1">
        <w:tc>
          <w:tcPr>
            <w:tcW w:w="1296"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VR STU</w:t>
            </w:r>
          </w:p>
        </w:tc>
        <w:tc>
          <w:tcPr>
            <w:tcW w:w="855"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SvF</w:t>
            </w:r>
          </w:p>
        </w:tc>
        <w:tc>
          <w:tcPr>
            <w:tcW w:w="1018"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SjF</w:t>
            </w:r>
          </w:p>
        </w:tc>
        <w:tc>
          <w:tcPr>
            <w:tcW w:w="1018"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FEI</w:t>
            </w:r>
          </w:p>
        </w:tc>
        <w:tc>
          <w:tcPr>
            <w:tcW w:w="1023"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FCHPT</w:t>
            </w:r>
          </w:p>
        </w:tc>
        <w:tc>
          <w:tcPr>
            <w:tcW w:w="1018"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FA</w:t>
            </w:r>
          </w:p>
        </w:tc>
        <w:tc>
          <w:tcPr>
            <w:tcW w:w="1020"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MTF</w:t>
            </w:r>
          </w:p>
        </w:tc>
        <w:tc>
          <w:tcPr>
            <w:tcW w:w="1020"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FIIT</w:t>
            </w:r>
          </w:p>
        </w:tc>
        <w:tc>
          <w:tcPr>
            <w:tcW w:w="1020"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STU</w:t>
            </w:r>
          </w:p>
        </w:tc>
      </w:tr>
      <w:tr w:rsidR="009F67BE" w:rsidRPr="00375F6E" w:rsidTr="00617EB1">
        <w:tc>
          <w:tcPr>
            <w:tcW w:w="1296"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28.1.2015</w:t>
            </w:r>
          </w:p>
        </w:tc>
        <w:tc>
          <w:tcPr>
            <w:tcW w:w="855" w:type="dxa"/>
            <w:shd w:val="clear" w:color="auto" w:fill="auto"/>
          </w:tcPr>
          <w:p w:rsidR="009F67BE" w:rsidRPr="00375F6E" w:rsidRDefault="009F67BE" w:rsidP="00617EB1">
            <w:pPr>
              <w:rPr>
                <w:rFonts w:asciiTheme="minorHAnsi" w:hAnsiTheme="minorHAnsi"/>
                <w:sz w:val="20"/>
                <w:szCs w:val="20"/>
              </w:rPr>
            </w:pPr>
          </w:p>
        </w:tc>
        <w:tc>
          <w:tcPr>
            <w:tcW w:w="1018" w:type="dxa"/>
            <w:shd w:val="clear" w:color="auto" w:fill="auto"/>
          </w:tcPr>
          <w:p w:rsidR="009F67BE" w:rsidRPr="00375F6E" w:rsidRDefault="009F67BE" w:rsidP="00617EB1">
            <w:pPr>
              <w:rPr>
                <w:rFonts w:asciiTheme="minorHAnsi" w:hAnsiTheme="minorHAnsi"/>
                <w:sz w:val="20"/>
                <w:szCs w:val="20"/>
              </w:rPr>
            </w:pPr>
          </w:p>
        </w:tc>
        <w:tc>
          <w:tcPr>
            <w:tcW w:w="1018" w:type="dxa"/>
            <w:shd w:val="clear" w:color="auto" w:fill="auto"/>
          </w:tcPr>
          <w:p w:rsidR="009F67BE" w:rsidRPr="00375F6E" w:rsidRDefault="009F67BE" w:rsidP="00617EB1">
            <w:pPr>
              <w:rPr>
                <w:rFonts w:asciiTheme="minorHAnsi" w:hAnsiTheme="minorHAnsi"/>
                <w:sz w:val="20"/>
                <w:szCs w:val="20"/>
              </w:rPr>
            </w:pPr>
          </w:p>
        </w:tc>
        <w:tc>
          <w:tcPr>
            <w:tcW w:w="1023" w:type="dxa"/>
            <w:shd w:val="clear" w:color="auto" w:fill="auto"/>
          </w:tcPr>
          <w:p w:rsidR="009F67BE" w:rsidRPr="00375F6E" w:rsidRDefault="009F67BE" w:rsidP="00617EB1">
            <w:pPr>
              <w:rPr>
                <w:rFonts w:asciiTheme="minorHAnsi" w:hAnsiTheme="minorHAnsi"/>
                <w:sz w:val="20"/>
                <w:szCs w:val="20"/>
              </w:rPr>
            </w:pPr>
          </w:p>
        </w:tc>
        <w:tc>
          <w:tcPr>
            <w:tcW w:w="1018" w:type="dxa"/>
            <w:shd w:val="clear" w:color="auto" w:fill="auto"/>
          </w:tcPr>
          <w:p w:rsidR="009F67BE" w:rsidRPr="00375F6E" w:rsidRDefault="009F67BE" w:rsidP="00617EB1">
            <w:pPr>
              <w:rPr>
                <w:rFonts w:asciiTheme="minorHAnsi" w:hAnsiTheme="minorHAnsi"/>
                <w:sz w:val="20"/>
                <w:szCs w:val="20"/>
              </w:rPr>
            </w:pPr>
          </w:p>
        </w:tc>
        <w:tc>
          <w:tcPr>
            <w:tcW w:w="1020"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2</w:t>
            </w:r>
          </w:p>
        </w:tc>
        <w:tc>
          <w:tcPr>
            <w:tcW w:w="1020" w:type="dxa"/>
            <w:shd w:val="clear" w:color="auto" w:fill="auto"/>
          </w:tcPr>
          <w:p w:rsidR="009F67BE" w:rsidRPr="00375F6E" w:rsidRDefault="009F67BE" w:rsidP="00617EB1">
            <w:pPr>
              <w:rPr>
                <w:rFonts w:asciiTheme="minorHAnsi" w:hAnsiTheme="minorHAnsi"/>
                <w:sz w:val="20"/>
                <w:szCs w:val="20"/>
              </w:rPr>
            </w:pPr>
          </w:p>
        </w:tc>
        <w:tc>
          <w:tcPr>
            <w:tcW w:w="1020" w:type="dxa"/>
            <w:shd w:val="clear" w:color="auto" w:fill="auto"/>
          </w:tcPr>
          <w:p w:rsidR="009F67BE" w:rsidRPr="00375F6E" w:rsidRDefault="009F67BE" w:rsidP="00617EB1">
            <w:pPr>
              <w:rPr>
                <w:rFonts w:asciiTheme="minorHAnsi" w:hAnsiTheme="minorHAnsi"/>
                <w:color w:val="000000"/>
                <w:sz w:val="20"/>
                <w:szCs w:val="20"/>
              </w:rPr>
            </w:pPr>
            <w:r w:rsidRPr="00375F6E">
              <w:rPr>
                <w:rFonts w:asciiTheme="minorHAnsi" w:hAnsiTheme="minorHAnsi"/>
                <w:color w:val="000000"/>
                <w:sz w:val="20"/>
                <w:szCs w:val="20"/>
              </w:rPr>
              <w:t>2</w:t>
            </w:r>
          </w:p>
        </w:tc>
      </w:tr>
      <w:tr w:rsidR="009F67BE" w:rsidRPr="00375F6E" w:rsidTr="00617EB1">
        <w:tc>
          <w:tcPr>
            <w:tcW w:w="1296"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10.6.2015</w:t>
            </w:r>
          </w:p>
        </w:tc>
        <w:tc>
          <w:tcPr>
            <w:tcW w:w="855" w:type="dxa"/>
            <w:shd w:val="clear" w:color="auto" w:fill="auto"/>
          </w:tcPr>
          <w:p w:rsidR="009F67BE" w:rsidRPr="00375F6E" w:rsidRDefault="009F67BE" w:rsidP="00617EB1">
            <w:pPr>
              <w:rPr>
                <w:rFonts w:asciiTheme="minorHAnsi" w:hAnsiTheme="minorHAnsi"/>
                <w:sz w:val="20"/>
                <w:szCs w:val="20"/>
              </w:rPr>
            </w:pPr>
          </w:p>
        </w:tc>
        <w:tc>
          <w:tcPr>
            <w:tcW w:w="1018" w:type="dxa"/>
            <w:shd w:val="clear" w:color="auto" w:fill="auto"/>
          </w:tcPr>
          <w:p w:rsidR="009F67BE" w:rsidRPr="00375F6E" w:rsidRDefault="009F67BE" w:rsidP="00617EB1">
            <w:pPr>
              <w:rPr>
                <w:rFonts w:asciiTheme="minorHAnsi" w:hAnsiTheme="minorHAnsi"/>
                <w:sz w:val="20"/>
                <w:szCs w:val="20"/>
              </w:rPr>
            </w:pPr>
          </w:p>
        </w:tc>
        <w:tc>
          <w:tcPr>
            <w:tcW w:w="1018" w:type="dxa"/>
            <w:shd w:val="clear" w:color="auto" w:fill="auto"/>
          </w:tcPr>
          <w:p w:rsidR="009F67BE" w:rsidRPr="00375F6E" w:rsidRDefault="009F67BE" w:rsidP="00617EB1">
            <w:pPr>
              <w:rPr>
                <w:rFonts w:asciiTheme="minorHAnsi" w:hAnsiTheme="minorHAnsi"/>
                <w:sz w:val="20"/>
                <w:szCs w:val="20"/>
              </w:rPr>
            </w:pPr>
          </w:p>
        </w:tc>
        <w:tc>
          <w:tcPr>
            <w:tcW w:w="1023" w:type="dxa"/>
            <w:shd w:val="clear" w:color="auto" w:fill="auto"/>
          </w:tcPr>
          <w:p w:rsidR="009F67BE" w:rsidRPr="00375F6E" w:rsidRDefault="009F67BE" w:rsidP="00617EB1">
            <w:pPr>
              <w:rPr>
                <w:rFonts w:asciiTheme="minorHAnsi" w:hAnsiTheme="minorHAnsi"/>
                <w:sz w:val="20"/>
                <w:szCs w:val="20"/>
              </w:rPr>
            </w:pPr>
          </w:p>
        </w:tc>
        <w:tc>
          <w:tcPr>
            <w:tcW w:w="1018"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3</w:t>
            </w:r>
          </w:p>
        </w:tc>
        <w:tc>
          <w:tcPr>
            <w:tcW w:w="1020" w:type="dxa"/>
            <w:shd w:val="clear" w:color="auto" w:fill="auto"/>
          </w:tcPr>
          <w:p w:rsidR="009F67BE" w:rsidRPr="00375F6E" w:rsidRDefault="009F67BE" w:rsidP="00617EB1">
            <w:pPr>
              <w:rPr>
                <w:rFonts w:asciiTheme="minorHAnsi" w:hAnsiTheme="minorHAnsi"/>
                <w:sz w:val="20"/>
                <w:szCs w:val="20"/>
              </w:rPr>
            </w:pPr>
          </w:p>
        </w:tc>
        <w:tc>
          <w:tcPr>
            <w:tcW w:w="1020" w:type="dxa"/>
            <w:shd w:val="clear" w:color="auto" w:fill="auto"/>
          </w:tcPr>
          <w:p w:rsidR="009F67BE" w:rsidRPr="00375F6E" w:rsidRDefault="009F67BE" w:rsidP="00617EB1">
            <w:pPr>
              <w:rPr>
                <w:rFonts w:asciiTheme="minorHAnsi" w:hAnsiTheme="minorHAnsi"/>
                <w:sz w:val="20"/>
                <w:szCs w:val="20"/>
              </w:rPr>
            </w:pPr>
          </w:p>
        </w:tc>
        <w:tc>
          <w:tcPr>
            <w:tcW w:w="1020" w:type="dxa"/>
            <w:shd w:val="clear" w:color="auto" w:fill="auto"/>
          </w:tcPr>
          <w:p w:rsidR="009F67BE" w:rsidRPr="00375F6E" w:rsidRDefault="009F67BE" w:rsidP="00617EB1">
            <w:pPr>
              <w:rPr>
                <w:rFonts w:asciiTheme="minorHAnsi" w:hAnsiTheme="minorHAnsi"/>
                <w:color w:val="000000"/>
                <w:sz w:val="20"/>
                <w:szCs w:val="20"/>
              </w:rPr>
            </w:pPr>
            <w:r w:rsidRPr="00375F6E">
              <w:rPr>
                <w:rFonts w:asciiTheme="minorHAnsi" w:hAnsiTheme="minorHAnsi"/>
                <w:color w:val="000000"/>
                <w:sz w:val="20"/>
                <w:szCs w:val="20"/>
              </w:rPr>
              <w:t>3</w:t>
            </w:r>
          </w:p>
        </w:tc>
      </w:tr>
      <w:tr w:rsidR="009F67BE" w:rsidRPr="00375F6E" w:rsidTr="00617EB1">
        <w:tc>
          <w:tcPr>
            <w:tcW w:w="1296"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28.10.2015</w:t>
            </w:r>
          </w:p>
        </w:tc>
        <w:tc>
          <w:tcPr>
            <w:tcW w:w="855"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1</w:t>
            </w:r>
          </w:p>
        </w:tc>
        <w:tc>
          <w:tcPr>
            <w:tcW w:w="1018" w:type="dxa"/>
            <w:shd w:val="clear" w:color="auto" w:fill="auto"/>
          </w:tcPr>
          <w:p w:rsidR="009F67BE" w:rsidRPr="00375F6E" w:rsidRDefault="009F67BE" w:rsidP="00617EB1">
            <w:pPr>
              <w:rPr>
                <w:rFonts w:asciiTheme="minorHAnsi" w:hAnsiTheme="minorHAnsi"/>
                <w:sz w:val="20"/>
                <w:szCs w:val="20"/>
              </w:rPr>
            </w:pPr>
          </w:p>
        </w:tc>
        <w:tc>
          <w:tcPr>
            <w:tcW w:w="1018" w:type="dxa"/>
            <w:shd w:val="clear" w:color="auto" w:fill="auto"/>
          </w:tcPr>
          <w:p w:rsidR="009F67BE" w:rsidRPr="00375F6E" w:rsidRDefault="009F67BE" w:rsidP="00617EB1">
            <w:pPr>
              <w:rPr>
                <w:rFonts w:asciiTheme="minorHAnsi" w:hAnsiTheme="minorHAnsi"/>
                <w:sz w:val="20"/>
                <w:szCs w:val="20"/>
              </w:rPr>
            </w:pPr>
          </w:p>
        </w:tc>
        <w:tc>
          <w:tcPr>
            <w:tcW w:w="1023" w:type="dxa"/>
            <w:shd w:val="clear" w:color="auto" w:fill="auto"/>
          </w:tcPr>
          <w:p w:rsidR="009F67BE" w:rsidRPr="00375F6E" w:rsidRDefault="009F67BE" w:rsidP="00617EB1">
            <w:pPr>
              <w:rPr>
                <w:rFonts w:asciiTheme="minorHAnsi" w:hAnsiTheme="minorHAnsi"/>
                <w:sz w:val="20"/>
                <w:szCs w:val="20"/>
              </w:rPr>
            </w:pPr>
          </w:p>
        </w:tc>
        <w:tc>
          <w:tcPr>
            <w:tcW w:w="1018" w:type="dxa"/>
            <w:shd w:val="clear" w:color="auto" w:fill="auto"/>
          </w:tcPr>
          <w:p w:rsidR="009F67BE" w:rsidRPr="00375F6E" w:rsidRDefault="009F67BE" w:rsidP="00617EB1">
            <w:pPr>
              <w:rPr>
                <w:rFonts w:asciiTheme="minorHAnsi" w:hAnsiTheme="minorHAnsi"/>
                <w:sz w:val="20"/>
                <w:szCs w:val="20"/>
              </w:rPr>
            </w:pPr>
          </w:p>
        </w:tc>
        <w:tc>
          <w:tcPr>
            <w:tcW w:w="1020" w:type="dxa"/>
            <w:shd w:val="clear" w:color="auto" w:fill="auto"/>
          </w:tcPr>
          <w:p w:rsidR="009F67BE" w:rsidRPr="00375F6E" w:rsidRDefault="009F67BE" w:rsidP="00617EB1">
            <w:pPr>
              <w:rPr>
                <w:rFonts w:asciiTheme="minorHAnsi" w:hAnsiTheme="minorHAnsi"/>
                <w:sz w:val="20"/>
                <w:szCs w:val="20"/>
              </w:rPr>
            </w:pPr>
          </w:p>
        </w:tc>
        <w:tc>
          <w:tcPr>
            <w:tcW w:w="1020" w:type="dxa"/>
            <w:shd w:val="clear" w:color="auto" w:fill="auto"/>
          </w:tcPr>
          <w:p w:rsidR="009F67BE" w:rsidRPr="00375F6E" w:rsidRDefault="009F67BE" w:rsidP="00617EB1">
            <w:pPr>
              <w:rPr>
                <w:rFonts w:asciiTheme="minorHAnsi" w:hAnsiTheme="minorHAnsi"/>
                <w:sz w:val="20"/>
                <w:szCs w:val="20"/>
              </w:rPr>
            </w:pPr>
          </w:p>
        </w:tc>
        <w:tc>
          <w:tcPr>
            <w:tcW w:w="1020" w:type="dxa"/>
            <w:shd w:val="clear" w:color="auto" w:fill="auto"/>
          </w:tcPr>
          <w:p w:rsidR="009F67BE" w:rsidRPr="00375F6E" w:rsidRDefault="009F67BE" w:rsidP="00617EB1">
            <w:pPr>
              <w:rPr>
                <w:rFonts w:asciiTheme="minorHAnsi" w:hAnsiTheme="minorHAnsi"/>
                <w:color w:val="000000"/>
                <w:sz w:val="20"/>
                <w:szCs w:val="20"/>
              </w:rPr>
            </w:pPr>
            <w:r w:rsidRPr="00375F6E">
              <w:rPr>
                <w:rFonts w:asciiTheme="minorHAnsi" w:hAnsiTheme="minorHAnsi"/>
                <w:color w:val="000000"/>
                <w:sz w:val="20"/>
                <w:szCs w:val="20"/>
              </w:rPr>
              <w:t>1</w:t>
            </w:r>
          </w:p>
        </w:tc>
      </w:tr>
      <w:tr w:rsidR="009F67BE" w:rsidRPr="00375F6E" w:rsidTr="00617EB1">
        <w:tc>
          <w:tcPr>
            <w:tcW w:w="1296"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Spolu</w:t>
            </w:r>
          </w:p>
        </w:tc>
        <w:tc>
          <w:tcPr>
            <w:tcW w:w="855" w:type="dxa"/>
            <w:shd w:val="clear" w:color="auto" w:fill="auto"/>
          </w:tcPr>
          <w:p w:rsidR="009F67BE" w:rsidRPr="00375F6E" w:rsidRDefault="009F67BE" w:rsidP="00617EB1">
            <w:pPr>
              <w:rPr>
                <w:rFonts w:asciiTheme="minorHAnsi" w:hAnsiTheme="minorHAnsi"/>
                <w:color w:val="000000"/>
                <w:sz w:val="20"/>
                <w:szCs w:val="20"/>
              </w:rPr>
            </w:pPr>
            <w:r w:rsidRPr="00375F6E">
              <w:rPr>
                <w:rFonts w:asciiTheme="minorHAnsi" w:hAnsiTheme="minorHAnsi"/>
                <w:color w:val="000000"/>
                <w:sz w:val="20"/>
                <w:szCs w:val="20"/>
              </w:rPr>
              <w:t>1</w:t>
            </w:r>
          </w:p>
        </w:tc>
        <w:tc>
          <w:tcPr>
            <w:tcW w:w="1018" w:type="dxa"/>
            <w:shd w:val="clear" w:color="auto" w:fill="auto"/>
          </w:tcPr>
          <w:p w:rsidR="009F67BE" w:rsidRPr="00375F6E" w:rsidRDefault="009F67BE" w:rsidP="00617EB1">
            <w:pPr>
              <w:rPr>
                <w:rFonts w:asciiTheme="minorHAnsi" w:hAnsiTheme="minorHAnsi"/>
                <w:sz w:val="20"/>
                <w:szCs w:val="20"/>
              </w:rPr>
            </w:pPr>
          </w:p>
        </w:tc>
        <w:tc>
          <w:tcPr>
            <w:tcW w:w="1018" w:type="dxa"/>
            <w:shd w:val="clear" w:color="auto" w:fill="auto"/>
          </w:tcPr>
          <w:p w:rsidR="009F67BE" w:rsidRPr="00375F6E" w:rsidRDefault="009F67BE" w:rsidP="00617EB1">
            <w:pPr>
              <w:rPr>
                <w:rFonts w:asciiTheme="minorHAnsi" w:hAnsiTheme="minorHAnsi"/>
                <w:sz w:val="20"/>
                <w:szCs w:val="20"/>
              </w:rPr>
            </w:pPr>
          </w:p>
        </w:tc>
        <w:tc>
          <w:tcPr>
            <w:tcW w:w="1023" w:type="dxa"/>
            <w:shd w:val="clear" w:color="auto" w:fill="auto"/>
          </w:tcPr>
          <w:p w:rsidR="009F67BE" w:rsidRPr="00375F6E" w:rsidRDefault="009F67BE" w:rsidP="00617EB1">
            <w:pPr>
              <w:rPr>
                <w:rFonts w:asciiTheme="minorHAnsi" w:hAnsiTheme="minorHAnsi"/>
                <w:sz w:val="20"/>
                <w:szCs w:val="20"/>
              </w:rPr>
            </w:pPr>
          </w:p>
        </w:tc>
        <w:tc>
          <w:tcPr>
            <w:tcW w:w="1018"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3</w:t>
            </w:r>
          </w:p>
        </w:tc>
        <w:tc>
          <w:tcPr>
            <w:tcW w:w="1020"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2</w:t>
            </w:r>
          </w:p>
        </w:tc>
        <w:tc>
          <w:tcPr>
            <w:tcW w:w="1020" w:type="dxa"/>
            <w:shd w:val="clear" w:color="auto" w:fill="auto"/>
          </w:tcPr>
          <w:p w:rsidR="009F67BE" w:rsidRPr="00375F6E" w:rsidRDefault="009F67BE" w:rsidP="00617EB1">
            <w:pPr>
              <w:rPr>
                <w:rFonts w:asciiTheme="minorHAnsi" w:hAnsiTheme="minorHAnsi"/>
                <w:sz w:val="20"/>
                <w:szCs w:val="20"/>
              </w:rPr>
            </w:pPr>
          </w:p>
        </w:tc>
        <w:tc>
          <w:tcPr>
            <w:tcW w:w="1020" w:type="dxa"/>
            <w:shd w:val="clear" w:color="auto" w:fill="auto"/>
          </w:tcPr>
          <w:p w:rsidR="009F67BE" w:rsidRPr="00375F6E" w:rsidRDefault="009F67BE" w:rsidP="00617EB1">
            <w:pPr>
              <w:rPr>
                <w:rFonts w:asciiTheme="minorHAnsi" w:hAnsiTheme="minorHAnsi"/>
                <w:sz w:val="20"/>
                <w:szCs w:val="20"/>
              </w:rPr>
            </w:pPr>
            <w:r w:rsidRPr="00375F6E">
              <w:rPr>
                <w:rFonts w:asciiTheme="minorHAnsi" w:hAnsiTheme="minorHAnsi"/>
                <w:sz w:val="20"/>
                <w:szCs w:val="20"/>
              </w:rPr>
              <w:t>6</w:t>
            </w:r>
          </w:p>
        </w:tc>
      </w:tr>
    </w:tbl>
    <w:p w:rsidR="0023692D" w:rsidRPr="00375F6E" w:rsidRDefault="0023692D" w:rsidP="0023692D">
      <w:pPr>
        <w:ind w:left="142"/>
        <w:rPr>
          <w:rFonts w:asciiTheme="minorHAnsi" w:hAnsiTheme="minorHAnsi"/>
          <w:b/>
          <w:color w:val="FF0000"/>
          <w:sz w:val="20"/>
          <w:szCs w:val="20"/>
        </w:rPr>
      </w:pPr>
    </w:p>
    <w:p w:rsidR="00915A81" w:rsidRPr="002D7A10" w:rsidRDefault="00915A81" w:rsidP="00915A81">
      <w:pPr>
        <w:rPr>
          <w:rFonts w:asciiTheme="minorHAnsi" w:hAnsiTheme="minorHAnsi"/>
          <w:b/>
        </w:rPr>
      </w:pPr>
      <w:r w:rsidRPr="002D7A10">
        <w:rPr>
          <w:rFonts w:asciiTheme="minorHAnsi" w:hAnsiTheme="minorHAnsi"/>
          <w:b/>
        </w:rPr>
        <w:t>Hosťujúci profesori na STU v roku 2015:</w:t>
      </w:r>
    </w:p>
    <w:p w:rsidR="00915A81" w:rsidRPr="002D7A10" w:rsidRDefault="00915A81" w:rsidP="00915A81">
      <w:pPr>
        <w:rPr>
          <w:rFonts w:asciiTheme="minorHAnsi" w:hAnsiTheme="minorHAnsi"/>
          <w:u w:val="single"/>
        </w:rPr>
      </w:pPr>
      <w:r w:rsidRPr="002D7A10">
        <w:rPr>
          <w:rFonts w:asciiTheme="minorHAnsi" w:hAnsiTheme="minorHAnsi"/>
          <w:u w:val="single"/>
        </w:rPr>
        <w:t>28.1.2015</w:t>
      </w:r>
    </w:p>
    <w:p w:rsidR="00915A81" w:rsidRPr="002D7A10" w:rsidRDefault="00915A81" w:rsidP="00915A81">
      <w:pPr>
        <w:rPr>
          <w:rFonts w:asciiTheme="minorHAnsi" w:hAnsiTheme="minorHAnsi"/>
        </w:rPr>
      </w:pPr>
      <w:r w:rsidRPr="002D7A10">
        <w:rPr>
          <w:rFonts w:asciiTheme="minorHAnsi" w:hAnsiTheme="minorHAnsi"/>
        </w:rPr>
        <w:t xml:space="preserve">Ing. Peter </w:t>
      </w:r>
      <w:proofErr w:type="spellStart"/>
      <w:r w:rsidRPr="002D7A10">
        <w:rPr>
          <w:rFonts w:asciiTheme="minorHAnsi" w:hAnsiTheme="minorHAnsi"/>
        </w:rPr>
        <w:t>Fodrek</w:t>
      </w:r>
      <w:proofErr w:type="spellEnd"/>
      <w:r w:rsidRPr="002D7A10">
        <w:rPr>
          <w:rFonts w:asciiTheme="minorHAnsi" w:hAnsiTheme="minorHAnsi"/>
        </w:rPr>
        <w:t xml:space="preserve">, PhD. </w:t>
      </w:r>
    </w:p>
    <w:p w:rsidR="00915A81" w:rsidRPr="002D7A10" w:rsidRDefault="00915A81" w:rsidP="00915A81">
      <w:pPr>
        <w:rPr>
          <w:rFonts w:asciiTheme="minorHAnsi" w:hAnsiTheme="minorHAnsi"/>
        </w:rPr>
      </w:pPr>
      <w:proofErr w:type="spellStart"/>
      <w:r w:rsidRPr="002D7A10">
        <w:rPr>
          <w:rFonts w:asciiTheme="minorHAnsi" w:hAnsiTheme="minorHAnsi"/>
        </w:rPr>
        <w:t>Dr.rer.nat</w:t>
      </w:r>
      <w:proofErr w:type="spellEnd"/>
      <w:r w:rsidRPr="002D7A10">
        <w:rPr>
          <w:rFonts w:asciiTheme="minorHAnsi" w:hAnsiTheme="minorHAnsi"/>
        </w:rPr>
        <w:t xml:space="preserve">. </w:t>
      </w:r>
      <w:proofErr w:type="spellStart"/>
      <w:r w:rsidRPr="002D7A10">
        <w:rPr>
          <w:rFonts w:asciiTheme="minorHAnsi" w:hAnsiTheme="minorHAnsi"/>
        </w:rPr>
        <w:t>Andreas</w:t>
      </w:r>
      <w:proofErr w:type="spellEnd"/>
      <w:r w:rsidRPr="002D7A10">
        <w:rPr>
          <w:rFonts w:asciiTheme="minorHAnsi" w:hAnsiTheme="minorHAnsi"/>
        </w:rPr>
        <w:t xml:space="preserve"> </w:t>
      </w:r>
      <w:proofErr w:type="spellStart"/>
      <w:r w:rsidRPr="002D7A10">
        <w:rPr>
          <w:rFonts w:asciiTheme="minorHAnsi" w:hAnsiTheme="minorHAnsi"/>
        </w:rPr>
        <w:t>Kolitsch</w:t>
      </w:r>
      <w:proofErr w:type="spellEnd"/>
      <w:r w:rsidRPr="002D7A10">
        <w:rPr>
          <w:rFonts w:asciiTheme="minorHAnsi" w:hAnsiTheme="minorHAnsi"/>
        </w:rPr>
        <w:t xml:space="preserve"> </w:t>
      </w:r>
    </w:p>
    <w:p w:rsidR="00915A81" w:rsidRPr="002D7A10" w:rsidRDefault="00915A81" w:rsidP="00915A81">
      <w:pPr>
        <w:rPr>
          <w:rFonts w:asciiTheme="minorHAnsi" w:hAnsiTheme="minorHAnsi"/>
          <w:u w:val="single"/>
        </w:rPr>
      </w:pPr>
      <w:r w:rsidRPr="002D7A10">
        <w:rPr>
          <w:rFonts w:asciiTheme="minorHAnsi" w:hAnsiTheme="minorHAnsi"/>
          <w:u w:val="single"/>
        </w:rPr>
        <w:t>10.6.2015</w:t>
      </w:r>
    </w:p>
    <w:p w:rsidR="00915A81" w:rsidRPr="002D7A10" w:rsidRDefault="00915A81" w:rsidP="00915A81">
      <w:pPr>
        <w:tabs>
          <w:tab w:val="left" w:pos="284"/>
          <w:tab w:val="left" w:pos="7371"/>
          <w:tab w:val="left" w:pos="7797"/>
          <w:tab w:val="left" w:pos="8647"/>
        </w:tabs>
        <w:rPr>
          <w:rFonts w:asciiTheme="minorHAnsi" w:hAnsiTheme="minorHAnsi" w:cs="Calibri"/>
        </w:rPr>
      </w:pPr>
      <w:r w:rsidRPr="002D7A10">
        <w:rPr>
          <w:rFonts w:asciiTheme="minorHAnsi" w:hAnsiTheme="minorHAnsi" w:cs="Calibri"/>
        </w:rPr>
        <w:t xml:space="preserve">Ing. arch. Ľubomír Závodný </w:t>
      </w:r>
    </w:p>
    <w:p w:rsidR="00915A81" w:rsidRPr="002D7A10" w:rsidRDefault="00915A81" w:rsidP="00915A81">
      <w:pPr>
        <w:tabs>
          <w:tab w:val="left" w:pos="284"/>
          <w:tab w:val="left" w:pos="7371"/>
          <w:tab w:val="left" w:pos="7797"/>
          <w:tab w:val="left" w:pos="8647"/>
        </w:tabs>
        <w:rPr>
          <w:rFonts w:asciiTheme="minorHAnsi" w:hAnsiTheme="minorHAnsi" w:cs="Calibri"/>
        </w:rPr>
      </w:pPr>
      <w:r w:rsidRPr="002D7A10">
        <w:rPr>
          <w:rFonts w:asciiTheme="minorHAnsi" w:hAnsiTheme="minorHAnsi" w:cs="Calibri"/>
        </w:rPr>
        <w:t xml:space="preserve">Ing. arch. Pavel </w:t>
      </w:r>
      <w:proofErr w:type="spellStart"/>
      <w:r w:rsidRPr="002D7A10">
        <w:rPr>
          <w:rFonts w:asciiTheme="minorHAnsi" w:hAnsiTheme="minorHAnsi" w:cs="Calibri"/>
        </w:rPr>
        <w:t>Paňák</w:t>
      </w:r>
      <w:proofErr w:type="spellEnd"/>
      <w:r w:rsidRPr="002D7A10">
        <w:rPr>
          <w:rFonts w:asciiTheme="minorHAnsi" w:hAnsiTheme="minorHAnsi" w:cs="Calibri"/>
        </w:rPr>
        <w:t xml:space="preserve"> </w:t>
      </w:r>
    </w:p>
    <w:p w:rsidR="00915A81" w:rsidRPr="002D7A10" w:rsidRDefault="00915A81" w:rsidP="00915A81">
      <w:pPr>
        <w:tabs>
          <w:tab w:val="left" w:pos="284"/>
          <w:tab w:val="left" w:pos="7371"/>
          <w:tab w:val="left" w:pos="7797"/>
          <w:tab w:val="left" w:pos="8647"/>
        </w:tabs>
        <w:rPr>
          <w:rFonts w:asciiTheme="minorHAnsi" w:hAnsiTheme="minorHAnsi" w:cs="Calibri"/>
        </w:rPr>
      </w:pPr>
      <w:r w:rsidRPr="002D7A10">
        <w:rPr>
          <w:rFonts w:asciiTheme="minorHAnsi" w:hAnsiTheme="minorHAnsi" w:cs="Calibri"/>
        </w:rPr>
        <w:t xml:space="preserve">Ing. arch. Andrej </w:t>
      </w:r>
      <w:proofErr w:type="spellStart"/>
      <w:r w:rsidRPr="002D7A10">
        <w:rPr>
          <w:rFonts w:asciiTheme="minorHAnsi" w:hAnsiTheme="minorHAnsi" w:cs="Calibri"/>
        </w:rPr>
        <w:t>Alexy</w:t>
      </w:r>
      <w:proofErr w:type="spellEnd"/>
      <w:r w:rsidRPr="002D7A10">
        <w:rPr>
          <w:rFonts w:asciiTheme="minorHAnsi" w:hAnsiTheme="minorHAnsi" w:cs="Calibri"/>
        </w:rPr>
        <w:t xml:space="preserve"> </w:t>
      </w:r>
    </w:p>
    <w:p w:rsidR="00915A81" w:rsidRPr="002D7A10" w:rsidRDefault="00915A81" w:rsidP="00915A81">
      <w:pPr>
        <w:tabs>
          <w:tab w:val="left" w:pos="284"/>
          <w:tab w:val="left" w:pos="7371"/>
          <w:tab w:val="left" w:pos="7797"/>
          <w:tab w:val="left" w:pos="8647"/>
        </w:tabs>
        <w:rPr>
          <w:rFonts w:asciiTheme="minorHAnsi" w:hAnsiTheme="minorHAnsi" w:cs="Calibri"/>
          <w:u w:val="single"/>
        </w:rPr>
      </w:pPr>
      <w:r w:rsidRPr="002D7A10">
        <w:rPr>
          <w:rFonts w:asciiTheme="minorHAnsi" w:hAnsiTheme="minorHAnsi"/>
          <w:u w:val="single"/>
        </w:rPr>
        <w:t>28.10.2015</w:t>
      </w:r>
    </w:p>
    <w:p w:rsidR="00915A81" w:rsidRPr="002D7A10" w:rsidRDefault="00915A81" w:rsidP="00915A81">
      <w:pPr>
        <w:tabs>
          <w:tab w:val="left" w:pos="284"/>
          <w:tab w:val="left" w:pos="7371"/>
          <w:tab w:val="left" w:pos="7797"/>
          <w:tab w:val="left" w:pos="8647"/>
        </w:tabs>
        <w:rPr>
          <w:rFonts w:asciiTheme="minorHAnsi" w:hAnsiTheme="minorHAnsi" w:cs="Calibri"/>
        </w:rPr>
      </w:pPr>
      <w:r w:rsidRPr="002D7A10">
        <w:rPr>
          <w:rFonts w:asciiTheme="minorHAnsi" w:hAnsiTheme="minorHAnsi" w:cs="Calibri"/>
        </w:rPr>
        <w:t>arch. Dipl. Ing. Stanislav Dukát</w:t>
      </w:r>
    </w:p>
    <w:p w:rsidR="00915A81" w:rsidRPr="002D7A10" w:rsidRDefault="00915A81" w:rsidP="00B51749">
      <w:pPr>
        <w:rPr>
          <w:rFonts w:asciiTheme="minorHAnsi" w:hAnsiTheme="minorHAnsi"/>
          <w:b/>
        </w:rPr>
      </w:pPr>
    </w:p>
    <w:p w:rsidR="00B51749" w:rsidRPr="002D7A10" w:rsidRDefault="00B51749" w:rsidP="00B51749">
      <w:pPr>
        <w:rPr>
          <w:rFonts w:asciiTheme="minorHAnsi" w:hAnsiTheme="minorHAnsi"/>
        </w:rPr>
      </w:pPr>
      <w:r w:rsidRPr="002D7A10">
        <w:rPr>
          <w:rFonts w:asciiTheme="minorHAnsi" w:hAnsiTheme="minorHAnsi"/>
        </w:rPr>
        <w:t>Na Vedeckej rade STU bol</w:t>
      </w:r>
      <w:r w:rsidR="00915A81" w:rsidRPr="002D7A10">
        <w:rPr>
          <w:rFonts w:asciiTheme="minorHAnsi" w:hAnsiTheme="minorHAnsi"/>
        </w:rPr>
        <w:t>i</w:t>
      </w:r>
      <w:r w:rsidRPr="002D7A10">
        <w:rPr>
          <w:rFonts w:asciiTheme="minorHAnsi" w:hAnsiTheme="minorHAnsi"/>
        </w:rPr>
        <w:t xml:space="preserve"> prerokovan</w:t>
      </w:r>
      <w:r w:rsidR="00915A81" w:rsidRPr="002D7A10">
        <w:rPr>
          <w:rFonts w:asciiTheme="minorHAnsi" w:hAnsiTheme="minorHAnsi"/>
        </w:rPr>
        <w:t>é</w:t>
      </w:r>
      <w:r w:rsidRPr="002D7A10">
        <w:rPr>
          <w:rFonts w:asciiTheme="minorHAnsi" w:hAnsiTheme="minorHAnsi"/>
        </w:rPr>
        <w:t xml:space="preserve"> a schválen</w:t>
      </w:r>
      <w:r w:rsidR="00915A81" w:rsidRPr="002D7A10">
        <w:rPr>
          <w:rFonts w:asciiTheme="minorHAnsi" w:hAnsiTheme="minorHAnsi"/>
        </w:rPr>
        <w:t>é</w:t>
      </w:r>
      <w:r w:rsidRPr="002D7A10">
        <w:rPr>
          <w:rFonts w:asciiTheme="minorHAnsi" w:hAnsiTheme="minorHAnsi"/>
        </w:rPr>
        <w:t xml:space="preserve"> </w:t>
      </w:r>
      <w:r w:rsidR="00915A81" w:rsidRPr="002D7A10">
        <w:rPr>
          <w:rFonts w:asciiTheme="minorHAnsi" w:hAnsiTheme="minorHAnsi"/>
        </w:rPr>
        <w:t>4</w:t>
      </w:r>
      <w:r w:rsidRPr="002D7A10">
        <w:rPr>
          <w:rFonts w:asciiTheme="minorHAnsi" w:hAnsiTheme="minorHAnsi"/>
        </w:rPr>
        <w:t xml:space="preserve"> návrh</w:t>
      </w:r>
      <w:r w:rsidR="00915A81" w:rsidRPr="002D7A10">
        <w:rPr>
          <w:rFonts w:asciiTheme="minorHAnsi" w:hAnsiTheme="minorHAnsi"/>
        </w:rPr>
        <w:t>y</w:t>
      </w:r>
      <w:r w:rsidRPr="002D7A10">
        <w:rPr>
          <w:rFonts w:asciiTheme="minorHAnsi" w:hAnsiTheme="minorHAnsi"/>
        </w:rPr>
        <w:t xml:space="preserve"> na udelenie čestného titulu „profesor </w:t>
      </w:r>
      <w:proofErr w:type="spellStart"/>
      <w:r w:rsidRPr="002D7A10">
        <w:rPr>
          <w:rFonts w:asciiTheme="minorHAnsi" w:hAnsiTheme="minorHAnsi"/>
        </w:rPr>
        <w:t>emeritus</w:t>
      </w:r>
      <w:proofErr w:type="spellEnd"/>
      <w:r w:rsidRPr="002D7A10">
        <w:rPr>
          <w:rFonts w:asciiTheme="minorHAnsi" w:hAnsiTheme="minorHAnsi"/>
        </w:rPr>
        <w:t>“.</w:t>
      </w:r>
    </w:p>
    <w:p w:rsidR="00B51749" w:rsidRPr="00375F6E" w:rsidRDefault="00B51749" w:rsidP="00B51749">
      <w:pPr>
        <w:rPr>
          <w:rFonts w:asciiTheme="minorHAnsi" w:hAnsiTheme="minorHAnsi"/>
          <w:sz w:val="20"/>
          <w:szCs w:val="20"/>
        </w:rPr>
      </w:pPr>
    </w:p>
    <w:p w:rsidR="00915A81" w:rsidRPr="00375F6E" w:rsidRDefault="00B51749" w:rsidP="00915A81">
      <w:pPr>
        <w:rPr>
          <w:rFonts w:asciiTheme="minorHAnsi" w:hAnsiTheme="minorHAnsi"/>
          <w:sz w:val="20"/>
          <w:szCs w:val="20"/>
        </w:rPr>
      </w:pPr>
      <w:r w:rsidRPr="00375F6E">
        <w:rPr>
          <w:rFonts w:asciiTheme="minorHAnsi" w:hAnsiTheme="minorHAnsi"/>
          <w:b/>
          <w:sz w:val="20"/>
          <w:szCs w:val="20"/>
        </w:rPr>
        <w:t xml:space="preserve">Tabuľka 6.6: Prehľad návrhov na udelenie titulu „profesor </w:t>
      </w:r>
      <w:proofErr w:type="spellStart"/>
      <w:r w:rsidRPr="00375F6E">
        <w:rPr>
          <w:rFonts w:asciiTheme="minorHAnsi" w:hAnsiTheme="minorHAnsi"/>
          <w:b/>
          <w:sz w:val="20"/>
          <w:szCs w:val="20"/>
        </w:rPr>
        <w:t>emeritus</w:t>
      </w:r>
      <w:proofErr w:type="spellEnd"/>
      <w:r w:rsidRPr="00375F6E">
        <w:rPr>
          <w:rFonts w:asciiTheme="minorHAnsi" w:hAnsiTheme="minorHAnsi"/>
          <w:b/>
          <w:sz w:val="20"/>
          <w:szCs w:val="20"/>
        </w:rPr>
        <w:t>“</w:t>
      </w:r>
      <w:r w:rsidR="00915A81" w:rsidRPr="00375F6E">
        <w:rPr>
          <w:rFonts w:asciiTheme="minorHAnsi" w:hAnsi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774"/>
        <w:gridCol w:w="887"/>
        <w:gridCol w:w="890"/>
        <w:gridCol w:w="966"/>
        <w:gridCol w:w="881"/>
        <w:gridCol w:w="921"/>
        <w:gridCol w:w="904"/>
        <w:gridCol w:w="910"/>
      </w:tblGrid>
      <w:tr w:rsidR="00915A81" w:rsidRPr="00375F6E" w:rsidTr="00617EB1">
        <w:tc>
          <w:tcPr>
            <w:tcW w:w="145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VR STU</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SvF</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SjF</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FEI</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FCHPT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FA</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MTF</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FIIT</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STU</w:t>
            </w:r>
          </w:p>
        </w:tc>
      </w:tr>
      <w:tr w:rsidR="00915A81" w:rsidRPr="00375F6E" w:rsidTr="00617EB1">
        <w:tc>
          <w:tcPr>
            <w:tcW w:w="145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28.1.2015</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1</w:t>
            </w:r>
          </w:p>
        </w:tc>
      </w:tr>
      <w:tr w:rsidR="00915A81" w:rsidRPr="00375F6E" w:rsidTr="00617EB1">
        <w:tc>
          <w:tcPr>
            <w:tcW w:w="145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28.10.2015</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1</w:t>
            </w:r>
          </w:p>
        </w:tc>
      </w:tr>
      <w:tr w:rsidR="00915A81" w:rsidRPr="00375F6E" w:rsidTr="00617EB1">
        <w:tc>
          <w:tcPr>
            <w:tcW w:w="145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9.12.2015</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2</w:t>
            </w:r>
          </w:p>
        </w:tc>
      </w:tr>
      <w:tr w:rsidR="00915A81" w:rsidRPr="00375F6E" w:rsidTr="00617EB1">
        <w:tc>
          <w:tcPr>
            <w:tcW w:w="145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Spolu</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2</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15A81" w:rsidRPr="00375F6E" w:rsidRDefault="00915A81" w:rsidP="00617EB1">
            <w:pPr>
              <w:rPr>
                <w:rFonts w:asciiTheme="minorHAnsi" w:hAnsiTheme="minorHAnsi"/>
                <w:sz w:val="20"/>
                <w:szCs w:val="20"/>
              </w:rPr>
            </w:pPr>
            <w:r w:rsidRPr="00375F6E">
              <w:rPr>
                <w:rFonts w:asciiTheme="minorHAnsi" w:hAnsiTheme="minorHAnsi"/>
                <w:sz w:val="20"/>
                <w:szCs w:val="20"/>
              </w:rPr>
              <w:t>4</w:t>
            </w:r>
          </w:p>
        </w:tc>
      </w:tr>
    </w:tbl>
    <w:p w:rsidR="00915A81" w:rsidRPr="002D7A10" w:rsidRDefault="00915A81" w:rsidP="00375F6E">
      <w:pPr>
        <w:rPr>
          <w:rFonts w:asciiTheme="minorHAnsi" w:hAnsiTheme="minorHAnsi"/>
          <w:color w:val="FF0000"/>
          <w:u w:val="single"/>
        </w:rPr>
      </w:pPr>
    </w:p>
    <w:p w:rsidR="00915A81" w:rsidRPr="002D7A10" w:rsidRDefault="00915A81" w:rsidP="00915A81">
      <w:pPr>
        <w:rPr>
          <w:rFonts w:asciiTheme="minorHAnsi" w:hAnsiTheme="minorHAnsi"/>
        </w:rPr>
      </w:pPr>
      <w:r w:rsidRPr="002D7A10">
        <w:rPr>
          <w:rFonts w:asciiTheme="minorHAnsi" w:hAnsiTheme="minorHAnsi"/>
          <w:u w:val="single"/>
        </w:rPr>
        <w:t>28.1.2015</w:t>
      </w:r>
      <w:r w:rsidRPr="002D7A10">
        <w:rPr>
          <w:rFonts w:asciiTheme="minorHAnsi" w:hAnsiTheme="minorHAnsi"/>
        </w:rPr>
        <w:br/>
        <w:t xml:space="preserve">prof. Ing. Ladislav </w:t>
      </w:r>
      <w:proofErr w:type="spellStart"/>
      <w:r w:rsidRPr="002D7A10">
        <w:rPr>
          <w:rFonts w:asciiTheme="minorHAnsi" w:hAnsiTheme="minorHAnsi"/>
        </w:rPr>
        <w:t>Jurišica</w:t>
      </w:r>
      <w:proofErr w:type="spellEnd"/>
      <w:r w:rsidRPr="002D7A10">
        <w:rPr>
          <w:rFonts w:asciiTheme="minorHAnsi" w:hAnsiTheme="minorHAnsi"/>
        </w:rPr>
        <w:t>, PhD.</w:t>
      </w:r>
    </w:p>
    <w:p w:rsidR="00915A81" w:rsidRPr="002D7A10" w:rsidRDefault="00915A81" w:rsidP="00915A81">
      <w:pPr>
        <w:rPr>
          <w:rFonts w:asciiTheme="minorHAnsi" w:hAnsiTheme="minorHAnsi"/>
          <w:u w:val="single"/>
        </w:rPr>
      </w:pPr>
      <w:r w:rsidRPr="002D7A10">
        <w:rPr>
          <w:rFonts w:asciiTheme="minorHAnsi" w:hAnsiTheme="minorHAnsi"/>
          <w:u w:val="single"/>
        </w:rPr>
        <w:t>28.10.2015</w:t>
      </w:r>
    </w:p>
    <w:p w:rsidR="00915A81" w:rsidRPr="002D7A10" w:rsidRDefault="00915A81" w:rsidP="00915A81">
      <w:pPr>
        <w:rPr>
          <w:rFonts w:asciiTheme="minorHAnsi" w:hAnsiTheme="minorHAnsi"/>
        </w:rPr>
      </w:pPr>
      <w:r w:rsidRPr="002D7A10">
        <w:rPr>
          <w:rFonts w:asciiTheme="minorHAnsi" w:hAnsiTheme="minorHAnsi"/>
        </w:rPr>
        <w:t xml:space="preserve">prof. Ing. Jozef </w:t>
      </w:r>
      <w:proofErr w:type="spellStart"/>
      <w:r w:rsidRPr="002D7A10">
        <w:rPr>
          <w:rFonts w:asciiTheme="minorHAnsi" w:hAnsiTheme="minorHAnsi"/>
        </w:rPr>
        <w:t>Kriš</w:t>
      </w:r>
      <w:proofErr w:type="spellEnd"/>
      <w:r w:rsidRPr="002D7A10">
        <w:rPr>
          <w:rFonts w:asciiTheme="minorHAnsi" w:hAnsiTheme="minorHAnsi"/>
        </w:rPr>
        <w:t xml:space="preserve">, PhD </w:t>
      </w:r>
    </w:p>
    <w:p w:rsidR="00915A81" w:rsidRPr="002D7A10" w:rsidRDefault="00915A81" w:rsidP="00915A81">
      <w:pPr>
        <w:rPr>
          <w:rFonts w:asciiTheme="minorHAnsi" w:hAnsiTheme="minorHAnsi"/>
          <w:u w:val="single"/>
        </w:rPr>
      </w:pPr>
      <w:r w:rsidRPr="002D7A10">
        <w:rPr>
          <w:rFonts w:asciiTheme="minorHAnsi" w:hAnsiTheme="minorHAnsi"/>
          <w:u w:val="single"/>
        </w:rPr>
        <w:t>9.12.2015</w:t>
      </w:r>
    </w:p>
    <w:p w:rsidR="00915A81" w:rsidRPr="002D7A10" w:rsidRDefault="00915A81" w:rsidP="00915A81">
      <w:pPr>
        <w:rPr>
          <w:rFonts w:asciiTheme="minorHAnsi" w:hAnsiTheme="minorHAnsi"/>
        </w:rPr>
      </w:pPr>
      <w:r w:rsidRPr="002D7A10">
        <w:rPr>
          <w:rFonts w:asciiTheme="minorHAnsi" w:hAnsiTheme="minorHAnsi"/>
        </w:rPr>
        <w:t xml:space="preserve">prof. Ing. Bystrík Bezák, PhD. </w:t>
      </w:r>
    </w:p>
    <w:p w:rsidR="00915A81" w:rsidRPr="002D7A10" w:rsidRDefault="00915A81" w:rsidP="00915A81">
      <w:pPr>
        <w:rPr>
          <w:rFonts w:asciiTheme="minorHAnsi" w:hAnsiTheme="minorHAnsi"/>
        </w:rPr>
      </w:pPr>
      <w:r w:rsidRPr="002D7A10">
        <w:rPr>
          <w:rFonts w:asciiTheme="minorHAnsi" w:hAnsiTheme="minorHAnsi"/>
        </w:rPr>
        <w:t xml:space="preserve">prof. Ing. Vladimír </w:t>
      </w:r>
      <w:proofErr w:type="spellStart"/>
      <w:r w:rsidRPr="002D7A10">
        <w:rPr>
          <w:rFonts w:asciiTheme="minorHAnsi" w:hAnsiTheme="minorHAnsi"/>
        </w:rPr>
        <w:t>Kvasnička</w:t>
      </w:r>
      <w:proofErr w:type="spellEnd"/>
      <w:r w:rsidRPr="002D7A10">
        <w:rPr>
          <w:rFonts w:asciiTheme="minorHAnsi" w:hAnsiTheme="minorHAnsi"/>
        </w:rPr>
        <w:t>, DrSc.</w:t>
      </w:r>
    </w:p>
    <w:p w:rsidR="0090392E" w:rsidRPr="002D7A10" w:rsidRDefault="0090392E" w:rsidP="00E078BE">
      <w:pPr>
        <w:rPr>
          <w:rFonts w:asciiTheme="minorHAnsi" w:hAnsiTheme="minorHAnsi"/>
        </w:rPr>
      </w:pPr>
    </w:p>
    <w:p w:rsidR="00E078BE" w:rsidRPr="002D7A10" w:rsidRDefault="00E078BE" w:rsidP="00E078BE">
      <w:pPr>
        <w:rPr>
          <w:rFonts w:asciiTheme="minorHAnsi" w:hAnsiTheme="minorHAnsi"/>
        </w:rPr>
      </w:pPr>
      <w:r w:rsidRPr="002D7A10">
        <w:rPr>
          <w:rFonts w:asciiTheme="minorHAnsi" w:hAnsiTheme="minorHAnsi"/>
        </w:rPr>
        <w:t xml:space="preserve">Atestačná komisia STU, ktorej poslanie vyplýva z príslušných ustanovení vyhlášky SAV o vedeckých </w:t>
      </w:r>
      <w:r w:rsidRPr="0090392E">
        <w:rPr>
          <w:rFonts w:asciiTheme="minorHAnsi" w:hAnsiTheme="minorHAnsi"/>
        </w:rPr>
        <w:t>kvalifikačných stupňoch v roku 2015 pracovala v zložení: prof. RNDr. Vladimír Sládek</w:t>
      </w:r>
      <w:r w:rsidR="0090392E" w:rsidRPr="0090392E">
        <w:rPr>
          <w:rFonts w:asciiTheme="minorHAnsi" w:hAnsiTheme="minorHAnsi"/>
        </w:rPr>
        <w:t xml:space="preserve">, DrSc., </w:t>
      </w:r>
      <w:r w:rsidRPr="0090392E">
        <w:rPr>
          <w:rFonts w:asciiTheme="minorHAnsi" w:hAnsiTheme="minorHAnsi"/>
        </w:rPr>
        <w:t xml:space="preserve">Ing. Peter </w:t>
      </w:r>
      <w:proofErr w:type="spellStart"/>
      <w:r w:rsidRPr="0090392E">
        <w:rPr>
          <w:rFonts w:asciiTheme="minorHAnsi" w:hAnsiTheme="minorHAnsi"/>
        </w:rPr>
        <w:t>Matiašovský</w:t>
      </w:r>
      <w:proofErr w:type="spellEnd"/>
      <w:r w:rsidRPr="0090392E">
        <w:rPr>
          <w:rFonts w:asciiTheme="minorHAnsi" w:hAnsiTheme="minorHAnsi"/>
        </w:rPr>
        <w:t xml:space="preserve">, CSc., prof. Ing. arch. Matúš </w:t>
      </w:r>
      <w:proofErr w:type="spellStart"/>
      <w:r w:rsidRPr="0090392E">
        <w:rPr>
          <w:rFonts w:asciiTheme="minorHAnsi" w:hAnsiTheme="minorHAnsi"/>
        </w:rPr>
        <w:t>Dulla</w:t>
      </w:r>
      <w:proofErr w:type="spellEnd"/>
      <w:r w:rsidRPr="0090392E">
        <w:rPr>
          <w:rFonts w:asciiTheme="minorHAnsi" w:hAnsiTheme="minorHAnsi"/>
        </w:rPr>
        <w:t>, DrSc., prof. Ing. Ján Tkáč,</w:t>
      </w:r>
      <w:r w:rsidR="0090392E" w:rsidRPr="0090392E">
        <w:rPr>
          <w:rFonts w:asciiTheme="minorHAnsi" w:hAnsiTheme="minorHAnsi"/>
        </w:rPr>
        <w:t xml:space="preserve"> </w:t>
      </w:r>
      <w:proofErr w:type="spellStart"/>
      <w:r w:rsidR="0090392E" w:rsidRPr="0090392E">
        <w:rPr>
          <w:rFonts w:asciiTheme="minorHAnsi" w:hAnsiTheme="minorHAnsi"/>
        </w:rPr>
        <w:t>DrSc.,</w:t>
      </w:r>
      <w:r w:rsidRPr="0090392E">
        <w:rPr>
          <w:rFonts w:asciiTheme="minorHAnsi" w:hAnsiTheme="minorHAnsi"/>
        </w:rPr>
        <w:t>doc</w:t>
      </w:r>
      <w:proofErr w:type="spellEnd"/>
      <w:r w:rsidRPr="0090392E">
        <w:rPr>
          <w:rFonts w:asciiTheme="minorHAnsi" w:hAnsiTheme="minorHAnsi"/>
        </w:rPr>
        <w:t xml:space="preserve">. Ing. Jozef Novák, DrSc., hosť. prof. Ing. Ľudovít </w:t>
      </w:r>
      <w:proofErr w:type="spellStart"/>
      <w:r w:rsidRPr="0090392E">
        <w:rPr>
          <w:rFonts w:asciiTheme="minorHAnsi" w:hAnsiTheme="minorHAnsi"/>
        </w:rPr>
        <w:t>Kupča</w:t>
      </w:r>
      <w:proofErr w:type="spellEnd"/>
      <w:r w:rsidRPr="0090392E">
        <w:rPr>
          <w:rFonts w:asciiTheme="minorHAnsi" w:hAnsiTheme="minorHAnsi"/>
        </w:rPr>
        <w:t xml:space="preserve">, CSc., doc. Ing. Ladislav Hluchý, CSc., prof. Ing. Ján </w:t>
      </w:r>
      <w:proofErr w:type="spellStart"/>
      <w:r w:rsidRPr="0090392E">
        <w:rPr>
          <w:rFonts w:asciiTheme="minorHAnsi" w:hAnsiTheme="minorHAnsi"/>
        </w:rPr>
        <w:t>Szolgay</w:t>
      </w:r>
      <w:proofErr w:type="spellEnd"/>
      <w:r w:rsidRPr="0090392E">
        <w:rPr>
          <w:rFonts w:asciiTheme="minorHAnsi" w:hAnsiTheme="minorHAnsi"/>
        </w:rPr>
        <w:t xml:space="preserve">, PhD., doc. Ing. Ernest </w:t>
      </w:r>
      <w:proofErr w:type="spellStart"/>
      <w:r w:rsidRPr="0090392E">
        <w:rPr>
          <w:rFonts w:asciiTheme="minorHAnsi" w:hAnsiTheme="minorHAnsi"/>
        </w:rPr>
        <w:t>Gondár</w:t>
      </w:r>
      <w:proofErr w:type="spellEnd"/>
      <w:r w:rsidRPr="0090392E">
        <w:rPr>
          <w:rFonts w:asciiTheme="minorHAnsi" w:hAnsiTheme="minorHAnsi"/>
        </w:rPr>
        <w:t xml:space="preserve">, PhD., prof. Ing. Viera </w:t>
      </w:r>
      <w:proofErr w:type="spellStart"/>
      <w:r w:rsidRPr="0090392E">
        <w:rPr>
          <w:rFonts w:asciiTheme="minorHAnsi" w:hAnsiTheme="minorHAnsi"/>
        </w:rPr>
        <w:t>Stopjaková</w:t>
      </w:r>
      <w:proofErr w:type="spellEnd"/>
      <w:r w:rsidRPr="0090392E">
        <w:rPr>
          <w:rFonts w:asciiTheme="minorHAnsi" w:hAnsiTheme="minorHAnsi"/>
        </w:rPr>
        <w:t xml:space="preserve">, PhD., prof. Ing. Anton Gatial, DrSc., prof. Ing. arch. Robert Špaček, CSc., prof. Ing. Miloš </w:t>
      </w:r>
      <w:proofErr w:type="spellStart"/>
      <w:r w:rsidRPr="0090392E">
        <w:rPr>
          <w:rFonts w:asciiTheme="minorHAnsi" w:hAnsiTheme="minorHAnsi"/>
        </w:rPr>
        <w:t>Čambál</w:t>
      </w:r>
      <w:proofErr w:type="spellEnd"/>
      <w:r w:rsidRPr="0090392E">
        <w:rPr>
          <w:rFonts w:asciiTheme="minorHAnsi" w:hAnsiTheme="minorHAnsi"/>
        </w:rPr>
        <w:t xml:space="preserve">, CSc., doc Ing. Viera </w:t>
      </w:r>
      <w:proofErr w:type="spellStart"/>
      <w:r w:rsidRPr="0090392E">
        <w:rPr>
          <w:rFonts w:asciiTheme="minorHAnsi" w:hAnsiTheme="minorHAnsi"/>
        </w:rPr>
        <w:t>Rozinajová</w:t>
      </w:r>
      <w:proofErr w:type="spellEnd"/>
      <w:r w:rsidRPr="0090392E">
        <w:rPr>
          <w:rFonts w:asciiTheme="minorHAnsi" w:hAnsiTheme="minorHAnsi"/>
        </w:rPr>
        <w:t xml:space="preserve">, PhD., doc. Ing. Anna </w:t>
      </w:r>
      <w:proofErr w:type="spellStart"/>
      <w:r w:rsidRPr="0090392E">
        <w:rPr>
          <w:rFonts w:asciiTheme="minorHAnsi" w:hAnsiTheme="minorHAnsi"/>
        </w:rPr>
        <w:t>Ujhelyová</w:t>
      </w:r>
      <w:proofErr w:type="spellEnd"/>
      <w:r w:rsidRPr="0090392E">
        <w:rPr>
          <w:rFonts w:asciiTheme="minorHAnsi" w:hAnsiTheme="minorHAnsi"/>
        </w:rPr>
        <w:t xml:space="preserve">, PhD. a prof. Ing. Stanislav </w:t>
      </w:r>
      <w:proofErr w:type="spellStart"/>
      <w:r w:rsidRPr="0090392E">
        <w:rPr>
          <w:rFonts w:asciiTheme="minorHAnsi" w:hAnsiTheme="minorHAnsi"/>
        </w:rPr>
        <w:t>Biskupič</w:t>
      </w:r>
      <w:proofErr w:type="spellEnd"/>
      <w:r w:rsidRPr="0090392E">
        <w:rPr>
          <w:rFonts w:asciiTheme="minorHAnsi" w:hAnsiTheme="minorHAnsi"/>
        </w:rPr>
        <w:t xml:space="preserve">, DrSc. predseda. Na svojom zasadnutí dňa 30. 9. 2015 komisia prerokovala a odporučila postúpiť </w:t>
      </w:r>
      <w:r w:rsidRPr="0090392E">
        <w:rPr>
          <w:rFonts w:asciiTheme="minorHAnsi" w:hAnsiTheme="minorHAnsi"/>
          <w:b/>
        </w:rPr>
        <w:t>4 návrhy na priznanie vedeckéh</w:t>
      </w:r>
      <w:r w:rsidR="00F12D4B" w:rsidRPr="0090392E">
        <w:rPr>
          <w:rFonts w:asciiTheme="minorHAnsi" w:hAnsiTheme="minorHAnsi"/>
          <w:b/>
        </w:rPr>
        <w:t xml:space="preserve">o kvalifikačného stupňa </w:t>
      </w:r>
      <w:r w:rsidR="00F12D4B" w:rsidRPr="002D7A10">
        <w:rPr>
          <w:rFonts w:asciiTheme="minorHAnsi" w:hAnsiTheme="minorHAnsi"/>
        </w:rPr>
        <w:t xml:space="preserve">z toho </w:t>
      </w:r>
    </w:p>
    <w:p w:rsidR="00E078BE" w:rsidRPr="002D7A10" w:rsidRDefault="00E078BE" w:rsidP="00E078BE">
      <w:pPr>
        <w:rPr>
          <w:rFonts w:asciiTheme="minorHAnsi" w:hAnsiTheme="minorHAnsi"/>
          <w:u w:val="single"/>
        </w:rPr>
      </w:pPr>
      <w:r w:rsidRPr="002D7A10">
        <w:rPr>
          <w:rFonts w:asciiTheme="minorHAnsi" w:hAnsiTheme="minorHAnsi"/>
          <w:u w:val="single"/>
        </w:rPr>
        <w:t>1 návrh na priznanie vedeckého kvalifikačného stupňa I</w:t>
      </w:r>
    </w:p>
    <w:p w:rsidR="00E078BE" w:rsidRPr="002D7A10" w:rsidRDefault="00E078BE" w:rsidP="00E078BE">
      <w:pPr>
        <w:rPr>
          <w:rFonts w:asciiTheme="minorHAnsi" w:hAnsiTheme="minorHAnsi"/>
        </w:rPr>
      </w:pPr>
      <w:r w:rsidRPr="002D7A10">
        <w:rPr>
          <w:rFonts w:asciiTheme="minorHAnsi" w:hAnsiTheme="minorHAnsi"/>
        </w:rPr>
        <w:lastRenderedPageBreak/>
        <w:t xml:space="preserve">doc. Ing. Viere </w:t>
      </w:r>
      <w:proofErr w:type="spellStart"/>
      <w:r w:rsidRPr="002D7A10">
        <w:rPr>
          <w:rFonts w:asciiTheme="minorHAnsi" w:hAnsiTheme="minorHAnsi"/>
        </w:rPr>
        <w:t>Skákalovej</w:t>
      </w:r>
      <w:proofErr w:type="spellEnd"/>
      <w:r w:rsidRPr="002D7A10">
        <w:rPr>
          <w:rFonts w:asciiTheme="minorHAnsi" w:hAnsiTheme="minorHAnsi"/>
        </w:rPr>
        <w:t>, DrSc. z</w:t>
      </w:r>
      <w:r w:rsidR="00F12D4B" w:rsidRPr="002D7A10">
        <w:rPr>
          <w:rFonts w:asciiTheme="minorHAnsi" w:hAnsiTheme="minorHAnsi"/>
        </w:rPr>
        <w:t xml:space="preserve"> Centra pre </w:t>
      </w:r>
      <w:proofErr w:type="spellStart"/>
      <w:r w:rsidR="00F12D4B" w:rsidRPr="002D7A10">
        <w:rPr>
          <w:rFonts w:asciiTheme="minorHAnsi" w:hAnsiTheme="minorHAnsi"/>
        </w:rPr>
        <w:t>nanodiagnostiku</w:t>
      </w:r>
      <w:proofErr w:type="spellEnd"/>
      <w:r w:rsidR="00F12D4B" w:rsidRPr="002D7A10">
        <w:rPr>
          <w:rFonts w:asciiTheme="minorHAnsi" w:hAnsiTheme="minorHAnsi"/>
        </w:rPr>
        <w:t xml:space="preserve"> STU</w:t>
      </w:r>
    </w:p>
    <w:p w:rsidR="00E078BE" w:rsidRPr="002D7A10" w:rsidRDefault="00E078BE" w:rsidP="00E078BE">
      <w:pPr>
        <w:rPr>
          <w:rFonts w:asciiTheme="minorHAnsi" w:hAnsiTheme="minorHAnsi"/>
        </w:rPr>
      </w:pPr>
      <w:r w:rsidRPr="002D7A10">
        <w:rPr>
          <w:rFonts w:asciiTheme="minorHAnsi" w:hAnsiTheme="minorHAnsi"/>
          <w:u w:val="single"/>
        </w:rPr>
        <w:t xml:space="preserve">3 návrhy na priznanie vedeckého kvalifikačného stupňa </w:t>
      </w:r>
      <w:proofErr w:type="spellStart"/>
      <w:r w:rsidRPr="002D7A10">
        <w:rPr>
          <w:rFonts w:asciiTheme="minorHAnsi" w:hAnsiTheme="minorHAnsi"/>
          <w:u w:val="single"/>
        </w:rPr>
        <w:t>IIa</w:t>
      </w:r>
      <w:proofErr w:type="spellEnd"/>
      <w:r w:rsidRPr="002D7A10">
        <w:rPr>
          <w:rFonts w:asciiTheme="minorHAnsi" w:hAnsiTheme="minorHAnsi"/>
        </w:rPr>
        <w:t xml:space="preserve"> </w:t>
      </w:r>
    </w:p>
    <w:p w:rsidR="00E078BE" w:rsidRPr="002D7A10" w:rsidRDefault="00E078BE" w:rsidP="00E078BE">
      <w:pPr>
        <w:rPr>
          <w:rFonts w:asciiTheme="minorHAnsi" w:hAnsiTheme="minorHAnsi"/>
        </w:rPr>
      </w:pPr>
      <w:r w:rsidRPr="002D7A10">
        <w:rPr>
          <w:rFonts w:asciiTheme="minorHAnsi" w:hAnsiTheme="minorHAnsi"/>
        </w:rPr>
        <w:t xml:space="preserve">Ing. Miroslavovi </w:t>
      </w:r>
      <w:proofErr w:type="spellStart"/>
      <w:r w:rsidRPr="002D7A10">
        <w:rPr>
          <w:rFonts w:asciiTheme="minorHAnsi" w:hAnsiTheme="minorHAnsi"/>
        </w:rPr>
        <w:t>Mikolášekovi</w:t>
      </w:r>
      <w:proofErr w:type="spellEnd"/>
      <w:r w:rsidRPr="002D7A10">
        <w:rPr>
          <w:rFonts w:asciiTheme="minorHAnsi" w:hAnsiTheme="minorHAnsi"/>
        </w:rPr>
        <w:t>, PhD. z Ústavu elektroniky a </w:t>
      </w:r>
      <w:proofErr w:type="spellStart"/>
      <w:r w:rsidRPr="002D7A10">
        <w:rPr>
          <w:rFonts w:asciiTheme="minorHAnsi" w:hAnsiTheme="minorHAnsi"/>
        </w:rPr>
        <w:t>fotoniky</w:t>
      </w:r>
      <w:proofErr w:type="spellEnd"/>
      <w:r w:rsidRPr="002D7A10">
        <w:rPr>
          <w:rFonts w:asciiTheme="minorHAnsi" w:hAnsiTheme="minorHAnsi"/>
        </w:rPr>
        <w:t>, FEI STU</w:t>
      </w:r>
    </w:p>
    <w:p w:rsidR="00E078BE" w:rsidRPr="002D7A10" w:rsidRDefault="00E078BE" w:rsidP="00E078BE">
      <w:pPr>
        <w:rPr>
          <w:rFonts w:asciiTheme="minorHAnsi" w:hAnsiTheme="minorHAnsi"/>
        </w:rPr>
      </w:pPr>
      <w:r w:rsidRPr="002D7A10">
        <w:rPr>
          <w:rFonts w:asciiTheme="minorHAnsi" w:hAnsiTheme="minorHAnsi"/>
        </w:rPr>
        <w:t xml:space="preserve">Ing. Tomášovi </w:t>
      </w:r>
      <w:proofErr w:type="spellStart"/>
      <w:r w:rsidRPr="002D7A10">
        <w:rPr>
          <w:rFonts w:asciiTheme="minorHAnsi" w:hAnsiTheme="minorHAnsi"/>
        </w:rPr>
        <w:t>Mackuľakovi</w:t>
      </w:r>
      <w:proofErr w:type="spellEnd"/>
      <w:r w:rsidRPr="002D7A10">
        <w:rPr>
          <w:rFonts w:asciiTheme="minorHAnsi" w:hAnsiTheme="minorHAnsi"/>
        </w:rPr>
        <w:t>, PhD. z Ústavu chemického a environmentálneho</w:t>
      </w:r>
    </w:p>
    <w:p w:rsidR="00E078BE" w:rsidRPr="002D7A10" w:rsidRDefault="00E078BE" w:rsidP="00E078BE">
      <w:pPr>
        <w:rPr>
          <w:rFonts w:asciiTheme="minorHAnsi" w:hAnsiTheme="minorHAnsi"/>
        </w:rPr>
      </w:pPr>
      <w:r w:rsidRPr="002D7A10">
        <w:rPr>
          <w:rFonts w:asciiTheme="minorHAnsi" w:hAnsiTheme="minorHAnsi"/>
        </w:rPr>
        <w:t>inžinierstva, FCHPT STU</w:t>
      </w:r>
    </w:p>
    <w:p w:rsidR="00E078BE" w:rsidRPr="002D7A10" w:rsidRDefault="00E078BE" w:rsidP="00E078BE">
      <w:pPr>
        <w:rPr>
          <w:rFonts w:asciiTheme="minorHAnsi" w:hAnsiTheme="minorHAnsi"/>
        </w:rPr>
      </w:pPr>
      <w:r w:rsidRPr="002D7A10">
        <w:rPr>
          <w:rFonts w:asciiTheme="minorHAnsi" w:hAnsiTheme="minorHAnsi"/>
        </w:rPr>
        <w:t xml:space="preserve">Mgr. Michalovi </w:t>
      </w:r>
      <w:proofErr w:type="spellStart"/>
      <w:r w:rsidRPr="002D7A10">
        <w:rPr>
          <w:rFonts w:asciiTheme="minorHAnsi" w:hAnsiTheme="minorHAnsi"/>
        </w:rPr>
        <w:t>Skarbovi</w:t>
      </w:r>
      <w:proofErr w:type="spellEnd"/>
      <w:r w:rsidRPr="002D7A10">
        <w:rPr>
          <w:rFonts w:asciiTheme="minorHAnsi" w:hAnsiTheme="minorHAnsi"/>
        </w:rPr>
        <w:t>, PhD. z Ústavu materiálov, MTF STU.</w:t>
      </w:r>
    </w:p>
    <w:p w:rsidR="00B51749" w:rsidRPr="002D7A10" w:rsidRDefault="00B51749" w:rsidP="00B51749">
      <w:pPr>
        <w:rPr>
          <w:rFonts w:asciiTheme="minorHAnsi" w:hAnsiTheme="minorHAnsi"/>
          <w:b/>
          <w:color w:val="FF0000"/>
        </w:rPr>
      </w:pPr>
    </w:p>
    <w:p w:rsidR="00B87104" w:rsidRPr="00D04241" w:rsidRDefault="00B87104" w:rsidP="00EC0E86">
      <w:pPr>
        <w:pStyle w:val="Nadpis2"/>
        <w:rPr>
          <w:rFonts w:asciiTheme="minorHAnsi" w:hAnsiTheme="minorHAnsi"/>
          <w:sz w:val="24"/>
          <w:szCs w:val="24"/>
        </w:rPr>
      </w:pPr>
      <w:r w:rsidRPr="002D7A10">
        <w:rPr>
          <w:rFonts w:asciiTheme="minorHAnsi" w:hAnsiTheme="minorHAnsi"/>
          <w:sz w:val="24"/>
          <w:szCs w:val="24"/>
        </w:rPr>
        <w:t xml:space="preserve"> </w:t>
      </w:r>
      <w:bookmarkStart w:id="47" w:name="_Toc448261589"/>
      <w:r w:rsidRPr="002D7A10">
        <w:rPr>
          <w:rStyle w:val="Nadpis2Char"/>
          <w:rFonts w:asciiTheme="minorHAnsi" w:hAnsiTheme="minorHAnsi"/>
          <w:b/>
          <w:bCs/>
          <w:sz w:val="24"/>
          <w:szCs w:val="24"/>
        </w:rPr>
        <w:t>Ocenenia na STU</w:t>
      </w:r>
      <w:bookmarkEnd w:id="47"/>
    </w:p>
    <w:p w:rsidR="00915A81" w:rsidRPr="002D7A10" w:rsidRDefault="00915A81" w:rsidP="00EC0E86">
      <w:pPr>
        <w:rPr>
          <w:rFonts w:asciiTheme="minorHAnsi" w:hAnsiTheme="minorHAnsi"/>
          <w:b/>
        </w:rPr>
      </w:pPr>
      <w:r w:rsidRPr="002D7A10">
        <w:rPr>
          <w:rFonts w:asciiTheme="minorHAnsi" w:hAnsiTheme="minorHAnsi"/>
        </w:rPr>
        <w:t xml:space="preserve">Rektor STU udelil v roku 2015 </w:t>
      </w:r>
      <w:r w:rsidRPr="002D7A10">
        <w:rPr>
          <w:rFonts w:asciiTheme="minorHAnsi" w:hAnsiTheme="minorHAnsi"/>
          <w:b/>
        </w:rPr>
        <w:t>šesť Plakiet STU pri príležitosti významného životného jubilea</w:t>
      </w:r>
      <w:r w:rsidRPr="002D7A10">
        <w:rPr>
          <w:rFonts w:asciiTheme="minorHAnsi" w:hAnsiTheme="minorHAnsi"/>
        </w:rPr>
        <w:t>, a to nasledujúcim profesorom a pedagógom:</w:t>
      </w:r>
    </w:p>
    <w:p w:rsidR="00915A81" w:rsidRPr="002D7A10" w:rsidRDefault="00915A81" w:rsidP="00EC0E86">
      <w:pPr>
        <w:rPr>
          <w:rFonts w:asciiTheme="minorHAnsi" w:hAnsiTheme="minorHAnsi"/>
        </w:rPr>
      </w:pPr>
      <w:r w:rsidRPr="002D7A10">
        <w:rPr>
          <w:rFonts w:asciiTheme="minorHAnsi" w:hAnsiTheme="minorHAnsi"/>
        </w:rPr>
        <w:t xml:space="preserve">prof. </w:t>
      </w:r>
      <w:proofErr w:type="spellStart"/>
      <w:r w:rsidRPr="002D7A10">
        <w:rPr>
          <w:rFonts w:asciiTheme="minorHAnsi" w:hAnsiTheme="minorHAnsi"/>
        </w:rPr>
        <w:t>Ing.Fedorovi</w:t>
      </w:r>
      <w:proofErr w:type="spellEnd"/>
      <w:r w:rsidRPr="002D7A10">
        <w:rPr>
          <w:rFonts w:asciiTheme="minorHAnsi" w:hAnsiTheme="minorHAnsi"/>
        </w:rPr>
        <w:t xml:space="preserve"> Malíkovi, DrSc.</w:t>
      </w:r>
    </w:p>
    <w:p w:rsidR="00915A81" w:rsidRPr="002D7A10" w:rsidRDefault="00915A81" w:rsidP="00EC0E86">
      <w:pPr>
        <w:rPr>
          <w:rFonts w:asciiTheme="minorHAnsi" w:hAnsiTheme="minorHAnsi"/>
        </w:rPr>
      </w:pPr>
      <w:r w:rsidRPr="002D7A10">
        <w:rPr>
          <w:rFonts w:asciiTheme="minorHAnsi" w:hAnsiTheme="minorHAnsi"/>
        </w:rPr>
        <w:t xml:space="preserve">Univ. Prof. i. R., </w:t>
      </w:r>
      <w:proofErr w:type="spellStart"/>
      <w:r w:rsidRPr="002D7A10">
        <w:rPr>
          <w:rFonts w:asciiTheme="minorHAnsi" w:hAnsiTheme="minorHAnsi"/>
        </w:rPr>
        <w:t>Dr.-Ing</w:t>
      </w:r>
      <w:proofErr w:type="spellEnd"/>
      <w:r w:rsidRPr="002D7A10">
        <w:rPr>
          <w:rFonts w:asciiTheme="minorHAnsi" w:hAnsiTheme="minorHAnsi"/>
        </w:rPr>
        <w:t xml:space="preserve">. </w:t>
      </w:r>
      <w:proofErr w:type="spellStart"/>
      <w:r w:rsidRPr="002D7A10">
        <w:rPr>
          <w:rFonts w:asciiTheme="minorHAnsi" w:hAnsiTheme="minorHAnsi"/>
        </w:rPr>
        <w:t>habil</w:t>
      </w:r>
      <w:proofErr w:type="spellEnd"/>
      <w:r w:rsidRPr="002D7A10">
        <w:rPr>
          <w:rFonts w:asciiTheme="minorHAnsi" w:hAnsiTheme="minorHAnsi"/>
        </w:rPr>
        <w:t xml:space="preserve">., Dr. h. c. </w:t>
      </w:r>
      <w:proofErr w:type="spellStart"/>
      <w:r w:rsidRPr="002D7A10">
        <w:rPr>
          <w:rFonts w:asciiTheme="minorHAnsi" w:hAnsiTheme="minorHAnsi"/>
        </w:rPr>
        <w:t>Friedrichovi</w:t>
      </w:r>
      <w:proofErr w:type="spellEnd"/>
      <w:r w:rsidRPr="002D7A10">
        <w:rPr>
          <w:rFonts w:asciiTheme="minorHAnsi" w:hAnsiTheme="minorHAnsi"/>
        </w:rPr>
        <w:t xml:space="preserve"> </w:t>
      </w:r>
      <w:proofErr w:type="spellStart"/>
      <w:r w:rsidRPr="002D7A10">
        <w:rPr>
          <w:rFonts w:asciiTheme="minorHAnsi" w:hAnsiTheme="minorHAnsi"/>
        </w:rPr>
        <w:t>Hermann</w:t>
      </w:r>
      <w:proofErr w:type="spellEnd"/>
      <w:r w:rsidRPr="002D7A10">
        <w:rPr>
          <w:rFonts w:asciiTheme="minorHAnsi" w:hAnsiTheme="minorHAnsi"/>
        </w:rPr>
        <w:t xml:space="preserve"> </w:t>
      </w:r>
      <w:proofErr w:type="spellStart"/>
      <w:r w:rsidRPr="002D7A10">
        <w:rPr>
          <w:rFonts w:asciiTheme="minorHAnsi" w:hAnsiTheme="minorHAnsi"/>
        </w:rPr>
        <w:t>Uhlmannovi</w:t>
      </w:r>
      <w:proofErr w:type="spellEnd"/>
    </w:p>
    <w:p w:rsidR="00915A81" w:rsidRPr="002D7A10" w:rsidRDefault="00915A81" w:rsidP="00EC0E86">
      <w:pPr>
        <w:rPr>
          <w:rFonts w:asciiTheme="minorHAnsi" w:hAnsiTheme="minorHAnsi"/>
        </w:rPr>
      </w:pPr>
      <w:r w:rsidRPr="002D7A10">
        <w:rPr>
          <w:rFonts w:asciiTheme="minorHAnsi" w:hAnsiTheme="minorHAnsi"/>
        </w:rPr>
        <w:t>prof. Ing. Bystríkovi Bezákovi, PhD.</w:t>
      </w:r>
    </w:p>
    <w:p w:rsidR="00915A81" w:rsidRPr="002D7A10" w:rsidRDefault="00915A81" w:rsidP="00EC0E86">
      <w:pPr>
        <w:rPr>
          <w:rFonts w:asciiTheme="minorHAnsi" w:hAnsiTheme="minorHAnsi"/>
        </w:rPr>
      </w:pPr>
      <w:proofErr w:type="spellStart"/>
      <w:r w:rsidRPr="002D7A10">
        <w:rPr>
          <w:rFonts w:asciiTheme="minorHAnsi" w:hAnsiTheme="minorHAnsi"/>
        </w:rPr>
        <w:t>Robert-Jan</w:t>
      </w:r>
      <w:proofErr w:type="spellEnd"/>
      <w:r w:rsidRPr="002D7A10">
        <w:rPr>
          <w:rFonts w:asciiTheme="minorHAnsi" w:hAnsiTheme="minorHAnsi"/>
        </w:rPr>
        <w:t xml:space="preserve"> </w:t>
      </w:r>
      <w:proofErr w:type="spellStart"/>
      <w:r w:rsidRPr="002D7A10">
        <w:rPr>
          <w:rFonts w:asciiTheme="minorHAnsi" w:hAnsiTheme="minorHAnsi"/>
        </w:rPr>
        <w:t>Smitsovi</w:t>
      </w:r>
      <w:proofErr w:type="spellEnd"/>
    </w:p>
    <w:p w:rsidR="00915A81" w:rsidRPr="002D7A10" w:rsidRDefault="00915A81" w:rsidP="00EC0E86">
      <w:pPr>
        <w:rPr>
          <w:rFonts w:asciiTheme="minorHAnsi" w:hAnsiTheme="minorHAnsi"/>
        </w:rPr>
      </w:pPr>
      <w:r w:rsidRPr="002D7A10">
        <w:rPr>
          <w:rFonts w:asciiTheme="minorHAnsi" w:hAnsiTheme="minorHAnsi"/>
        </w:rPr>
        <w:t xml:space="preserve">prof. Ing. Jánovi </w:t>
      </w:r>
      <w:proofErr w:type="spellStart"/>
      <w:r w:rsidRPr="002D7A10">
        <w:rPr>
          <w:rFonts w:asciiTheme="minorHAnsi" w:hAnsiTheme="minorHAnsi"/>
        </w:rPr>
        <w:t>Šajbidorovi</w:t>
      </w:r>
      <w:proofErr w:type="spellEnd"/>
      <w:r w:rsidRPr="002D7A10">
        <w:rPr>
          <w:rFonts w:asciiTheme="minorHAnsi" w:hAnsiTheme="minorHAnsi"/>
        </w:rPr>
        <w:t>, DrSc.</w:t>
      </w:r>
    </w:p>
    <w:p w:rsidR="00915A81" w:rsidRPr="002D7A10" w:rsidRDefault="00915A81" w:rsidP="00EC0E86">
      <w:pPr>
        <w:rPr>
          <w:rFonts w:asciiTheme="minorHAnsi" w:hAnsiTheme="minorHAnsi"/>
        </w:rPr>
      </w:pPr>
      <w:r w:rsidRPr="002D7A10">
        <w:rPr>
          <w:rFonts w:asciiTheme="minorHAnsi" w:hAnsiTheme="minorHAnsi"/>
        </w:rPr>
        <w:t xml:space="preserve">prof. Ing. Ľuborovi </w:t>
      </w:r>
      <w:proofErr w:type="spellStart"/>
      <w:r w:rsidRPr="002D7A10">
        <w:rPr>
          <w:rFonts w:asciiTheme="minorHAnsi" w:hAnsiTheme="minorHAnsi"/>
        </w:rPr>
        <w:t>Fišerovi</w:t>
      </w:r>
      <w:proofErr w:type="spellEnd"/>
      <w:r w:rsidRPr="002D7A10">
        <w:rPr>
          <w:rFonts w:asciiTheme="minorHAnsi" w:hAnsiTheme="minorHAnsi"/>
        </w:rPr>
        <w:t xml:space="preserve">, DrSc.. </w:t>
      </w:r>
    </w:p>
    <w:p w:rsidR="00B51749" w:rsidRPr="002D7A10" w:rsidRDefault="00B51749" w:rsidP="00EC0E86">
      <w:pPr>
        <w:rPr>
          <w:rFonts w:asciiTheme="minorHAnsi" w:hAnsiTheme="minorHAnsi"/>
          <w:b/>
          <w:color w:val="FF0000"/>
        </w:rPr>
      </w:pPr>
      <w:bookmarkStart w:id="48" w:name="_Toc221901816"/>
    </w:p>
    <w:p w:rsidR="00B51749" w:rsidRPr="002D7A10" w:rsidRDefault="00B51749" w:rsidP="00EC0E86">
      <w:pPr>
        <w:tabs>
          <w:tab w:val="left" w:pos="426"/>
          <w:tab w:val="left" w:pos="7371"/>
          <w:tab w:val="left" w:pos="8280"/>
        </w:tabs>
        <w:rPr>
          <w:rFonts w:asciiTheme="minorHAnsi" w:hAnsiTheme="minorHAnsi"/>
          <w:i/>
        </w:rPr>
      </w:pPr>
      <w:r w:rsidRPr="002D7A10">
        <w:rPr>
          <w:rFonts w:asciiTheme="minorHAnsi" w:hAnsiTheme="minorHAnsi"/>
        </w:rPr>
        <w:t>R</w:t>
      </w:r>
      <w:r w:rsidR="00915A81" w:rsidRPr="002D7A10">
        <w:rPr>
          <w:rFonts w:asciiTheme="minorHAnsi" w:hAnsiTheme="minorHAnsi"/>
        </w:rPr>
        <w:t>ovnako pri príležitosti významného životného jubilea udelil r</w:t>
      </w:r>
      <w:r w:rsidRPr="002D7A10">
        <w:rPr>
          <w:rFonts w:asciiTheme="minorHAnsi" w:hAnsiTheme="minorHAnsi"/>
        </w:rPr>
        <w:t xml:space="preserve">ektor STU </w:t>
      </w:r>
      <w:r w:rsidR="00915A81" w:rsidRPr="002D7A10">
        <w:rPr>
          <w:rFonts w:asciiTheme="minorHAnsi" w:hAnsiTheme="minorHAnsi"/>
        </w:rPr>
        <w:t>v</w:t>
      </w:r>
      <w:r w:rsidRPr="002D7A10">
        <w:rPr>
          <w:rFonts w:asciiTheme="minorHAnsi" w:hAnsiTheme="minorHAnsi"/>
        </w:rPr>
        <w:t xml:space="preserve"> roku 201</w:t>
      </w:r>
      <w:r w:rsidR="00915A81" w:rsidRPr="002D7A10">
        <w:rPr>
          <w:rFonts w:asciiTheme="minorHAnsi" w:hAnsiTheme="minorHAnsi"/>
        </w:rPr>
        <w:t>5</w:t>
      </w:r>
      <w:r w:rsidRPr="002D7A10">
        <w:rPr>
          <w:rFonts w:asciiTheme="minorHAnsi" w:hAnsiTheme="minorHAnsi"/>
        </w:rPr>
        <w:t xml:space="preserve"> </w:t>
      </w:r>
      <w:r w:rsidRPr="002D7A10">
        <w:rPr>
          <w:rFonts w:asciiTheme="minorHAnsi" w:hAnsiTheme="minorHAnsi"/>
          <w:b/>
        </w:rPr>
        <w:t>Medailu STU</w:t>
      </w:r>
      <w:r w:rsidRPr="002D7A10">
        <w:rPr>
          <w:rFonts w:asciiTheme="minorHAnsi" w:hAnsiTheme="minorHAnsi"/>
        </w:rPr>
        <w:t xml:space="preserve"> </w:t>
      </w:r>
      <w:proofErr w:type="spellStart"/>
      <w:r w:rsidR="00915A81" w:rsidRPr="002D7A10">
        <w:rPr>
          <w:rFonts w:asciiTheme="minorHAnsi" w:hAnsiTheme="minorHAnsi"/>
        </w:rPr>
        <w:t>Dr.-Ing</w:t>
      </w:r>
      <w:proofErr w:type="spellEnd"/>
      <w:r w:rsidR="00915A81" w:rsidRPr="002D7A10">
        <w:rPr>
          <w:rFonts w:asciiTheme="minorHAnsi" w:hAnsiTheme="minorHAnsi"/>
        </w:rPr>
        <w:t>.</w:t>
      </w:r>
      <w:r w:rsidR="00915A81" w:rsidRPr="002D7A10">
        <w:rPr>
          <w:rFonts w:asciiTheme="minorHAnsi" w:hAnsiTheme="minorHAnsi"/>
          <w:b/>
        </w:rPr>
        <w:t xml:space="preserve"> </w:t>
      </w:r>
      <w:proofErr w:type="spellStart"/>
      <w:r w:rsidR="00915A81" w:rsidRPr="002D7A10">
        <w:rPr>
          <w:rFonts w:asciiTheme="minorHAnsi" w:hAnsiTheme="minorHAnsi"/>
        </w:rPr>
        <w:t>Herbertovi</w:t>
      </w:r>
      <w:proofErr w:type="spellEnd"/>
      <w:r w:rsidR="00915A81" w:rsidRPr="002D7A10">
        <w:rPr>
          <w:rFonts w:asciiTheme="minorHAnsi" w:hAnsiTheme="minorHAnsi"/>
        </w:rPr>
        <w:t xml:space="preserve"> </w:t>
      </w:r>
      <w:proofErr w:type="spellStart"/>
      <w:r w:rsidR="00915A81" w:rsidRPr="002D7A10">
        <w:rPr>
          <w:rFonts w:asciiTheme="minorHAnsi" w:hAnsiTheme="minorHAnsi"/>
        </w:rPr>
        <w:t>Tippmannovi</w:t>
      </w:r>
      <w:proofErr w:type="spellEnd"/>
      <w:r w:rsidR="00915A81" w:rsidRPr="002D7A10">
        <w:rPr>
          <w:rFonts w:asciiTheme="minorHAnsi" w:hAnsiTheme="minorHAnsi"/>
        </w:rPr>
        <w:t xml:space="preserve">  a Dr. </w:t>
      </w:r>
      <w:proofErr w:type="spellStart"/>
      <w:r w:rsidR="00915A81" w:rsidRPr="002D7A10">
        <w:rPr>
          <w:rFonts w:asciiTheme="minorHAnsi" w:hAnsiTheme="minorHAnsi"/>
        </w:rPr>
        <w:t>rer</w:t>
      </w:r>
      <w:proofErr w:type="spellEnd"/>
      <w:r w:rsidR="00915A81" w:rsidRPr="002D7A10">
        <w:rPr>
          <w:rFonts w:asciiTheme="minorHAnsi" w:hAnsiTheme="minorHAnsi"/>
        </w:rPr>
        <w:t xml:space="preserve">. </w:t>
      </w:r>
      <w:proofErr w:type="spellStart"/>
      <w:r w:rsidR="00915A81" w:rsidRPr="002D7A10">
        <w:rPr>
          <w:rFonts w:asciiTheme="minorHAnsi" w:hAnsiTheme="minorHAnsi"/>
        </w:rPr>
        <w:t>nat</w:t>
      </w:r>
      <w:proofErr w:type="spellEnd"/>
      <w:r w:rsidR="00915A81" w:rsidRPr="002D7A10">
        <w:rPr>
          <w:rFonts w:asciiTheme="minorHAnsi" w:hAnsiTheme="minorHAnsi"/>
        </w:rPr>
        <w:t xml:space="preserve">. </w:t>
      </w:r>
      <w:proofErr w:type="spellStart"/>
      <w:r w:rsidR="00915A81" w:rsidRPr="002D7A10">
        <w:rPr>
          <w:rFonts w:asciiTheme="minorHAnsi" w:hAnsiTheme="minorHAnsi"/>
        </w:rPr>
        <w:t>Volkmarovi</w:t>
      </w:r>
      <w:proofErr w:type="spellEnd"/>
      <w:r w:rsidR="00915A81" w:rsidRPr="002D7A10">
        <w:rPr>
          <w:rFonts w:asciiTheme="minorHAnsi" w:hAnsiTheme="minorHAnsi"/>
        </w:rPr>
        <w:t xml:space="preserve"> </w:t>
      </w:r>
      <w:proofErr w:type="spellStart"/>
      <w:r w:rsidR="00915A81" w:rsidRPr="002D7A10">
        <w:rPr>
          <w:rFonts w:asciiTheme="minorHAnsi" w:hAnsiTheme="minorHAnsi"/>
        </w:rPr>
        <w:t>Breternitzovi</w:t>
      </w:r>
      <w:proofErr w:type="spellEnd"/>
      <w:r w:rsidR="00915A81" w:rsidRPr="002D7A10">
        <w:rPr>
          <w:rFonts w:asciiTheme="minorHAnsi" w:hAnsiTheme="minorHAnsi"/>
        </w:rPr>
        <w:t xml:space="preserve">. </w:t>
      </w:r>
    </w:p>
    <w:p w:rsidR="00B51749" w:rsidRPr="002D7A10" w:rsidRDefault="00B51749" w:rsidP="00EC0E86">
      <w:pPr>
        <w:rPr>
          <w:rFonts w:asciiTheme="minorHAnsi" w:hAnsiTheme="minorHAnsi"/>
          <w:b/>
          <w:color w:val="FF0000"/>
        </w:rPr>
      </w:pPr>
    </w:p>
    <w:p w:rsidR="00E078BE" w:rsidRPr="002D7A10" w:rsidRDefault="00915A81" w:rsidP="00EC0E86">
      <w:pPr>
        <w:rPr>
          <w:rFonts w:asciiTheme="minorHAnsi" w:hAnsiTheme="minorHAnsi"/>
        </w:rPr>
      </w:pPr>
      <w:r w:rsidRPr="002D7A10">
        <w:rPr>
          <w:rFonts w:asciiTheme="minorHAnsi" w:hAnsiTheme="minorHAnsi"/>
        </w:rPr>
        <w:t xml:space="preserve">Od roku 2007 rektor Slovenskej technickej univerzity v Bratislave udeľuje významným osobnostiam ocenenia Vedec roka STU.  Cenu </w:t>
      </w:r>
      <w:r w:rsidRPr="002D7A10">
        <w:rPr>
          <w:rFonts w:asciiTheme="minorHAnsi" w:hAnsiTheme="minorHAnsi"/>
          <w:b/>
        </w:rPr>
        <w:t>Vedec roka STU 2015</w:t>
      </w:r>
      <w:r w:rsidRPr="002D7A10">
        <w:rPr>
          <w:rFonts w:asciiTheme="minorHAnsi" w:hAnsiTheme="minorHAnsi"/>
        </w:rPr>
        <w:t xml:space="preserve"> získal  </w:t>
      </w:r>
      <w:r w:rsidRPr="002D7A10">
        <w:rPr>
          <w:rFonts w:asciiTheme="minorHAnsi" w:hAnsiTheme="minorHAnsi"/>
          <w:b/>
        </w:rPr>
        <w:t xml:space="preserve">prof. Ing. Marcel </w:t>
      </w:r>
      <w:proofErr w:type="spellStart"/>
      <w:r w:rsidRPr="002D7A10">
        <w:rPr>
          <w:rFonts w:asciiTheme="minorHAnsi" w:hAnsiTheme="minorHAnsi"/>
          <w:b/>
        </w:rPr>
        <w:t>Miglierini</w:t>
      </w:r>
      <w:proofErr w:type="spellEnd"/>
      <w:r w:rsidRPr="002D7A10">
        <w:rPr>
          <w:rFonts w:asciiTheme="minorHAnsi" w:hAnsiTheme="minorHAnsi"/>
          <w:b/>
        </w:rPr>
        <w:t xml:space="preserve">, DrSc. </w:t>
      </w:r>
      <w:r w:rsidRPr="002D7A10">
        <w:rPr>
          <w:rFonts w:asciiTheme="minorHAnsi" w:hAnsiTheme="minorHAnsi"/>
        </w:rPr>
        <w:t xml:space="preserve">z Ústavu jadrového a fyzikálneho inžinierstva Fakulty elektrotechniky a informatiky STU. Cenu Vedec roka STU 2015 v kategórii </w:t>
      </w:r>
      <w:r w:rsidRPr="002D7A10">
        <w:rPr>
          <w:rFonts w:asciiTheme="minorHAnsi" w:hAnsiTheme="minorHAnsi"/>
          <w:b/>
        </w:rPr>
        <w:t>Mladý vedecký pracovník</w:t>
      </w:r>
      <w:r w:rsidRPr="002D7A10">
        <w:rPr>
          <w:rFonts w:asciiTheme="minorHAnsi" w:hAnsiTheme="minorHAnsi"/>
        </w:rPr>
        <w:t xml:space="preserve"> získal </w:t>
      </w:r>
      <w:r w:rsidRPr="002D7A10">
        <w:rPr>
          <w:rFonts w:asciiTheme="minorHAnsi" w:hAnsiTheme="minorHAnsi"/>
          <w:b/>
        </w:rPr>
        <w:t xml:space="preserve">Ing. Tomáš </w:t>
      </w:r>
      <w:proofErr w:type="spellStart"/>
      <w:r w:rsidRPr="002D7A10">
        <w:rPr>
          <w:rFonts w:asciiTheme="minorHAnsi" w:hAnsiTheme="minorHAnsi"/>
          <w:b/>
        </w:rPr>
        <w:t>Mackuľak</w:t>
      </w:r>
      <w:proofErr w:type="spellEnd"/>
      <w:r w:rsidRPr="002D7A10">
        <w:rPr>
          <w:rFonts w:asciiTheme="minorHAnsi" w:hAnsiTheme="minorHAnsi"/>
          <w:b/>
        </w:rPr>
        <w:t xml:space="preserve">, PhD. </w:t>
      </w:r>
      <w:r w:rsidRPr="002D7A10">
        <w:rPr>
          <w:rFonts w:asciiTheme="minorHAnsi" w:hAnsiTheme="minorHAnsi"/>
        </w:rPr>
        <w:t xml:space="preserve">z Oddelenia environmentálneho inžinierstva Fakulty chemickej a potravinárskej technológie STU. </w:t>
      </w:r>
    </w:p>
    <w:p w:rsidR="00BA4F1D" w:rsidRPr="002D7A10" w:rsidRDefault="00BA4F1D" w:rsidP="00EC0E86">
      <w:pPr>
        <w:rPr>
          <w:rFonts w:asciiTheme="minorHAnsi" w:eastAsia="Times New Roman" w:hAnsiTheme="minorHAnsi"/>
          <w:lang w:eastAsia="sk-SK"/>
        </w:rPr>
      </w:pPr>
      <w:r w:rsidRPr="002D7A10">
        <w:rPr>
          <w:rFonts w:asciiTheme="minorHAnsi" w:eastAsia="Times New Roman" w:hAnsiTheme="minorHAnsi"/>
          <w:lang w:eastAsia="sk-SK"/>
        </w:rPr>
        <w:t xml:space="preserve">Ocenenie </w:t>
      </w:r>
      <w:r w:rsidRPr="002D7A10">
        <w:rPr>
          <w:rFonts w:asciiTheme="minorHAnsi" w:eastAsia="Times New Roman" w:hAnsiTheme="minorHAnsi"/>
          <w:b/>
          <w:bCs/>
          <w:lang w:eastAsia="sk-SK"/>
        </w:rPr>
        <w:t xml:space="preserve">Profesor STU </w:t>
      </w:r>
      <w:r w:rsidRPr="002D7A10">
        <w:rPr>
          <w:rFonts w:asciiTheme="minorHAnsi" w:eastAsia="Times New Roman" w:hAnsiTheme="minorHAnsi"/>
          <w:bCs/>
          <w:lang w:eastAsia="sk-SK"/>
        </w:rPr>
        <w:t xml:space="preserve">si z rúk rektora </w:t>
      </w:r>
      <w:proofErr w:type="spellStart"/>
      <w:r w:rsidRPr="002D7A10">
        <w:rPr>
          <w:rFonts w:asciiTheme="minorHAnsi" w:eastAsia="Times New Roman" w:hAnsiTheme="minorHAnsi"/>
          <w:bCs/>
          <w:lang w:eastAsia="sk-SK"/>
        </w:rPr>
        <w:t>Roberta</w:t>
      </w:r>
      <w:proofErr w:type="spellEnd"/>
      <w:r w:rsidRPr="002D7A10">
        <w:rPr>
          <w:rFonts w:asciiTheme="minorHAnsi" w:eastAsia="Times New Roman" w:hAnsiTheme="minorHAnsi"/>
          <w:bCs/>
          <w:lang w:eastAsia="sk-SK"/>
        </w:rPr>
        <w:t xml:space="preserve"> </w:t>
      </w:r>
      <w:proofErr w:type="spellStart"/>
      <w:r w:rsidRPr="002D7A10">
        <w:rPr>
          <w:rFonts w:asciiTheme="minorHAnsi" w:eastAsia="Times New Roman" w:hAnsiTheme="minorHAnsi"/>
          <w:bCs/>
          <w:lang w:eastAsia="sk-SK"/>
        </w:rPr>
        <w:t>Redhammera</w:t>
      </w:r>
      <w:proofErr w:type="spellEnd"/>
      <w:r w:rsidRPr="002D7A10">
        <w:rPr>
          <w:rFonts w:asciiTheme="minorHAnsi" w:eastAsia="Times New Roman" w:hAnsiTheme="minorHAnsi"/>
          <w:bCs/>
          <w:lang w:eastAsia="sk-SK"/>
        </w:rPr>
        <w:t xml:space="preserve"> v roku 2015 prevzali nasledovný profesori: </w:t>
      </w:r>
    </w:p>
    <w:p w:rsidR="00BA4F1D" w:rsidRPr="002D7A10" w:rsidRDefault="00BA4F1D" w:rsidP="00EC0E86">
      <w:pPr>
        <w:rPr>
          <w:rFonts w:asciiTheme="minorHAnsi" w:eastAsia="Times New Roman" w:hAnsiTheme="minorHAnsi"/>
          <w:lang w:eastAsia="sk-SK"/>
        </w:rPr>
      </w:pPr>
      <w:r w:rsidRPr="002D7A10">
        <w:rPr>
          <w:rFonts w:asciiTheme="minorHAnsi" w:eastAsia="Times New Roman" w:hAnsiTheme="minorHAnsi"/>
          <w:bCs/>
          <w:lang w:eastAsia="sk-SK"/>
        </w:rPr>
        <w:t xml:space="preserve">prof. Ing. Ľubomír </w:t>
      </w:r>
      <w:proofErr w:type="spellStart"/>
      <w:r w:rsidRPr="002D7A10">
        <w:rPr>
          <w:rFonts w:asciiTheme="minorHAnsi" w:eastAsia="Times New Roman" w:hAnsiTheme="minorHAnsi"/>
          <w:bCs/>
          <w:lang w:eastAsia="sk-SK"/>
        </w:rPr>
        <w:t>Šooš</w:t>
      </w:r>
      <w:proofErr w:type="spellEnd"/>
      <w:r w:rsidRPr="002D7A10">
        <w:rPr>
          <w:rFonts w:asciiTheme="minorHAnsi" w:eastAsia="Times New Roman" w:hAnsiTheme="minorHAnsi"/>
          <w:bCs/>
          <w:lang w:eastAsia="sk-SK"/>
        </w:rPr>
        <w:t xml:space="preserve">, PhD. (Strojnícka fakulta STU), </w:t>
      </w:r>
    </w:p>
    <w:p w:rsidR="00BA4F1D" w:rsidRPr="002D7A10" w:rsidRDefault="00BA4F1D" w:rsidP="00EC0E86">
      <w:pPr>
        <w:rPr>
          <w:rFonts w:asciiTheme="minorHAnsi" w:eastAsia="Times New Roman" w:hAnsiTheme="minorHAnsi"/>
          <w:lang w:eastAsia="sk-SK"/>
        </w:rPr>
      </w:pPr>
      <w:r w:rsidRPr="002D7A10">
        <w:rPr>
          <w:rFonts w:asciiTheme="minorHAnsi" w:eastAsia="Times New Roman" w:hAnsiTheme="minorHAnsi"/>
          <w:bCs/>
          <w:lang w:eastAsia="sk-SK"/>
        </w:rPr>
        <w:t xml:space="preserve">prof. Ing. Ľubomír </w:t>
      </w:r>
      <w:proofErr w:type="spellStart"/>
      <w:r w:rsidRPr="002D7A10">
        <w:rPr>
          <w:rFonts w:asciiTheme="minorHAnsi" w:eastAsia="Times New Roman" w:hAnsiTheme="minorHAnsi"/>
          <w:bCs/>
          <w:lang w:eastAsia="sk-SK"/>
        </w:rPr>
        <w:t>Čaplovič</w:t>
      </w:r>
      <w:proofErr w:type="spellEnd"/>
      <w:r w:rsidRPr="002D7A10">
        <w:rPr>
          <w:rFonts w:asciiTheme="minorHAnsi" w:eastAsia="Times New Roman" w:hAnsiTheme="minorHAnsi"/>
          <w:bCs/>
          <w:lang w:eastAsia="sk-SK"/>
        </w:rPr>
        <w:t>, PhD. (</w:t>
      </w:r>
      <w:proofErr w:type="spellStart"/>
      <w:r w:rsidRPr="002D7A10">
        <w:rPr>
          <w:rFonts w:asciiTheme="minorHAnsi" w:eastAsia="Times New Roman" w:hAnsiTheme="minorHAnsi"/>
          <w:bCs/>
          <w:lang w:eastAsia="sk-SK"/>
        </w:rPr>
        <w:t>Materiálovotechnologická</w:t>
      </w:r>
      <w:proofErr w:type="spellEnd"/>
      <w:r w:rsidRPr="002D7A10">
        <w:rPr>
          <w:rFonts w:asciiTheme="minorHAnsi" w:eastAsia="Times New Roman" w:hAnsiTheme="minorHAnsi"/>
          <w:bCs/>
          <w:lang w:eastAsia="sk-SK"/>
        </w:rPr>
        <w:t xml:space="preserve"> fakulta STU), </w:t>
      </w:r>
    </w:p>
    <w:p w:rsidR="00BA4F1D" w:rsidRPr="002D7A10" w:rsidRDefault="00BA4F1D" w:rsidP="00EC0E86">
      <w:pPr>
        <w:rPr>
          <w:rFonts w:asciiTheme="minorHAnsi" w:eastAsia="Times New Roman" w:hAnsiTheme="minorHAnsi"/>
          <w:lang w:eastAsia="sk-SK"/>
        </w:rPr>
      </w:pPr>
      <w:r w:rsidRPr="002D7A10">
        <w:rPr>
          <w:rFonts w:asciiTheme="minorHAnsi" w:eastAsia="Times New Roman" w:hAnsiTheme="minorHAnsi"/>
          <w:bCs/>
          <w:lang w:eastAsia="sk-SK"/>
        </w:rPr>
        <w:t xml:space="preserve"> prof. Ing. Alojz Kopáčik, PhD. (Stavebná fakulta STU), </w:t>
      </w:r>
    </w:p>
    <w:p w:rsidR="00BA4F1D" w:rsidRPr="002D7A10" w:rsidRDefault="00BA4F1D" w:rsidP="00EC0E86">
      <w:pPr>
        <w:rPr>
          <w:rFonts w:asciiTheme="minorHAnsi" w:eastAsia="Times New Roman" w:hAnsiTheme="minorHAnsi"/>
          <w:lang w:eastAsia="sk-SK"/>
        </w:rPr>
      </w:pPr>
      <w:r w:rsidRPr="002D7A10">
        <w:rPr>
          <w:rFonts w:asciiTheme="minorHAnsi" w:eastAsia="Times New Roman" w:hAnsiTheme="minorHAnsi"/>
          <w:bCs/>
          <w:lang w:eastAsia="sk-SK"/>
        </w:rPr>
        <w:t xml:space="preserve">prof. Ing. Pavol Podhradský, PhD. (Fakulta elektrotechniky a informatiky STU), </w:t>
      </w:r>
    </w:p>
    <w:p w:rsidR="00B51749" w:rsidRPr="00D04241" w:rsidRDefault="00BA4F1D" w:rsidP="00B51749">
      <w:pPr>
        <w:rPr>
          <w:rFonts w:asciiTheme="minorHAnsi" w:eastAsia="Times New Roman" w:hAnsiTheme="minorHAnsi"/>
          <w:lang w:eastAsia="sk-SK"/>
        </w:rPr>
      </w:pPr>
      <w:r w:rsidRPr="002D7A10">
        <w:rPr>
          <w:rFonts w:asciiTheme="minorHAnsi" w:eastAsia="Times New Roman" w:hAnsiTheme="minorHAnsi"/>
          <w:bCs/>
          <w:lang w:eastAsia="sk-SK"/>
        </w:rPr>
        <w:t>prof. Ing. Arch. Pavel Gregor, P</w:t>
      </w:r>
      <w:r w:rsidR="00D04241">
        <w:rPr>
          <w:rFonts w:asciiTheme="minorHAnsi" w:eastAsia="Times New Roman" w:hAnsiTheme="minorHAnsi"/>
          <w:bCs/>
          <w:lang w:eastAsia="sk-SK"/>
        </w:rPr>
        <w:t>hD. (Fakulta architektúry STU).</w:t>
      </w:r>
    </w:p>
    <w:bookmarkEnd w:id="48"/>
    <w:p w:rsidR="00520814" w:rsidRDefault="00520814">
      <w:pPr>
        <w:spacing w:after="200" w:line="276" w:lineRule="auto"/>
        <w:jc w:val="left"/>
        <w:rPr>
          <w:rFonts w:asciiTheme="minorHAnsi" w:hAnsiTheme="minorHAnsi"/>
          <w:color w:val="FF0000"/>
        </w:rPr>
      </w:pPr>
      <w:r>
        <w:rPr>
          <w:rFonts w:asciiTheme="minorHAnsi" w:hAnsiTheme="minorHAnsi"/>
          <w:color w:val="FF0000"/>
        </w:rPr>
        <w:br w:type="page"/>
      </w:r>
    </w:p>
    <w:p w:rsidR="00B51749" w:rsidRPr="002D7A10" w:rsidRDefault="00B51749" w:rsidP="00B51749">
      <w:pPr>
        <w:rPr>
          <w:rFonts w:asciiTheme="minorHAnsi" w:hAnsiTheme="minorHAnsi"/>
          <w:color w:val="FF0000"/>
        </w:rPr>
      </w:pPr>
    </w:p>
    <w:p w:rsidR="00B51749" w:rsidRPr="002D7A10" w:rsidRDefault="00B51749" w:rsidP="00B51749">
      <w:pPr>
        <w:pStyle w:val="Nadpis1"/>
        <w:rPr>
          <w:rFonts w:asciiTheme="minorHAnsi" w:hAnsiTheme="minorHAnsi"/>
          <w:color w:val="auto"/>
          <w:sz w:val="24"/>
          <w:szCs w:val="24"/>
        </w:rPr>
      </w:pPr>
      <w:bookmarkStart w:id="49" w:name="_Toc448261590"/>
      <w:r w:rsidRPr="002D7A10">
        <w:rPr>
          <w:rFonts w:asciiTheme="minorHAnsi" w:hAnsiTheme="minorHAnsi"/>
          <w:color w:val="auto"/>
          <w:sz w:val="24"/>
          <w:szCs w:val="24"/>
        </w:rPr>
        <w:t>Zamestnanci vysokej školy</w:t>
      </w:r>
      <w:bookmarkEnd w:id="49"/>
    </w:p>
    <w:p w:rsidR="00B51749" w:rsidRPr="002D7A10" w:rsidRDefault="00B51749" w:rsidP="00B51749">
      <w:pPr>
        <w:rPr>
          <w:rFonts w:asciiTheme="minorHAnsi" w:hAnsiTheme="minorHAnsi"/>
          <w:color w:val="FF0000"/>
          <w:lang w:eastAsia="cs-CZ"/>
        </w:rPr>
      </w:pPr>
    </w:p>
    <w:p w:rsidR="009911AF" w:rsidRDefault="00B51749" w:rsidP="00EC0E86">
      <w:pPr>
        <w:pStyle w:val="Default"/>
        <w:jc w:val="both"/>
        <w:rPr>
          <w:rFonts w:asciiTheme="minorHAnsi" w:hAnsiTheme="minorHAnsi" w:cs="Times New Roman"/>
          <w:color w:val="auto"/>
          <w:lang w:val="sk-SK"/>
        </w:rPr>
      </w:pPr>
      <w:r w:rsidRPr="002D7A10">
        <w:rPr>
          <w:rFonts w:asciiTheme="minorHAnsi" w:hAnsiTheme="minorHAnsi" w:cs="Times New Roman"/>
          <w:color w:val="auto"/>
          <w:lang w:val="sk-SK"/>
        </w:rPr>
        <w:t xml:space="preserve">Celkový </w:t>
      </w:r>
      <w:r w:rsidRPr="002D7A10">
        <w:rPr>
          <w:rFonts w:asciiTheme="minorHAnsi" w:hAnsiTheme="minorHAnsi" w:cs="Times New Roman"/>
          <w:b/>
          <w:color w:val="auto"/>
          <w:lang w:val="sk-SK"/>
        </w:rPr>
        <w:t>počet zamestnancov univerzity sa medziročne znížil</w:t>
      </w:r>
      <w:r w:rsidRPr="002D7A10">
        <w:rPr>
          <w:rFonts w:asciiTheme="minorHAnsi" w:hAnsiTheme="minorHAnsi" w:cs="Times New Roman"/>
          <w:color w:val="auto"/>
          <w:lang w:val="sk-SK"/>
        </w:rPr>
        <w:t xml:space="preserve">, negatívnom je, že </w:t>
      </w:r>
      <w:r w:rsidR="009911AF" w:rsidRPr="002D7A10">
        <w:rPr>
          <w:rFonts w:asciiTheme="minorHAnsi" w:hAnsiTheme="minorHAnsi" w:cs="Times New Roman"/>
          <w:color w:val="auto"/>
          <w:lang w:val="sk-SK"/>
        </w:rPr>
        <w:t>pokračovalo aj znižovanie počtu vysokoškolských učiteľov a</w:t>
      </w:r>
      <w:r w:rsidRPr="002D7A10">
        <w:rPr>
          <w:rFonts w:asciiTheme="minorHAnsi" w:hAnsiTheme="minorHAnsi" w:cs="Times New Roman"/>
          <w:color w:val="auto"/>
          <w:lang w:val="sk-SK"/>
        </w:rPr>
        <w:t xml:space="preserve"> </w:t>
      </w:r>
      <w:r w:rsidR="00F14D0F" w:rsidRPr="002D7A10">
        <w:rPr>
          <w:rFonts w:asciiTheme="minorHAnsi" w:hAnsiTheme="minorHAnsi" w:cs="Times New Roman"/>
          <w:color w:val="auto"/>
          <w:lang w:val="sk-SK"/>
        </w:rPr>
        <w:t xml:space="preserve">vedeckovýskumných pracovníkov. </w:t>
      </w:r>
      <w:r w:rsidR="009911AF" w:rsidRPr="002D7A10">
        <w:rPr>
          <w:rFonts w:asciiTheme="minorHAnsi" w:hAnsiTheme="minorHAnsi" w:cs="Times New Roman"/>
          <w:b/>
          <w:color w:val="auto"/>
          <w:lang w:val="sk-SK"/>
        </w:rPr>
        <w:t xml:space="preserve">V roku 2015 bol priemerný počet zamestnancov na STU 2835, z toho bolo 1118 vysokoškolských učiteľov a 425 vedeckovýskumných </w:t>
      </w:r>
      <w:r w:rsidR="009911AF" w:rsidRPr="00375F6E">
        <w:rPr>
          <w:rFonts w:asciiTheme="minorHAnsi" w:hAnsiTheme="minorHAnsi" w:cs="Times New Roman"/>
          <w:b/>
          <w:color w:val="auto"/>
          <w:lang w:val="sk-SK"/>
        </w:rPr>
        <w:t>zamestnancov</w:t>
      </w:r>
      <w:r w:rsidR="009911AF" w:rsidRPr="00375F6E">
        <w:rPr>
          <w:rFonts w:asciiTheme="minorHAnsi" w:hAnsiTheme="minorHAnsi" w:cs="Times New Roman"/>
          <w:color w:val="auto"/>
          <w:lang w:val="sk-SK"/>
        </w:rPr>
        <w:t xml:space="preserve">. </w:t>
      </w:r>
      <w:r w:rsidR="00375F6E" w:rsidRPr="00375F6E">
        <w:rPr>
          <w:rFonts w:asciiTheme="minorHAnsi" w:hAnsiTheme="minorHAnsi" w:cs="Times New Roman"/>
          <w:color w:val="auto"/>
          <w:lang w:val="sk-SK"/>
        </w:rPr>
        <w:t xml:space="preserve">Tabuľka 7.1. ukazuje porovnanie počtu zamestnancov za posledné obdobie. </w:t>
      </w:r>
    </w:p>
    <w:p w:rsidR="00375F6E" w:rsidRPr="00375F6E" w:rsidRDefault="00375F6E" w:rsidP="00EC0E86">
      <w:pPr>
        <w:pStyle w:val="Default"/>
        <w:jc w:val="both"/>
        <w:rPr>
          <w:rFonts w:asciiTheme="minorHAnsi" w:hAnsiTheme="minorHAnsi" w:cs="Times New Roman"/>
          <w:color w:val="auto"/>
          <w:lang w:val="sk-SK"/>
        </w:rPr>
      </w:pPr>
    </w:p>
    <w:p w:rsidR="00375F6E" w:rsidRPr="00375F6E" w:rsidRDefault="00375F6E" w:rsidP="00EC0E86">
      <w:pPr>
        <w:pStyle w:val="Default"/>
        <w:jc w:val="both"/>
        <w:rPr>
          <w:rFonts w:asciiTheme="minorHAnsi" w:hAnsiTheme="minorHAnsi" w:cs="Times New Roman"/>
          <w:b/>
          <w:color w:val="auto"/>
          <w:sz w:val="20"/>
          <w:szCs w:val="20"/>
          <w:lang w:val="sk-SK"/>
        </w:rPr>
      </w:pPr>
      <w:r w:rsidRPr="00375F6E">
        <w:rPr>
          <w:rFonts w:asciiTheme="minorHAnsi" w:hAnsiTheme="minorHAnsi" w:cs="Times New Roman"/>
          <w:b/>
          <w:color w:val="auto"/>
          <w:sz w:val="20"/>
          <w:szCs w:val="20"/>
          <w:lang w:val="sk-SK"/>
        </w:rPr>
        <w:t xml:space="preserve">Tabuľka 7.1. Porovnanie počtu zamestnancov </w:t>
      </w:r>
      <w:r>
        <w:rPr>
          <w:rFonts w:asciiTheme="minorHAnsi" w:hAnsiTheme="minorHAnsi" w:cs="Times New Roman"/>
          <w:b/>
          <w:color w:val="auto"/>
          <w:sz w:val="20"/>
          <w:szCs w:val="20"/>
          <w:lang w:val="sk-SK"/>
        </w:rPr>
        <w:t xml:space="preserve">STU v Bratislave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547"/>
        <w:gridCol w:w="1892"/>
        <w:gridCol w:w="1382"/>
      </w:tblGrid>
      <w:tr w:rsidR="0036272F" w:rsidRPr="0036272F" w:rsidTr="00375F6E">
        <w:tc>
          <w:tcPr>
            <w:tcW w:w="1023"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sz w:val="20"/>
                <w:szCs w:val="20"/>
              </w:rPr>
              <w:t>Rok</w:t>
            </w:r>
          </w:p>
        </w:tc>
        <w:tc>
          <w:tcPr>
            <w:tcW w:w="1547"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sz w:val="20"/>
                <w:szCs w:val="20"/>
              </w:rPr>
              <w:t>Počet vysokoškolských učiteľov</w:t>
            </w:r>
          </w:p>
        </w:tc>
        <w:tc>
          <w:tcPr>
            <w:tcW w:w="1792"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sz w:val="20"/>
                <w:szCs w:val="20"/>
              </w:rPr>
              <w:t xml:space="preserve">Počet vedeckovýskumných pracovníkov </w:t>
            </w:r>
          </w:p>
        </w:tc>
        <w:tc>
          <w:tcPr>
            <w:tcW w:w="1382"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sz w:val="20"/>
                <w:szCs w:val="20"/>
              </w:rPr>
              <w:t>Počet zamestnancov STU</w:t>
            </w:r>
          </w:p>
        </w:tc>
      </w:tr>
      <w:tr w:rsidR="0036272F" w:rsidRPr="0036272F" w:rsidTr="00375F6E">
        <w:tc>
          <w:tcPr>
            <w:tcW w:w="1023"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sz w:val="20"/>
                <w:szCs w:val="20"/>
              </w:rPr>
              <w:t>2012</w:t>
            </w:r>
          </w:p>
        </w:tc>
        <w:tc>
          <w:tcPr>
            <w:tcW w:w="1547"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noProof/>
                <w:sz w:val="20"/>
                <w:szCs w:val="20"/>
              </w:rPr>
              <w:t>1 172</w:t>
            </w:r>
          </w:p>
        </w:tc>
        <w:tc>
          <w:tcPr>
            <w:tcW w:w="1792"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noProof/>
                <w:sz w:val="20"/>
                <w:szCs w:val="20"/>
              </w:rPr>
              <w:t>425</w:t>
            </w:r>
          </w:p>
        </w:tc>
        <w:tc>
          <w:tcPr>
            <w:tcW w:w="1382"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noProof/>
                <w:sz w:val="20"/>
                <w:szCs w:val="20"/>
              </w:rPr>
              <w:t>3 015</w:t>
            </w:r>
          </w:p>
        </w:tc>
      </w:tr>
      <w:tr w:rsidR="0036272F" w:rsidRPr="0036272F" w:rsidTr="00375F6E">
        <w:tc>
          <w:tcPr>
            <w:tcW w:w="1023"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sz w:val="20"/>
                <w:szCs w:val="20"/>
              </w:rPr>
              <w:t>2013</w:t>
            </w:r>
          </w:p>
        </w:tc>
        <w:tc>
          <w:tcPr>
            <w:tcW w:w="1547"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noProof/>
                <w:sz w:val="20"/>
                <w:szCs w:val="20"/>
              </w:rPr>
              <w:t>1</w:t>
            </w:r>
            <w:r w:rsidR="0036272F">
              <w:rPr>
                <w:rFonts w:asciiTheme="minorHAnsi" w:hAnsiTheme="minorHAnsi"/>
                <w:noProof/>
                <w:sz w:val="20"/>
                <w:szCs w:val="20"/>
              </w:rPr>
              <w:t xml:space="preserve"> </w:t>
            </w:r>
            <w:r w:rsidRPr="0036272F">
              <w:rPr>
                <w:rFonts w:asciiTheme="minorHAnsi" w:hAnsiTheme="minorHAnsi"/>
                <w:noProof/>
                <w:sz w:val="20"/>
                <w:szCs w:val="20"/>
              </w:rPr>
              <w:t>175</w:t>
            </w:r>
          </w:p>
        </w:tc>
        <w:tc>
          <w:tcPr>
            <w:tcW w:w="1792"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noProof/>
                <w:sz w:val="20"/>
                <w:szCs w:val="20"/>
              </w:rPr>
              <w:t>450</w:t>
            </w:r>
          </w:p>
        </w:tc>
        <w:tc>
          <w:tcPr>
            <w:tcW w:w="1382"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noProof/>
                <w:sz w:val="20"/>
                <w:szCs w:val="20"/>
              </w:rPr>
              <w:t>2 998</w:t>
            </w:r>
          </w:p>
        </w:tc>
      </w:tr>
      <w:tr w:rsidR="0036272F" w:rsidRPr="0036272F" w:rsidTr="00375F6E">
        <w:tc>
          <w:tcPr>
            <w:tcW w:w="1023"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sz w:val="20"/>
                <w:szCs w:val="20"/>
              </w:rPr>
              <w:t>2014</w:t>
            </w:r>
          </w:p>
        </w:tc>
        <w:tc>
          <w:tcPr>
            <w:tcW w:w="1547" w:type="dxa"/>
            <w:shd w:val="clear" w:color="auto" w:fill="auto"/>
          </w:tcPr>
          <w:p w:rsidR="00375F6E" w:rsidRPr="0036272F" w:rsidRDefault="0036272F" w:rsidP="00375F6E">
            <w:pPr>
              <w:rPr>
                <w:rFonts w:asciiTheme="minorHAnsi" w:hAnsiTheme="minorHAnsi"/>
                <w:sz w:val="20"/>
                <w:szCs w:val="20"/>
              </w:rPr>
            </w:pPr>
            <w:r w:rsidRPr="0036272F">
              <w:rPr>
                <w:rFonts w:asciiTheme="minorHAnsi" w:hAnsiTheme="minorHAnsi"/>
                <w:sz w:val="20"/>
                <w:szCs w:val="20"/>
              </w:rPr>
              <w:t>1 158</w:t>
            </w:r>
          </w:p>
        </w:tc>
        <w:tc>
          <w:tcPr>
            <w:tcW w:w="1792" w:type="dxa"/>
            <w:shd w:val="clear" w:color="auto" w:fill="auto"/>
          </w:tcPr>
          <w:p w:rsidR="00375F6E" w:rsidRPr="0036272F" w:rsidRDefault="0036272F" w:rsidP="00375F6E">
            <w:pPr>
              <w:rPr>
                <w:rFonts w:asciiTheme="minorHAnsi" w:hAnsiTheme="minorHAnsi"/>
                <w:sz w:val="20"/>
                <w:szCs w:val="20"/>
              </w:rPr>
            </w:pPr>
            <w:r w:rsidRPr="0036272F">
              <w:rPr>
                <w:rFonts w:asciiTheme="minorHAnsi" w:hAnsiTheme="minorHAnsi"/>
                <w:sz w:val="20"/>
                <w:szCs w:val="20"/>
              </w:rPr>
              <w:t>438</w:t>
            </w:r>
          </w:p>
        </w:tc>
        <w:tc>
          <w:tcPr>
            <w:tcW w:w="1382" w:type="dxa"/>
            <w:shd w:val="clear" w:color="auto" w:fill="auto"/>
          </w:tcPr>
          <w:p w:rsidR="00375F6E" w:rsidRPr="0036272F" w:rsidRDefault="0036272F" w:rsidP="00375F6E">
            <w:pPr>
              <w:rPr>
                <w:rFonts w:asciiTheme="minorHAnsi" w:hAnsiTheme="minorHAnsi"/>
                <w:sz w:val="20"/>
                <w:szCs w:val="20"/>
              </w:rPr>
            </w:pPr>
            <w:r w:rsidRPr="0036272F">
              <w:rPr>
                <w:rFonts w:asciiTheme="minorHAnsi" w:hAnsiTheme="minorHAnsi"/>
                <w:sz w:val="20"/>
                <w:szCs w:val="20"/>
              </w:rPr>
              <w:t>2 935</w:t>
            </w:r>
          </w:p>
        </w:tc>
      </w:tr>
      <w:tr w:rsidR="0036272F" w:rsidRPr="0036272F" w:rsidTr="00375F6E">
        <w:tc>
          <w:tcPr>
            <w:tcW w:w="1023" w:type="dxa"/>
            <w:shd w:val="clear" w:color="auto" w:fill="auto"/>
          </w:tcPr>
          <w:p w:rsidR="00375F6E" w:rsidRPr="0036272F" w:rsidRDefault="00375F6E" w:rsidP="00375F6E">
            <w:pPr>
              <w:rPr>
                <w:rFonts w:asciiTheme="minorHAnsi" w:hAnsiTheme="minorHAnsi"/>
                <w:sz w:val="20"/>
                <w:szCs w:val="20"/>
              </w:rPr>
            </w:pPr>
            <w:r w:rsidRPr="0036272F">
              <w:rPr>
                <w:rFonts w:asciiTheme="minorHAnsi" w:hAnsiTheme="minorHAnsi"/>
                <w:sz w:val="20"/>
                <w:szCs w:val="20"/>
              </w:rPr>
              <w:t>2015</w:t>
            </w:r>
          </w:p>
        </w:tc>
        <w:tc>
          <w:tcPr>
            <w:tcW w:w="1547" w:type="dxa"/>
            <w:shd w:val="clear" w:color="auto" w:fill="auto"/>
          </w:tcPr>
          <w:p w:rsidR="00375F6E" w:rsidRPr="0036272F" w:rsidRDefault="0036272F" w:rsidP="00375F6E">
            <w:pPr>
              <w:rPr>
                <w:rFonts w:asciiTheme="minorHAnsi" w:hAnsiTheme="minorHAnsi"/>
                <w:sz w:val="20"/>
                <w:szCs w:val="20"/>
              </w:rPr>
            </w:pPr>
            <w:r w:rsidRPr="0036272F">
              <w:rPr>
                <w:rFonts w:asciiTheme="minorHAnsi" w:hAnsiTheme="minorHAnsi"/>
                <w:sz w:val="20"/>
                <w:szCs w:val="20"/>
              </w:rPr>
              <w:t>1</w:t>
            </w:r>
            <w:r>
              <w:rPr>
                <w:rFonts w:asciiTheme="minorHAnsi" w:hAnsiTheme="minorHAnsi"/>
                <w:sz w:val="20"/>
                <w:szCs w:val="20"/>
              </w:rPr>
              <w:t xml:space="preserve"> </w:t>
            </w:r>
            <w:r w:rsidRPr="0036272F">
              <w:rPr>
                <w:rFonts w:asciiTheme="minorHAnsi" w:hAnsiTheme="minorHAnsi"/>
                <w:sz w:val="20"/>
                <w:szCs w:val="20"/>
              </w:rPr>
              <w:t>118</w:t>
            </w:r>
          </w:p>
        </w:tc>
        <w:tc>
          <w:tcPr>
            <w:tcW w:w="1792" w:type="dxa"/>
            <w:shd w:val="clear" w:color="auto" w:fill="auto"/>
          </w:tcPr>
          <w:p w:rsidR="00375F6E" w:rsidRPr="0036272F" w:rsidRDefault="0036272F" w:rsidP="00375F6E">
            <w:pPr>
              <w:rPr>
                <w:rFonts w:asciiTheme="minorHAnsi" w:hAnsiTheme="minorHAnsi"/>
                <w:sz w:val="20"/>
                <w:szCs w:val="20"/>
              </w:rPr>
            </w:pPr>
            <w:r w:rsidRPr="0036272F">
              <w:rPr>
                <w:rFonts w:asciiTheme="minorHAnsi" w:hAnsiTheme="minorHAnsi"/>
                <w:sz w:val="20"/>
                <w:szCs w:val="20"/>
              </w:rPr>
              <w:t>425</w:t>
            </w:r>
          </w:p>
        </w:tc>
        <w:tc>
          <w:tcPr>
            <w:tcW w:w="1382" w:type="dxa"/>
            <w:shd w:val="clear" w:color="auto" w:fill="auto"/>
          </w:tcPr>
          <w:p w:rsidR="00375F6E" w:rsidRPr="0036272F" w:rsidRDefault="0036272F" w:rsidP="00375F6E">
            <w:pPr>
              <w:rPr>
                <w:rFonts w:asciiTheme="minorHAnsi" w:hAnsiTheme="minorHAnsi"/>
                <w:sz w:val="20"/>
                <w:szCs w:val="20"/>
              </w:rPr>
            </w:pPr>
            <w:r>
              <w:rPr>
                <w:rFonts w:asciiTheme="minorHAnsi" w:hAnsiTheme="minorHAnsi"/>
                <w:sz w:val="20"/>
                <w:szCs w:val="20"/>
              </w:rPr>
              <w:t>2 835</w:t>
            </w:r>
          </w:p>
        </w:tc>
      </w:tr>
    </w:tbl>
    <w:p w:rsidR="00375F6E" w:rsidRPr="002D7A10" w:rsidRDefault="00375F6E" w:rsidP="00EC0E86">
      <w:pPr>
        <w:pStyle w:val="Default"/>
        <w:jc w:val="both"/>
        <w:rPr>
          <w:rFonts w:asciiTheme="minorHAnsi" w:hAnsiTheme="minorHAnsi" w:cs="Times New Roman"/>
          <w:color w:val="auto"/>
          <w:lang w:val="sk-SK"/>
        </w:rPr>
      </w:pPr>
    </w:p>
    <w:p w:rsidR="00B51749" w:rsidRPr="002D7A10" w:rsidRDefault="009911AF" w:rsidP="00EC0E86">
      <w:pPr>
        <w:autoSpaceDE w:val="0"/>
        <w:autoSpaceDN w:val="0"/>
        <w:adjustRightInd w:val="0"/>
        <w:rPr>
          <w:rFonts w:asciiTheme="minorHAnsi" w:hAnsiTheme="minorHAnsi"/>
        </w:rPr>
      </w:pPr>
      <w:r w:rsidRPr="002D7A10">
        <w:rPr>
          <w:rFonts w:asciiTheme="minorHAnsi" w:hAnsiTheme="minorHAnsi"/>
        </w:rPr>
        <w:t xml:space="preserve">Kvalifikačná štruktúra vysokoškolských učiteľov je sledovaná a uvedená </w:t>
      </w:r>
      <w:r w:rsidRPr="002D7A10">
        <w:rPr>
          <w:rFonts w:asciiTheme="minorHAnsi" w:hAnsiTheme="minorHAnsi"/>
          <w:b/>
        </w:rPr>
        <w:t>ku dňu 31. 10.</w:t>
      </w:r>
      <w:r w:rsidRPr="002D7A10">
        <w:rPr>
          <w:rFonts w:asciiTheme="minorHAnsi" w:hAnsiTheme="minorHAnsi"/>
        </w:rPr>
        <w:t xml:space="preserve"> príslušného roku. Prepočítaný evidenčný počet učiteľov k 31.10.2015 na Slovenskej technickej univerzite v Bratislave dosiahol hodnotu 1045,9 pričom najväčší podiel na celkovom počte – 44,3 %, predstavujú učitelia s vedeckou hodnosťou PhD., CSc. Najväčší počet učiteľov s touto vedeckou hodnosťou pôsobil na Stavebnej fakulte. Presný prehľad kvalifikačnej štruktúry učiteľov je v prílohe vý</w:t>
      </w:r>
      <w:r w:rsidR="00E956EF">
        <w:rPr>
          <w:rFonts w:asciiTheme="minorHAnsi" w:hAnsiTheme="minorHAnsi"/>
        </w:rPr>
        <w:t xml:space="preserve">ročnej správy v tabuľke č. 10. </w:t>
      </w:r>
      <w:r w:rsidRPr="002D7A10">
        <w:rPr>
          <w:rFonts w:asciiTheme="minorHAnsi" w:hAnsiTheme="minorHAnsi"/>
        </w:rPr>
        <w:t xml:space="preserve">Tabuľka bola rozšírená o údaje o počte žien pôsobiacich na pracovných miestach vysokoškolských učiteľov. K 31.10.2015 bol prepočítaný evidenčný počet žien pôsobiacich na týchto pracovných miestach 360,59, čo predstavovalo 34,5% z celkového počtu vysokoškolských učiteľov. </w:t>
      </w:r>
    </w:p>
    <w:p w:rsidR="00440AB3" w:rsidRPr="002D7A10" w:rsidRDefault="00440AB3" w:rsidP="00EC0E86">
      <w:pPr>
        <w:pStyle w:val="Default"/>
        <w:jc w:val="both"/>
        <w:rPr>
          <w:rFonts w:asciiTheme="minorHAnsi" w:hAnsiTheme="minorHAnsi" w:cs="Times New Roman"/>
          <w:color w:val="FF0000"/>
          <w:lang w:val="sk-SK"/>
        </w:rPr>
      </w:pPr>
    </w:p>
    <w:p w:rsidR="00B51749" w:rsidRDefault="00B51749" w:rsidP="00E956EF">
      <w:pPr>
        <w:pStyle w:val="Default"/>
        <w:jc w:val="both"/>
        <w:rPr>
          <w:rFonts w:asciiTheme="minorHAnsi" w:hAnsiTheme="minorHAnsi" w:cs="Times New Roman"/>
          <w:color w:val="auto"/>
          <w:lang w:val="sk-SK"/>
        </w:rPr>
      </w:pPr>
      <w:r w:rsidRPr="002D7A10">
        <w:rPr>
          <w:rFonts w:asciiTheme="minorHAnsi" w:hAnsiTheme="minorHAnsi" w:cs="Times New Roman"/>
          <w:color w:val="auto"/>
          <w:lang w:val="sk-SK"/>
        </w:rPr>
        <w:t xml:space="preserve">Mzdy zamestnancov boli </w:t>
      </w:r>
      <w:r w:rsidR="00E956EF">
        <w:rPr>
          <w:rFonts w:asciiTheme="minorHAnsi" w:hAnsiTheme="minorHAnsi" w:cs="Times New Roman"/>
          <w:color w:val="auto"/>
          <w:lang w:val="sk-SK"/>
        </w:rPr>
        <w:t>prevažn</w:t>
      </w:r>
      <w:r w:rsidRPr="002D7A10">
        <w:rPr>
          <w:rFonts w:asciiTheme="minorHAnsi" w:hAnsiTheme="minorHAnsi" w:cs="Times New Roman"/>
          <w:color w:val="auto"/>
          <w:lang w:val="sk-SK"/>
        </w:rPr>
        <w:t>e hradené z dotácie Ministerstva školstva, vedy, výskumu a športu SR poskytnutej prostredníctvom dota</w:t>
      </w:r>
      <w:r w:rsidRPr="002D7A10">
        <w:rPr>
          <w:rFonts w:asciiTheme="minorHAnsi" w:eastAsia="TimesNewRoman" w:hAnsiTheme="minorHAnsi" w:cs="Times New Roman"/>
          <w:color w:val="auto"/>
          <w:lang w:val="sk-SK"/>
        </w:rPr>
        <w:t>č</w:t>
      </w:r>
      <w:r w:rsidRPr="002D7A10">
        <w:rPr>
          <w:rFonts w:asciiTheme="minorHAnsi" w:hAnsiTheme="minorHAnsi" w:cs="Times New Roman"/>
          <w:color w:val="auto"/>
          <w:lang w:val="sk-SK"/>
        </w:rPr>
        <w:t>nej zmluvy. Z prostriedkov štátneho rozpo</w:t>
      </w:r>
      <w:r w:rsidRPr="002D7A10">
        <w:rPr>
          <w:rFonts w:asciiTheme="minorHAnsi" w:eastAsia="TimesNewRoman" w:hAnsiTheme="minorHAnsi" w:cs="Times New Roman"/>
          <w:color w:val="auto"/>
          <w:lang w:val="sk-SK"/>
        </w:rPr>
        <w:t>č</w:t>
      </w:r>
      <w:r w:rsidRPr="002D7A10">
        <w:rPr>
          <w:rFonts w:asciiTheme="minorHAnsi" w:hAnsiTheme="minorHAnsi" w:cs="Times New Roman"/>
          <w:color w:val="auto"/>
          <w:lang w:val="sk-SK"/>
        </w:rPr>
        <w:t>tu mimo dota</w:t>
      </w:r>
      <w:r w:rsidRPr="002D7A10">
        <w:rPr>
          <w:rFonts w:asciiTheme="minorHAnsi" w:eastAsia="TimesNewRoman" w:hAnsiTheme="minorHAnsi" w:cs="Times New Roman"/>
          <w:color w:val="auto"/>
          <w:lang w:val="sk-SK"/>
        </w:rPr>
        <w:t>č</w:t>
      </w:r>
      <w:r w:rsidRPr="002D7A10">
        <w:rPr>
          <w:rFonts w:asciiTheme="minorHAnsi" w:hAnsiTheme="minorHAnsi" w:cs="Times New Roman"/>
          <w:color w:val="auto"/>
          <w:lang w:val="sk-SK"/>
        </w:rPr>
        <w:t>nej zmluvy boli odme</w:t>
      </w:r>
      <w:r w:rsidRPr="002D7A10">
        <w:rPr>
          <w:rFonts w:asciiTheme="minorHAnsi" w:eastAsia="TimesNewRoman" w:hAnsiTheme="minorHAnsi" w:cs="Times New Roman"/>
          <w:color w:val="auto"/>
          <w:lang w:val="sk-SK"/>
        </w:rPr>
        <w:t>ň</w:t>
      </w:r>
      <w:r w:rsidRPr="002D7A10">
        <w:rPr>
          <w:rFonts w:asciiTheme="minorHAnsi" w:hAnsiTheme="minorHAnsi" w:cs="Times New Roman"/>
          <w:color w:val="auto"/>
          <w:lang w:val="sk-SK"/>
        </w:rPr>
        <w:t>ovaní zamestnanci, ktorí sa podie</w:t>
      </w:r>
      <w:r w:rsidRPr="002D7A10">
        <w:rPr>
          <w:rFonts w:asciiTheme="minorHAnsi" w:eastAsia="TimesNewRoman" w:hAnsiTheme="minorHAnsi" w:cs="Times New Roman"/>
          <w:color w:val="auto"/>
          <w:lang w:val="sk-SK"/>
        </w:rPr>
        <w:t>ľ</w:t>
      </w:r>
      <w:r w:rsidRPr="002D7A10">
        <w:rPr>
          <w:rFonts w:asciiTheme="minorHAnsi" w:hAnsiTheme="minorHAnsi" w:cs="Times New Roman"/>
          <w:color w:val="auto"/>
          <w:lang w:val="sk-SK"/>
        </w:rPr>
        <w:t xml:space="preserve">ali na riešení úloh výskumu a vývoja financovaných prostredníctvom Agentúry na podporu výskumu a vývoja a zamestnanci podieľajúci sa na riešení projektov financovaných zo štrukturálnych fondov. </w:t>
      </w:r>
      <w:r w:rsidRPr="002D7A10">
        <w:rPr>
          <w:rFonts w:asciiTheme="minorHAnsi" w:eastAsia="TimesNewRoman" w:hAnsiTheme="minorHAnsi" w:cs="Times New Roman"/>
          <w:color w:val="auto"/>
          <w:lang w:val="sk-SK"/>
        </w:rPr>
        <w:t>Ď</w:t>
      </w:r>
      <w:r w:rsidRPr="002D7A10">
        <w:rPr>
          <w:rFonts w:asciiTheme="minorHAnsi" w:hAnsiTheme="minorHAnsi" w:cs="Times New Roman"/>
          <w:color w:val="auto"/>
          <w:lang w:val="sk-SK"/>
        </w:rPr>
        <w:t>alším zdrojom, z ktorého boli pokryté mzdy zamestnancov, boli vlastné výnosy univerzity v hlavnej a v podnikate</w:t>
      </w:r>
      <w:r w:rsidRPr="002D7A10">
        <w:rPr>
          <w:rFonts w:asciiTheme="minorHAnsi" w:eastAsia="TimesNewRoman" w:hAnsiTheme="minorHAnsi" w:cs="Times New Roman"/>
          <w:color w:val="auto"/>
          <w:lang w:val="sk-SK"/>
        </w:rPr>
        <w:t>ľ</w:t>
      </w:r>
      <w:r w:rsidRPr="002D7A10">
        <w:rPr>
          <w:rFonts w:asciiTheme="minorHAnsi" w:hAnsiTheme="minorHAnsi" w:cs="Times New Roman"/>
          <w:color w:val="auto"/>
          <w:lang w:val="sk-SK"/>
        </w:rPr>
        <w:t xml:space="preserve">skej </w:t>
      </w:r>
      <w:r w:rsidRPr="002D7A10">
        <w:rPr>
          <w:rFonts w:asciiTheme="minorHAnsi" w:eastAsia="TimesNewRoman" w:hAnsiTheme="minorHAnsi" w:cs="Times New Roman"/>
          <w:color w:val="auto"/>
          <w:lang w:val="sk-SK"/>
        </w:rPr>
        <w:t>č</w:t>
      </w:r>
      <w:r w:rsidRPr="002D7A10">
        <w:rPr>
          <w:rFonts w:asciiTheme="minorHAnsi" w:hAnsiTheme="minorHAnsi" w:cs="Times New Roman"/>
          <w:color w:val="auto"/>
          <w:lang w:val="sk-SK"/>
        </w:rPr>
        <w:t>innosti.</w:t>
      </w:r>
    </w:p>
    <w:p w:rsidR="00E956EF" w:rsidRPr="00E956EF" w:rsidRDefault="00E956EF" w:rsidP="00E956EF">
      <w:pPr>
        <w:pStyle w:val="Default"/>
        <w:jc w:val="both"/>
        <w:rPr>
          <w:rFonts w:asciiTheme="minorHAnsi" w:hAnsiTheme="minorHAnsi" w:cs="Times New Roman"/>
          <w:color w:val="auto"/>
          <w:lang w:val="sk-SK"/>
        </w:rPr>
      </w:pPr>
    </w:p>
    <w:p w:rsidR="00B51749" w:rsidRPr="002D7A10" w:rsidRDefault="00B51749" w:rsidP="00EC0E86">
      <w:pPr>
        <w:autoSpaceDE w:val="0"/>
        <w:autoSpaceDN w:val="0"/>
        <w:adjustRightInd w:val="0"/>
        <w:rPr>
          <w:rFonts w:asciiTheme="minorHAnsi" w:hAnsiTheme="minorHAnsi"/>
        </w:rPr>
      </w:pPr>
      <w:r w:rsidRPr="002D7A10">
        <w:rPr>
          <w:rFonts w:asciiTheme="minorHAnsi" w:hAnsiTheme="minorHAnsi"/>
        </w:rPr>
        <w:t xml:space="preserve">Rozvoj a </w:t>
      </w:r>
      <w:r w:rsidRPr="002D7A10">
        <w:rPr>
          <w:rFonts w:asciiTheme="minorHAnsi" w:eastAsia="TimesNewRoman" w:hAnsiTheme="minorHAnsi"/>
        </w:rPr>
        <w:t>ď</w:t>
      </w:r>
      <w:r w:rsidRPr="002D7A10">
        <w:rPr>
          <w:rFonts w:asciiTheme="minorHAnsi" w:hAnsiTheme="minorHAnsi"/>
        </w:rPr>
        <w:t>alšie vzdelávanie zamestnancov sa realizovalo prostredníctvom kurzov, školení, odborných seminárov a konferencií, organizovaných externými subjektmi či samotnou univerzitou. Bližšie informácie poskytuje tabuľka č. 11 prílohy výročnej správy.</w:t>
      </w:r>
    </w:p>
    <w:p w:rsidR="00B51749" w:rsidRPr="002D7A10" w:rsidRDefault="00B51749" w:rsidP="00EC0E86">
      <w:pPr>
        <w:autoSpaceDE w:val="0"/>
        <w:autoSpaceDN w:val="0"/>
        <w:adjustRightInd w:val="0"/>
        <w:rPr>
          <w:rFonts w:asciiTheme="minorHAnsi" w:hAnsiTheme="minorHAnsi"/>
        </w:rPr>
      </w:pPr>
    </w:p>
    <w:p w:rsidR="00B51749" w:rsidRPr="002D7A10" w:rsidRDefault="00B51749" w:rsidP="00EC0E86">
      <w:pPr>
        <w:rPr>
          <w:rFonts w:asciiTheme="minorHAnsi" w:hAnsiTheme="minorHAnsi"/>
        </w:rPr>
      </w:pPr>
      <w:r w:rsidRPr="002D7A10">
        <w:rPr>
          <w:rFonts w:asciiTheme="minorHAnsi" w:hAnsiTheme="minorHAnsi"/>
          <w:b/>
        </w:rPr>
        <w:lastRenderedPageBreak/>
        <w:t xml:space="preserve">Na STU platila kolektívna zmluva, do ktorej vedenie univerzity s cieľom podporiť a motivovať mladých pedagógov presadilo zamestnanecké </w:t>
      </w:r>
      <w:proofErr w:type="spellStart"/>
      <w:r w:rsidRPr="002D7A10">
        <w:rPr>
          <w:rFonts w:asciiTheme="minorHAnsi" w:hAnsiTheme="minorHAnsi"/>
          <w:b/>
        </w:rPr>
        <w:t>benefity</w:t>
      </w:r>
      <w:proofErr w:type="spellEnd"/>
      <w:r w:rsidRPr="002D7A10">
        <w:rPr>
          <w:rFonts w:asciiTheme="minorHAnsi" w:hAnsiTheme="minorHAnsi"/>
          <w:b/>
        </w:rPr>
        <w:t xml:space="preserve"> zamerané práve na zamestnancov do 35 rokov veku.</w:t>
      </w:r>
      <w:r w:rsidRPr="002D7A10">
        <w:rPr>
          <w:rFonts w:asciiTheme="minorHAnsi" w:hAnsiTheme="minorHAnsi"/>
        </w:rPr>
        <w:t xml:space="preserve"> </w:t>
      </w:r>
    </w:p>
    <w:p w:rsidR="009E604E" w:rsidRPr="002D7A10" w:rsidRDefault="00B51749" w:rsidP="00EC0E86">
      <w:pPr>
        <w:rPr>
          <w:rFonts w:asciiTheme="minorHAnsi" w:hAnsiTheme="minorHAnsi"/>
        </w:rPr>
      </w:pPr>
      <w:r w:rsidRPr="002D7A10">
        <w:rPr>
          <w:rFonts w:asciiTheme="minorHAnsi" w:hAnsiTheme="minorHAnsi"/>
        </w:rPr>
        <w:t xml:space="preserve">Mladí zamestnanci do 35 rokov veku môžu získať príspevok pri narodení dieťaťa, príspevok pri uzavretí manželstva, príspevok pri kúpe bytu, alebo príspevok v prípade sociálnej núdze. Tieto príspevky sa vyplácajú zo sociálneho fondu. </w:t>
      </w:r>
    </w:p>
    <w:p w:rsidR="009911AF" w:rsidRPr="002D7A10" w:rsidRDefault="009911AF" w:rsidP="00EC0E86">
      <w:pPr>
        <w:rPr>
          <w:rFonts w:asciiTheme="minorHAnsi" w:hAnsiTheme="minorHAnsi"/>
        </w:rPr>
      </w:pPr>
      <w:r w:rsidRPr="002D7A10">
        <w:rPr>
          <w:rFonts w:asciiTheme="minorHAnsi" w:hAnsiTheme="minorHAnsi"/>
        </w:rPr>
        <w:t>Zamestnanci, ktorí sú rodičmi detí do 15 rokov majú nárok na jeden deň plateného voľna každé tri mesiace, pričom toto voľno si možno kumulovať a využiť ho počas školských prázdnin.</w:t>
      </w:r>
    </w:p>
    <w:p w:rsidR="00B51749" w:rsidRPr="002D7A10" w:rsidRDefault="00B51749" w:rsidP="00EC0E86">
      <w:pPr>
        <w:rPr>
          <w:rFonts w:asciiTheme="minorHAnsi" w:hAnsiTheme="minorHAnsi"/>
          <w:color w:val="FF0000"/>
        </w:rPr>
      </w:pPr>
      <w:r w:rsidRPr="002D7A10">
        <w:rPr>
          <w:rFonts w:asciiTheme="minorHAnsi" w:hAnsiTheme="minorHAnsi"/>
        </w:rPr>
        <w:t xml:space="preserve">STU podľa kolektívnej zmluvy poskytuje aj finančný príspevok pri životnom jubileu, konkrétne </w:t>
      </w:r>
      <w:r w:rsidR="00F14D0F" w:rsidRPr="002D7A10">
        <w:rPr>
          <w:rFonts w:asciiTheme="minorHAnsi" w:hAnsiTheme="minorHAnsi"/>
        </w:rPr>
        <w:t>v</w:t>
      </w:r>
      <w:r w:rsidRPr="002D7A10">
        <w:rPr>
          <w:rFonts w:asciiTheme="minorHAnsi" w:hAnsiTheme="minorHAnsi"/>
        </w:rPr>
        <w:t xml:space="preserve"> 50. rok</w:t>
      </w:r>
      <w:r w:rsidR="00F14D0F" w:rsidRPr="002D7A10">
        <w:rPr>
          <w:rFonts w:asciiTheme="minorHAnsi" w:hAnsiTheme="minorHAnsi"/>
        </w:rPr>
        <w:t>u</w:t>
      </w:r>
      <w:r w:rsidRPr="002D7A10">
        <w:rPr>
          <w:rFonts w:asciiTheme="minorHAnsi" w:hAnsiTheme="minorHAnsi"/>
        </w:rPr>
        <w:t xml:space="preserve"> veku, výška príspevku závisí od počtu rokov strávených na Slovenskej technickej univerzite. </w:t>
      </w:r>
    </w:p>
    <w:p w:rsidR="00E956EF" w:rsidRDefault="00E956EF">
      <w:pPr>
        <w:spacing w:after="200" w:line="276" w:lineRule="auto"/>
        <w:jc w:val="left"/>
        <w:rPr>
          <w:rFonts w:asciiTheme="minorHAnsi" w:hAnsiTheme="minorHAnsi"/>
          <w:b/>
          <w:bCs/>
          <w:color w:val="FF0000"/>
        </w:rPr>
      </w:pPr>
      <w:r>
        <w:rPr>
          <w:rFonts w:asciiTheme="minorHAnsi" w:hAnsiTheme="minorHAnsi"/>
          <w:b/>
          <w:bCs/>
          <w:color w:val="FF0000"/>
        </w:rPr>
        <w:br w:type="page"/>
      </w:r>
    </w:p>
    <w:p w:rsidR="00B51749" w:rsidRPr="002D7A10" w:rsidRDefault="00B51749" w:rsidP="00BD649B">
      <w:pPr>
        <w:jc w:val="left"/>
        <w:rPr>
          <w:rFonts w:asciiTheme="minorHAnsi" w:hAnsiTheme="minorHAnsi"/>
          <w:b/>
          <w:bCs/>
          <w:color w:val="FF0000"/>
        </w:rPr>
      </w:pPr>
    </w:p>
    <w:p w:rsidR="00B51749" w:rsidRPr="002D7A10" w:rsidRDefault="00B51749" w:rsidP="00BD649B">
      <w:pPr>
        <w:jc w:val="left"/>
        <w:rPr>
          <w:rFonts w:asciiTheme="minorHAnsi" w:hAnsiTheme="minorHAnsi"/>
          <w:b/>
          <w:bCs/>
          <w:color w:val="FF0000"/>
        </w:rPr>
      </w:pPr>
    </w:p>
    <w:p w:rsidR="006830E4" w:rsidRPr="00D04241" w:rsidRDefault="00B51749" w:rsidP="00C40D9A">
      <w:pPr>
        <w:pStyle w:val="Nadpis1"/>
        <w:rPr>
          <w:rFonts w:asciiTheme="minorHAnsi" w:hAnsiTheme="minorHAnsi"/>
          <w:color w:val="auto"/>
          <w:sz w:val="24"/>
          <w:szCs w:val="24"/>
        </w:rPr>
      </w:pPr>
      <w:bookmarkStart w:id="50" w:name="_Toc448261591"/>
      <w:r w:rsidRPr="002D7A10">
        <w:rPr>
          <w:rFonts w:asciiTheme="minorHAnsi" w:hAnsiTheme="minorHAnsi"/>
          <w:color w:val="auto"/>
          <w:sz w:val="24"/>
          <w:szCs w:val="24"/>
        </w:rPr>
        <w:t>Podpora študentov</w:t>
      </w:r>
      <w:bookmarkEnd w:id="50"/>
    </w:p>
    <w:p w:rsidR="00B51749" w:rsidRPr="002D7A10" w:rsidRDefault="00D04241" w:rsidP="00B51749">
      <w:pPr>
        <w:pStyle w:val="Nadpis2"/>
        <w:rPr>
          <w:rFonts w:asciiTheme="minorHAnsi" w:hAnsiTheme="minorHAnsi"/>
          <w:color w:val="auto"/>
          <w:sz w:val="24"/>
          <w:szCs w:val="24"/>
          <w:shd w:val="clear" w:color="auto" w:fill="FFFFFF"/>
        </w:rPr>
      </w:pPr>
      <w:bookmarkStart w:id="51" w:name="_Toc448261592"/>
      <w:r>
        <w:rPr>
          <w:rFonts w:asciiTheme="minorHAnsi" w:hAnsiTheme="minorHAnsi"/>
          <w:color w:val="auto"/>
          <w:sz w:val="24"/>
          <w:szCs w:val="24"/>
          <w:shd w:val="clear" w:color="auto" w:fill="FFFFFF"/>
        </w:rPr>
        <w:t>S</w:t>
      </w:r>
      <w:r w:rsidR="00B51749" w:rsidRPr="002D7A10">
        <w:rPr>
          <w:rFonts w:asciiTheme="minorHAnsi" w:hAnsiTheme="minorHAnsi"/>
          <w:color w:val="auto"/>
          <w:sz w:val="24"/>
          <w:szCs w:val="24"/>
          <w:shd w:val="clear" w:color="auto" w:fill="FFFFFF"/>
        </w:rPr>
        <w:t>ociálne štipendiá</w:t>
      </w:r>
      <w:bookmarkEnd w:id="51"/>
    </w:p>
    <w:p w:rsidR="006830E4" w:rsidRPr="002D7A10" w:rsidRDefault="006830E4" w:rsidP="006830E4">
      <w:pPr>
        <w:rPr>
          <w:rFonts w:asciiTheme="minorHAnsi" w:hAnsiTheme="minorHAnsi" w:cs="Calibri"/>
          <w:lang w:eastAsia="sk-SK"/>
        </w:rPr>
      </w:pPr>
      <w:r w:rsidRPr="002D7A10">
        <w:rPr>
          <w:rFonts w:asciiTheme="minorHAnsi" w:hAnsiTheme="minorHAnsi" w:cs="Calibri"/>
          <w:lang w:eastAsia="sk-SK"/>
        </w:rPr>
        <w:t xml:space="preserve">Sociálne štipendium prispieva na úhradu nákladov spojených so štúdiom. Na základe splnenia ustanovených podmienok sa </w:t>
      </w:r>
      <w:r w:rsidRPr="002D7A10">
        <w:rPr>
          <w:rFonts w:asciiTheme="minorHAnsi" w:hAnsiTheme="minorHAnsi" w:cs="Calibri"/>
          <w:bCs/>
          <w:lang w:eastAsia="sk-SK"/>
        </w:rPr>
        <w:t xml:space="preserve">priznáva študentom študijných programov </w:t>
      </w:r>
      <w:r w:rsidRPr="002D7A10">
        <w:rPr>
          <w:rFonts w:asciiTheme="minorHAnsi" w:hAnsiTheme="minorHAnsi" w:cs="Calibri"/>
        </w:rPr>
        <w:t>dennej formy štúdia prvého a druhého stupňa vysokoškolského štúdia</w:t>
      </w:r>
      <w:r w:rsidRPr="002D7A10">
        <w:rPr>
          <w:rFonts w:asciiTheme="minorHAnsi" w:hAnsiTheme="minorHAnsi" w:cs="Calibri"/>
          <w:lang w:eastAsia="sk-SK"/>
        </w:rPr>
        <w:t>, ktorí majú trvalý pobyt v</w:t>
      </w:r>
      <w:r w:rsidR="003F0D10" w:rsidRPr="002D7A10">
        <w:rPr>
          <w:rFonts w:asciiTheme="minorHAnsi" w:hAnsiTheme="minorHAnsi" w:cs="Calibri"/>
          <w:lang w:eastAsia="sk-SK"/>
        </w:rPr>
        <w:t> </w:t>
      </w:r>
      <w:r w:rsidRPr="002D7A10">
        <w:rPr>
          <w:rFonts w:asciiTheme="minorHAnsi" w:hAnsiTheme="minorHAnsi" w:cs="Calibri"/>
          <w:lang w:eastAsia="sk-SK"/>
        </w:rPr>
        <w:t>SR</w:t>
      </w:r>
      <w:r w:rsidR="003F0D10" w:rsidRPr="002D7A10">
        <w:rPr>
          <w:rFonts w:asciiTheme="minorHAnsi" w:hAnsiTheme="minorHAnsi" w:cs="Calibri"/>
          <w:lang w:eastAsia="sk-SK"/>
        </w:rPr>
        <w:t>. J</w:t>
      </w:r>
      <w:r w:rsidRPr="002D7A10">
        <w:rPr>
          <w:rFonts w:asciiTheme="minorHAnsi" w:hAnsiTheme="minorHAnsi" w:cs="Calibri"/>
        </w:rPr>
        <w:t xml:space="preserve">e upravené </w:t>
      </w:r>
      <w:r w:rsidRPr="002D7A10">
        <w:rPr>
          <w:rFonts w:asciiTheme="minorHAnsi" w:hAnsiTheme="minorHAnsi"/>
        </w:rPr>
        <w:t xml:space="preserve">Vyhláškou </w:t>
      </w:r>
      <w:r w:rsidRPr="002D7A10">
        <w:rPr>
          <w:rFonts w:asciiTheme="minorHAnsi" w:hAnsiTheme="minorHAnsi" w:cs="Calibri"/>
        </w:rPr>
        <w:t>MŠ SR č. 102/2006 Z. z. o priznávaní sociálneho štipendia študentom vysokých škôl, ktorá bola naposledy novelizovaná vyhláškou č. 157/2014 s účinnosťou od 1.</w:t>
      </w:r>
      <w:r w:rsidR="003F0D10" w:rsidRPr="002D7A10">
        <w:rPr>
          <w:rFonts w:asciiTheme="minorHAnsi" w:hAnsiTheme="minorHAnsi" w:cs="Calibri"/>
        </w:rPr>
        <w:t xml:space="preserve"> </w:t>
      </w:r>
      <w:r w:rsidRPr="002D7A10">
        <w:rPr>
          <w:rFonts w:asciiTheme="minorHAnsi" w:hAnsiTheme="minorHAnsi" w:cs="Calibri"/>
        </w:rPr>
        <w:t xml:space="preserve">septembra 2014. Administrovanie agendy, týkajúcej sa priznávania a poskytovania sociálnych štipendií sa uskutočňuje prostredníctvom študijných oddelení jednotlivých súčastí univerzity. </w:t>
      </w:r>
    </w:p>
    <w:p w:rsidR="006830E4" w:rsidRPr="002D7A10" w:rsidRDefault="006830E4" w:rsidP="006830E4">
      <w:pPr>
        <w:rPr>
          <w:rFonts w:asciiTheme="minorHAnsi" w:hAnsiTheme="minorHAnsi" w:cs="Calibri"/>
        </w:rPr>
      </w:pPr>
      <w:r w:rsidRPr="002D7A10">
        <w:rPr>
          <w:rFonts w:asciiTheme="minorHAnsi" w:hAnsiTheme="minorHAnsi" w:cs="Calibri"/>
        </w:rPr>
        <w:t>Tabuľka č. 8.1 udáva počet študentov STU, ktorým bolo priznané sociálne štipendium za posledný</w:t>
      </w:r>
      <w:r w:rsidR="003F0D10" w:rsidRPr="002D7A10">
        <w:rPr>
          <w:rFonts w:asciiTheme="minorHAnsi" w:hAnsiTheme="minorHAnsi" w:cs="Calibri"/>
        </w:rPr>
        <w:t>ch päť akademických</w:t>
      </w:r>
      <w:r w:rsidRPr="002D7A10">
        <w:rPr>
          <w:rFonts w:asciiTheme="minorHAnsi" w:hAnsiTheme="minorHAnsi" w:cs="Calibri"/>
        </w:rPr>
        <w:t xml:space="preserve"> rokov. </w:t>
      </w:r>
    </w:p>
    <w:p w:rsidR="006830E4" w:rsidRPr="002D7A10" w:rsidRDefault="006830E4" w:rsidP="006830E4">
      <w:pPr>
        <w:ind w:right="284"/>
        <w:rPr>
          <w:rFonts w:asciiTheme="minorHAnsi" w:hAnsiTheme="minorHAnsi" w:cs="Calibri"/>
        </w:rPr>
      </w:pPr>
    </w:p>
    <w:p w:rsidR="006830E4" w:rsidRPr="00E956EF" w:rsidRDefault="006830E4" w:rsidP="006830E4">
      <w:pPr>
        <w:ind w:left="708" w:hanging="708"/>
        <w:rPr>
          <w:rFonts w:asciiTheme="minorHAnsi" w:hAnsiTheme="minorHAnsi" w:cs="Calibri"/>
          <w:b/>
          <w:sz w:val="20"/>
          <w:szCs w:val="20"/>
          <w:shd w:val="clear" w:color="auto" w:fill="FFFFFF"/>
        </w:rPr>
      </w:pPr>
      <w:r w:rsidRPr="00E956EF">
        <w:rPr>
          <w:rFonts w:asciiTheme="minorHAnsi" w:hAnsiTheme="minorHAnsi" w:cs="Calibri"/>
          <w:b/>
          <w:sz w:val="20"/>
          <w:szCs w:val="20"/>
          <w:shd w:val="clear" w:color="auto" w:fill="FFFFFF"/>
        </w:rPr>
        <w:t>Tabuľka č.</w:t>
      </w:r>
      <w:r w:rsidR="00F12D4B" w:rsidRPr="00E956EF">
        <w:rPr>
          <w:rFonts w:asciiTheme="minorHAnsi" w:hAnsiTheme="minorHAnsi" w:cs="Calibri"/>
          <w:b/>
          <w:sz w:val="20"/>
          <w:szCs w:val="20"/>
          <w:shd w:val="clear" w:color="auto" w:fill="FFFFFF"/>
        </w:rPr>
        <w:t xml:space="preserve"> </w:t>
      </w:r>
      <w:r w:rsidRPr="00E956EF">
        <w:rPr>
          <w:rFonts w:asciiTheme="minorHAnsi" w:hAnsiTheme="minorHAnsi" w:cs="Calibri"/>
          <w:b/>
          <w:sz w:val="20"/>
          <w:szCs w:val="20"/>
          <w:shd w:val="clear" w:color="auto" w:fill="FFFFFF"/>
        </w:rPr>
        <w:t xml:space="preserve">8.1: Počet študentov poberajúci sociálne štipendiá za posledných päť rokov </w:t>
      </w:r>
    </w:p>
    <w:tbl>
      <w:tblPr>
        <w:tblW w:w="8417" w:type="dxa"/>
        <w:tblInd w:w="55" w:type="dxa"/>
        <w:tblCellMar>
          <w:left w:w="70" w:type="dxa"/>
          <w:right w:w="70" w:type="dxa"/>
        </w:tblCellMar>
        <w:tblLook w:val="04A0" w:firstRow="1" w:lastRow="0" w:firstColumn="1" w:lastColumn="0" w:noHBand="0" w:noVBand="1"/>
      </w:tblPr>
      <w:tblGrid>
        <w:gridCol w:w="1037"/>
        <w:gridCol w:w="820"/>
        <w:gridCol w:w="820"/>
        <w:gridCol w:w="820"/>
        <w:gridCol w:w="820"/>
        <w:gridCol w:w="820"/>
        <w:gridCol w:w="820"/>
        <w:gridCol w:w="820"/>
        <w:gridCol w:w="820"/>
        <w:gridCol w:w="820"/>
      </w:tblGrid>
      <w:tr w:rsidR="006830E4" w:rsidRPr="00E956EF" w:rsidTr="00911364">
        <w:trPr>
          <w:trHeight w:val="255"/>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0E4" w:rsidRPr="00E956EF" w:rsidRDefault="006830E4" w:rsidP="00911364">
            <w:pPr>
              <w:jc w:val="center"/>
              <w:rPr>
                <w:rFonts w:asciiTheme="minorHAnsi" w:eastAsia="Times New Roman" w:hAnsiTheme="minorHAnsi" w:cs="Arial"/>
                <w:b/>
                <w:bCs/>
                <w:color w:val="000000"/>
                <w:sz w:val="20"/>
                <w:szCs w:val="20"/>
                <w:lang w:eastAsia="sk-SK"/>
              </w:rPr>
            </w:pPr>
            <w:r w:rsidRPr="00E956EF">
              <w:rPr>
                <w:rFonts w:asciiTheme="minorHAnsi" w:eastAsia="Times New Roman" w:hAnsiTheme="minorHAnsi" w:cs="Arial"/>
                <w:b/>
                <w:bCs/>
                <w:color w:val="000000"/>
                <w:sz w:val="20"/>
                <w:szCs w:val="20"/>
                <w:lang w:eastAsia="sk-SK"/>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830E4" w:rsidRPr="00E956EF" w:rsidRDefault="006830E4" w:rsidP="00911364">
            <w:pPr>
              <w:jc w:val="center"/>
              <w:rPr>
                <w:rFonts w:asciiTheme="minorHAnsi" w:eastAsia="Times New Roman" w:hAnsiTheme="minorHAnsi" w:cs="Arial"/>
                <w:b/>
                <w:bCs/>
                <w:color w:val="000000"/>
                <w:sz w:val="20"/>
                <w:szCs w:val="20"/>
                <w:lang w:eastAsia="sk-SK"/>
              </w:rPr>
            </w:pPr>
            <w:r w:rsidRPr="00E956EF">
              <w:rPr>
                <w:rFonts w:asciiTheme="minorHAnsi" w:eastAsia="Times New Roman" w:hAnsiTheme="minorHAnsi" w:cs="Arial"/>
                <w:b/>
                <w:bCs/>
                <w:color w:val="000000"/>
                <w:sz w:val="20"/>
                <w:szCs w:val="20"/>
                <w:lang w:eastAsia="sk-SK"/>
              </w:rPr>
              <w:t>SvF</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830E4" w:rsidRPr="00E956EF" w:rsidRDefault="006830E4" w:rsidP="00911364">
            <w:pPr>
              <w:jc w:val="center"/>
              <w:rPr>
                <w:rFonts w:asciiTheme="minorHAnsi" w:eastAsia="Times New Roman" w:hAnsiTheme="minorHAnsi" w:cs="Arial"/>
                <w:b/>
                <w:bCs/>
                <w:color w:val="000000"/>
                <w:sz w:val="20"/>
                <w:szCs w:val="20"/>
                <w:lang w:eastAsia="sk-SK"/>
              </w:rPr>
            </w:pPr>
            <w:r w:rsidRPr="00E956EF">
              <w:rPr>
                <w:rFonts w:asciiTheme="minorHAnsi" w:eastAsia="Times New Roman" w:hAnsiTheme="minorHAnsi" w:cs="Arial"/>
                <w:b/>
                <w:bCs/>
                <w:color w:val="000000"/>
                <w:sz w:val="20"/>
                <w:szCs w:val="20"/>
                <w:lang w:eastAsia="sk-SK"/>
              </w:rPr>
              <w:t>SjF</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830E4" w:rsidRPr="00E956EF" w:rsidRDefault="006830E4" w:rsidP="00911364">
            <w:pPr>
              <w:jc w:val="center"/>
              <w:rPr>
                <w:rFonts w:asciiTheme="minorHAnsi" w:eastAsia="Times New Roman" w:hAnsiTheme="minorHAnsi" w:cs="Arial"/>
                <w:b/>
                <w:bCs/>
                <w:color w:val="000000"/>
                <w:sz w:val="20"/>
                <w:szCs w:val="20"/>
                <w:lang w:eastAsia="sk-SK"/>
              </w:rPr>
            </w:pPr>
            <w:r w:rsidRPr="00E956EF">
              <w:rPr>
                <w:rFonts w:asciiTheme="minorHAnsi" w:eastAsia="Times New Roman" w:hAnsiTheme="minorHAnsi" w:cs="Arial"/>
                <w:b/>
                <w:bCs/>
                <w:color w:val="000000"/>
                <w:sz w:val="20"/>
                <w:szCs w:val="20"/>
                <w:lang w:eastAsia="sk-SK"/>
              </w:rPr>
              <w:t>FEI</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830E4" w:rsidRPr="00E956EF" w:rsidRDefault="006830E4" w:rsidP="00911364">
            <w:pPr>
              <w:jc w:val="center"/>
              <w:rPr>
                <w:rFonts w:asciiTheme="minorHAnsi" w:eastAsia="Times New Roman" w:hAnsiTheme="minorHAnsi" w:cs="Arial"/>
                <w:b/>
                <w:bCs/>
                <w:color w:val="000000"/>
                <w:sz w:val="20"/>
                <w:szCs w:val="20"/>
                <w:lang w:eastAsia="sk-SK"/>
              </w:rPr>
            </w:pPr>
            <w:r w:rsidRPr="00E956EF">
              <w:rPr>
                <w:rFonts w:asciiTheme="minorHAnsi" w:eastAsia="Times New Roman" w:hAnsiTheme="minorHAnsi" w:cs="Arial"/>
                <w:b/>
                <w:bCs/>
                <w:color w:val="000000"/>
                <w:sz w:val="20"/>
                <w:szCs w:val="20"/>
                <w:lang w:eastAsia="sk-SK"/>
              </w:rPr>
              <w:t>FCHPT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830E4" w:rsidRPr="00E956EF" w:rsidRDefault="006830E4" w:rsidP="00911364">
            <w:pPr>
              <w:jc w:val="center"/>
              <w:rPr>
                <w:rFonts w:asciiTheme="minorHAnsi" w:eastAsia="Times New Roman" w:hAnsiTheme="minorHAnsi" w:cs="Arial"/>
                <w:b/>
                <w:bCs/>
                <w:color w:val="000000"/>
                <w:sz w:val="20"/>
                <w:szCs w:val="20"/>
                <w:lang w:eastAsia="sk-SK"/>
              </w:rPr>
            </w:pPr>
            <w:r w:rsidRPr="00E956EF">
              <w:rPr>
                <w:rFonts w:asciiTheme="minorHAnsi" w:eastAsia="Times New Roman" w:hAnsiTheme="minorHAnsi" w:cs="Arial"/>
                <w:b/>
                <w:bCs/>
                <w:color w:val="000000"/>
                <w:sz w:val="20"/>
                <w:szCs w:val="20"/>
                <w:lang w:eastAsia="sk-SK"/>
              </w:rPr>
              <w:t>FA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830E4" w:rsidRPr="00E956EF" w:rsidRDefault="006830E4" w:rsidP="00911364">
            <w:pPr>
              <w:jc w:val="center"/>
              <w:rPr>
                <w:rFonts w:asciiTheme="minorHAnsi" w:eastAsia="Times New Roman" w:hAnsiTheme="minorHAnsi" w:cs="Arial"/>
                <w:b/>
                <w:bCs/>
                <w:color w:val="000000"/>
                <w:sz w:val="20"/>
                <w:szCs w:val="20"/>
                <w:lang w:eastAsia="sk-SK"/>
              </w:rPr>
            </w:pPr>
            <w:r w:rsidRPr="00E956EF">
              <w:rPr>
                <w:rFonts w:asciiTheme="minorHAnsi" w:eastAsia="Times New Roman" w:hAnsiTheme="minorHAnsi" w:cs="Arial"/>
                <w:b/>
                <w:bCs/>
                <w:color w:val="000000"/>
                <w:sz w:val="20"/>
                <w:szCs w:val="20"/>
                <w:lang w:eastAsia="sk-SK"/>
              </w:rPr>
              <w:t>MTF</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830E4" w:rsidRPr="00E956EF" w:rsidRDefault="006830E4" w:rsidP="00911364">
            <w:pPr>
              <w:jc w:val="center"/>
              <w:rPr>
                <w:rFonts w:asciiTheme="minorHAnsi" w:eastAsia="Times New Roman" w:hAnsiTheme="minorHAnsi" w:cs="Arial"/>
                <w:b/>
                <w:bCs/>
                <w:color w:val="000000"/>
                <w:sz w:val="20"/>
                <w:szCs w:val="20"/>
                <w:lang w:eastAsia="sk-SK"/>
              </w:rPr>
            </w:pPr>
            <w:r w:rsidRPr="00E956EF">
              <w:rPr>
                <w:rFonts w:asciiTheme="minorHAnsi" w:eastAsia="Times New Roman" w:hAnsiTheme="minorHAnsi" w:cs="Arial"/>
                <w:b/>
                <w:bCs/>
                <w:color w:val="000000"/>
                <w:sz w:val="20"/>
                <w:szCs w:val="20"/>
                <w:lang w:eastAsia="sk-SK"/>
              </w:rPr>
              <w:t>FIIT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830E4" w:rsidRPr="00E956EF" w:rsidRDefault="006830E4" w:rsidP="00911364">
            <w:pPr>
              <w:jc w:val="center"/>
              <w:rPr>
                <w:rFonts w:asciiTheme="minorHAnsi" w:eastAsia="Times New Roman" w:hAnsiTheme="minorHAnsi" w:cs="Arial"/>
                <w:b/>
                <w:bCs/>
                <w:color w:val="000000"/>
                <w:sz w:val="20"/>
                <w:szCs w:val="20"/>
                <w:lang w:eastAsia="sk-SK"/>
              </w:rPr>
            </w:pPr>
            <w:r w:rsidRPr="00E956EF">
              <w:rPr>
                <w:rFonts w:asciiTheme="minorHAnsi" w:eastAsia="Times New Roman" w:hAnsiTheme="minorHAnsi" w:cs="Arial"/>
                <w:b/>
                <w:bCs/>
                <w:color w:val="000000"/>
                <w:sz w:val="20"/>
                <w:szCs w:val="20"/>
                <w:lang w:eastAsia="sk-SK"/>
              </w:rPr>
              <w:t>ÚM</w:t>
            </w:r>
          </w:p>
        </w:tc>
        <w:tc>
          <w:tcPr>
            <w:tcW w:w="8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830E4" w:rsidRPr="00E956EF" w:rsidRDefault="006830E4" w:rsidP="00911364">
            <w:pPr>
              <w:jc w:val="center"/>
              <w:rPr>
                <w:rFonts w:asciiTheme="minorHAnsi" w:eastAsia="Times New Roman" w:hAnsiTheme="minorHAnsi" w:cs="Arial"/>
                <w:b/>
                <w:bCs/>
                <w:color w:val="000000"/>
                <w:sz w:val="20"/>
                <w:szCs w:val="20"/>
                <w:lang w:eastAsia="sk-SK"/>
              </w:rPr>
            </w:pPr>
            <w:r w:rsidRPr="00E956EF">
              <w:rPr>
                <w:rFonts w:asciiTheme="minorHAnsi" w:eastAsia="Times New Roman" w:hAnsiTheme="minorHAnsi" w:cs="Arial"/>
                <w:b/>
                <w:bCs/>
                <w:color w:val="000000"/>
                <w:sz w:val="20"/>
                <w:szCs w:val="20"/>
                <w:lang w:eastAsia="sk-SK"/>
              </w:rPr>
              <w:t>STU</w:t>
            </w:r>
          </w:p>
        </w:tc>
      </w:tr>
      <w:tr w:rsidR="006830E4" w:rsidRPr="00E956EF" w:rsidTr="00911364">
        <w:trPr>
          <w:trHeight w:val="25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6830E4" w:rsidRPr="00E956EF" w:rsidRDefault="006830E4" w:rsidP="00911364">
            <w:pPr>
              <w:rPr>
                <w:rFonts w:asciiTheme="minorHAnsi" w:eastAsia="Times New Roman" w:hAnsiTheme="minorHAnsi" w:cs="Arial"/>
                <w:b/>
                <w:bCs/>
                <w:sz w:val="20"/>
                <w:szCs w:val="20"/>
                <w:lang w:eastAsia="sk-SK"/>
              </w:rPr>
            </w:pPr>
            <w:r w:rsidRPr="00E956EF">
              <w:rPr>
                <w:rFonts w:asciiTheme="minorHAnsi" w:eastAsia="Times New Roman" w:hAnsiTheme="minorHAnsi" w:cs="Arial"/>
                <w:b/>
                <w:bCs/>
                <w:sz w:val="20"/>
                <w:szCs w:val="20"/>
                <w:lang w:eastAsia="sk-SK"/>
              </w:rPr>
              <w:t>2010/2011</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354</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106</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189</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203</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114</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202</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80</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14</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6830E4" w:rsidRPr="00E956EF" w:rsidRDefault="006830E4" w:rsidP="00911364">
            <w:pPr>
              <w:jc w:val="center"/>
              <w:rPr>
                <w:rFonts w:asciiTheme="minorHAnsi" w:eastAsia="Times New Roman" w:hAnsiTheme="minorHAnsi" w:cs="Arial"/>
                <w:b/>
                <w:bCs/>
                <w:sz w:val="20"/>
                <w:szCs w:val="20"/>
                <w:lang w:eastAsia="sk-SK"/>
              </w:rPr>
            </w:pPr>
            <w:r w:rsidRPr="00E956EF">
              <w:rPr>
                <w:rFonts w:asciiTheme="minorHAnsi" w:eastAsia="Times New Roman" w:hAnsiTheme="minorHAnsi" w:cs="Arial"/>
                <w:b/>
                <w:bCs/>
                <w:sz w:val="20"/>
                <w:szCs w:val="20"/>
                <w:lang w:eastAsia="sk-SK"/>
              </w:rPr>
              <w:t>1 262</w:t>
            </w:r>
          </w:p>
        </w:tc>
      </w:tr>
      <w:tr w:rsidR="006830E4" w:rsidRPr="00E956EF" w:rsidTr="00911364">
        <w:trPr>
          <w:trHeight w:val="25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6830E4" w:rsidRPr="00E956EF" w:rsidRDefault="006830E4" w:rsidP="00911364">
            <w:pPr>
              <w:rPr>
                <w:rFonts w:asciiTheme="minorHAnsi" w:eastAsia="Times New Roman" w:hAnsiTheme="minorHAnsi" w:cs="Arial"/>
                <w:b/>
                <w:bCs/>
                <w:sz w:val="20"/>
                <w:szCs w:val="20"/>
                <w:lang w:eastAsia="sk-SK"/>
              </w:rPr>
            </w:pPr>
            <w:r w:rsidRPr="00E956EF">
              <w:rPr>
                <w:rFonts w:asciiTheme="minorHAnsi" w:eastAsia="Times New Roman" w:hAnsiTheme="minorHAnsi" w:cs="Arial"/>
                <w:b/>
                <w:bCs/>
                <w:sz w:val="20"/>
                <w:szCs w:val="20"/>
                <w:lang w:eastAsia="sk-SK"/>
              </w:rPr>
              <w:t>2011/2012</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403</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109</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190</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216</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111</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169</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99</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15</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6830E4" w:rsidRPr="00E956EF" w:rsidRDefault="006830E4" w:rsidP="00911364">
            <w:pPr>
              <w:jc w:val="center"/>
              <w:rPr>
                <w:rFonts w:asciiTheme="minorHAnsi" w:eastAsia="Times New Roman" w:hAnsiTheme="minorHAnsi" w:cs="Arial"/>
                <w:b/>
                <w:bCs/>
                <w:sz w:val="20"/>
                <w:szCs w:val="20"/>
                <w:lang w:eastAsia="sk-SK"/>
              </w:rPr>
            </w:pPr>
            <w:r w:rsidRPr="00E956EF">
              <w:rPr>
                <w:rFonts w:asciiTheme="minorHAnsi" w:eastAsia="Times New Roman" w:hAnsiTheme="minorHAnsi" w:cs="Arial"/>
                <w:b/>
                <w:bCs/>
                <w:sz w:val="20"/>
                <w:szCs w:val="20"/>
                <w:lang w:eastAsia="sk-SK"/>
              </w:rPr>
              <w:t>1 312</w:t>
            </w:r>
          </w:p>
        </w:tc>
      </w:tr>
      <w:tr w:rsidR="006830E4" w:rsidRPr="00E956EF" w:rsidTr="00911364">
        <w:trPr>
          <w:trHeight w:val="25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6830E4" w:rsidRPr="00E956EF" w:rsidRDefault="006830E4" w:rsidP="00911364">
            <w:pPr>
              <w:rPr>
                <w:rFonts w:asciiTheme="minorHAnsi" w:eastAsia="Times New Roman" w:hAnsiTheme="minorHAnsi" w:cs="Arial"/>
                <w:b/>
                <w:bCs/>
                <w:sz w:val="20"/>
                <w:szCs w:val="20"/>
                <w:lang w:eastAsia="sk-SK"/>
              </w:rPr>
            </w:pPr>
            <w:r w:rsidRPr="00E956EF">
              <w:rPr>
                <w:rFonts w:asciiTheme="minorHAnsi" w:eastAsia="Times New Roman" w:hAnsiTheme="minorHAnsi" w:cs="Arial"/>
                <w:b/>
                <w:bCs/>
                <w:sz w:val="20"/>
                <w:szCs w:val="20"/>
                <w:lang w:eastAsia="sk-SK"/>
              </w:rPr>
              <w:t>2012/2013</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409</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90</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185</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241</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105</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144</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94</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10</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6830E4" w:rsidRPr="00E956EF" w:rsidRDefault="006830E4" w:rsidP="00911364">
            <w:pPr>
              <w:jc w:val="center"/>
              <w:rPr>
                <w:rFonts w:asciiTheme="minorHAnsi" w:eastAsia="Times New Roman" w:hAnsiTheme="minorHAnsi" w:cs="Arial"/>
                <w:b/>
                <w:bCs/>
                <w:sz w:val="20"/>
                <w:szCs w:val="20"/>
                <w:lang w:eastAsia="sk-SK"/>
              </w:rPr>
            </w:pPr>
            <w:r w:rsidRPr="00E956EF">
              <w:rPr>
                <w:rFonts w:asciiTheme="minorHAnsi" w:eastAsia="Times New Roman" w:hAnsiTheme="minorHAnsi" w:cs="Arial"/>
                <w:b/>
                <w:bCs/>
                <w:sz w:val="20"/>
                <w:szCs w:val="20"/>
                <w:lang w:eastAsia="sk-SK"/>
              </w:rPr>
              <w:t>1 278</w:t>
            </w:r>
          </w:p>
        </w:tc>
      </w:tr>
      <w:tr w:rsidR="006830E4" w:rsidRPr="00E956EF" w:rsidTr="00911364">
        <w:trPr>
          <w:trHeight w:val="25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6830E4" w:rsidRPr="00E956EF" w:rsidRDefault="006830E4" w:rsidP="00911364">
            <w:pPr>
              <w:rPr>
                <w:rFonts w:asciiTheme="minorHAnsi" w:eastAsia="Times New Roman" w:hAnsiTheme="minorHAnsi" w:cs="Arial"/>
                <w:b/>
                <w:bCs/>
                <w:sz w:val="20"/>
                <w:szCs w:val="20"/>
                <w:lang w:eastAsia="sk-SK"/>
              </w:rPr>
            </w:pPr>
            <w:r w:rsidRPr="00E956EF">
              <w:rPr>
                <w:rFonts w:asciiTheme="minorHAnsi" w:eastAsia="Times New Roman" w:hAnsiTheme="minorHAnsi" w:cs="Arial"/>
                <w:b/>
                <w:bCs/>
                <w:sz w:val="20"/>
                <w:szCs w:val="20"/>
                <w:lang w:eastAsia="sk-SK"/>
              </w:rPr>
              <w:t>2013/2014</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383</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90</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180</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229</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100</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148</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96</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10</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6830E4" w:rsidRPr="00E956EF" w:rsidRDefault="006830E4" w:rsidP="00911364">
            <w:pPr>
              <w:jc w:val="center"/>
              <w:rPr>
                <w:rFonts w:asciiTheme="minorHAnsi" w:eastAsia="Times New Roman" w:hAnsiTheme="minorHAnsi" w:cs="Arial"/>
                <w:b/>
                <w:bCs/>
                <w:sz w:val="20"/>
                <w:szCs w:val="20"/>
                <w:lang w:eastAsia="sk-SK"/>
              </w:rPr>
            </w:pPr>
            <w:r w:rsidRPr="00E956EF">
              <w:rPr>
                <w:rFonts w:asciiTheme="minorHAnsi" w:eastAsia="Times New Roman" w:hAnsiTheme="minorHAnsi" w:cs="Arial"/>
                <w:b/>
                <w:bCs/>
                <w:sz w:val="20"/>
                <w:szCs w:val="20"/>
                <w:lang w:eastAsia="sk-SK"/>
              </w:rPr>
              <w:t>1 236</w:t>
            </w:r>
          </w:p>
        </w:tc>
      </w:tr>
      <w:tr w:rsidR="006830E4" w:rsidRPr="00E956EF" w:rsidTr="00911364">
        <w:trPr>
          <w:trHeight w:val="25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6830E4" w:rsidRPr="00E956EF" w:rsidRDefault="006830E4" w:rsidP="00911364">
            <w:pPr>
              <w:rPr>
                <w:rFonts w:asciiTheme="minorHAnsi" w:eastAsia="Times New Roman" w:hAnsiTheme="minorHAnsi" w:cs="Arial"/>
                <w:b/>
                <w:bCs/>
                <w:sz w:val="20"/>
                <w:szCs w:val="20"/>
                <w:lang w:eastAsia="sk-SK"/>
              </w:rPr>
            </w:pPr>
            <w:r w:rsidRPr="00E956EF">
              <w:rPr>
                <w:rFonts w:asciiTheme="minorHAnsi" w:eastAsia="Times New Roman" w:hAnsiTheme="minorHAnsi" w:cs="Arial"/>
                <w:b/>
                <w:bCs/>
                <w:sz w:val="20"/>
                <w:szCs w:val="20"/>
                <w:lang w:eastAsia="sk-SK"/>
              </w:rPr>
              <w:t>2014/2015</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343</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68</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165</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222</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101</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137</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106</w:t>
            </w:r>
          </w:p>
        </w:tc>
        <w:tc>
          <w:tcPr>
            <w:tcW w:w="820" w:type="dxa"/>
            <w:tcBorders>
              <w:top w:val="nil"/>
              <w:left w:val="nil"/>
              <w:bottom w:val="single" w:sz="4" w:space="0" w:color="auto"/>
              <w:right w:val="single" w:sz="4" w:space="0" w:color="auto"/>
            </w:tcBorders>
            <w:shd w:val="clear" w:color="auto" w:fill="auto"/>
            <w:noWrap/>
            <w:vAlign w:val="center"/>
            <w:hideMark/>
          </w:tcPr>
          <w:p w:rsidR="006830E4" w:rsidRPr="00E956EF" w:rsidRDefault="006830E4" w:rsidP="00911364">
            <w:pPr>
              <w:jc w:val="center"/>
              <w:rPr>
                <w:rFonts w:asciiTheme="minorHAnsi" w:eastAsia="Times New Roman" w:hAnsiTheme="minorHAnsi" w:cs="Arial"/>
                <w:sz w:val="20"/>
                <w:szCs w:val="20"/>
                <w:lang w:eastAsia="sk-SK"/>
              </w:rPr>
            </w:pPr>
            <w:r w:rsidRPr="00E956EF">
              <w:rPr>
                <w:rFonts w:asciiTheme="minorHAnsi" w:eastAsia="Times New Roman" w:hAnsiTheme="minorHAnsi" w:cs="Arial"/>
                <w:sz w:val="20"/>
                <w:szCs w:val="20"/>
                <w:lang w:eastAsia="sk-SK"/>
              </w:rPr>
              <w:t>12</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6830E4" w:rsidRPr="00E956EF" w:rsidRDefault="006830E4" w:rsidP="00911364">
            <w:pPr>
              <w:jc w:val="center"/>
              <w:rPr>
                <w:rFonts w:asciiTheme="minorHAnsi" w:eastAsia="Times New Roman" w:hAnsiTheme="minorHAnsi" w:cs="Arial"/>
                <w:b/>
                <w:bCs/>
                <w:sz w:val="20"/>
                <w:szCs w:val="20"/>
                <w:lang w:eastAsia="sk-SK"/>
              </w:rPr>
            </w:pPr>
            <w:r w:rsidRPr="00E956EF">
              <w:rPr>
                <w:rFonts w:asciiTheme="minorHAnsi" w:eastAsia="Times New Roman" w:hAnsiTheme="minorHAnsi" w:cs="Arial"/>
                <w:b/>
                <w:bCs/>
                <w:sz w:val="20"/>
                <w:szCs w:val="20"/>
                <w:lang w:eastAsia="sk-SK"/>
              </w:rPr>
              <w:t>1 154</w:t>
            </w:r>
          </w:p>
        </w:tc>
      </w:tr>
    </w:tbl>
    <w:p w:rsidR="00B51749" w:rsidRPr="002D7A10" w:rsidRDefault="00B51749" w:rsidP="00B51749">
      <w:pPr>
        <w:rPr>
          <w:rFonts w:asciiTheme="minorHAnsi" w:hAnsiTheme="minorHAnsi"/>
          <w:b/>
          <w:color w:val="FF0000"/>
          <w:shd w:val="clear" w:color="auto" w:fill="FFFFFF"/>
        </w:rPr>
      </w:pPr>
    </w:p>
    <w:p w:rsidR="00B51749" w:rsidRPr="002D7A10" w:rsidRDefault="00B51749" w:rsidP="00B51749">
      <w:pPr>
        <w:pStyle w:val="Nadpis2"/>
        <w:rPr>
          <w:rFonts w:asciiTheme="minorHAnsi" w:hAnsiTheme="minorHAnsi"/>
          <w:color w:val="auto"/>
          <w:sz w:val="24"/>
          <w:szCs w:val="24"/>
          <w:shd w:val="clear" w:color="auto" w:fill="FFFFFF"/>
        </w:rPr>
      </w:pPr>
      <w:bookmarkStart w:id="52" w:name="_Toc448261593"/>
      <w:r w:rsidRPr="002D7A10">
        <w:rPr>
          <w:rFonts w:asciiTheme="minorHAnsi" w:hAnsiTheme="minorHAnsi"/>
          <w:color w:val="auto"/>
          <w:sz w:val="24"/>
          <w:szCs w:val="24"/>
          <w:shd w:val="clear" w:color="auto" w:fill="FFFFFF"/>
        </w:rPr>
        <w:t>Motivačné štipendiá</w:t>
      </w:r>
      <w:bookmarkEnd w:id="52"/>
    </w:p>
    <w:p w:rsidR="007A53B8" w:rsidRPr="002D7A10" w:rsidRDefault="007A53B8" w:rsidP="007A53B8">
      <w:pPr>
        <w:spacing w:after="120"/>
        <w:ind w:right="284"/>
        <w:rPr>
          <w:rFonts w:asciiTheme="minorHAnsi" w:hAnsiTheme="minorHAnsi" w:cs="Calibri"/>
        </w:rPr>
      </w:pPr>
      <w:r w:rsidRPr="002D7A10">
        <w:rPr>
          <w:rFonts w:asciiTheme="minorHAnsi" w:hAnsiTheme="minorHAnsi" w:cs="Calibri"/>
        </w:rPr>
        <w:t xml:space="preserve">Ocenenie aktivít študentov za vynikajúce plnenie študijných povinností, ako aj vynikajúce výsledky dosiahnuté </w:t>
      </w:r>
      <w:r w:rsidR="003F0D10" w:rsidRPr="002D7A10">
        <w:rPr>
          <w:rFonts w:asciiTheme="minorHAnsi" w:hAnsiTheme="minorHAnsi" w:cs="Calibri"/>
        </w:rPr>
        <w:t xml:space="preserve">v </w:t>
      </w:r>
      <w:r w:rsidRPr="002D7A10">
        <w:rPr>
          <w:rFonts w:asciiTheme="minorHAnsi" w:hAnsiTheme="minorHAnsi" w:cs="Calibri"/>
        </w:rPr>
        <w:t>oblasti štúdia, výskumu, vývoja umeleckej alebo športovej činnosti sa realizovalo prostredníctvom motivačných štipendií z prostriedkov štátneho rozpočtu. Kategória motivačných štipendií sa podľa zákona delí na motivačné štipendiá v študijných odboroch urč</w:t>
      </w:r>
      <w:r w:rsidR="003F0D10" w:rsidRPr="002D7A10">
        <w:rPr>
          <w:rFonts w:asciiTheme="minorHAnsi" w:hAnsiTheme="minorHAnsi" w:cs="Calibri"/>
        </w:rPr>
        <w:t>e</w:t>
      </w:r>
      <w:r w:rsidRPr="002D7A10">
        <w:rPr>
          <w:rFonts w:asciiTheme="minorHAnsi" w:hAnsiTheme="minorHAnsi" w:cs="Calibri"/>
        </w:rPr>
        <w:t xml:space="preserve">ných v metodike (ďalej len „motivačné štipendiá odborové“) a motivačné štipendiá za vynikajúce plnenie študijných povinností, dosiahnutie vynikajúceho výsledku v oblasti štúdia, výskumu, vývoja, umeleckej alebo športovej činnosti. </w:t>
      </w:r>
    </w:p>
    <w:p w:rsidR="007A53B8" w:rsidRPr="002D7A10" w:rsidRDefault="007A53B8" w:rsidP="007A53B8">
      <w:pPr>
        <w:ind w:right="284"/>
        <w:rPr>
          <w:rFonts w:asciiTheme="minorHAnsi" w:hAnsiTheme="minorHAnsi" w:cs="Arial"/>
        </w:rPr>
      </w:pPr>
      <w:r w:rsidRPr="002D7A10">
        <w:rPr>
          <w:rFonts w:asciiTheme="minorHAnsi" w:hAnsiTheme="minorHAnsi" w:cs="Calibri"/>
        </w:rPr>
        <w:t xml:space="preserve">V akad. roku 2014/2015 boli priznávané </w:t>
      </w:r>
      <w:r w:rsidRPr="002D7A10">
        <w:rPr>
          <w:rFonts w:asciiTheme="minorHAnsi" w:hAnsiTheme="minorHAnsi" w:cs="Calibri"/>
          <w:b/>
          <w:i/>
        </w:rPr>
        <w:t>motivačné štipendiá odborové</w:t>
      </w:r>
      <w:r w:rsidRPr="002D7A10">
        <w:rPr>
          <w:rFonts w:asciiTheme="minorHAnsi" w:hAnsiTheme="minorHAnsi" w:cs="Calibri"/>
        </w:rPr>
        <w:t xml:space="preserve"> študentom študujúcim študijné odbory určené v metodike rozpisu dotácie </w:t>
      </w:r>
      <w:r w:rsidRPr="002D7A10">
        <w:rPr>
          <w:rFonts w:asciiTheme="minorHAnsi" w:hAnsiTheme="minorHAnsi" w:cs="Arial"/>
        </w:rPr>
        <w:t>zo štátneho rozpočtu so zohľadnením študijných výsl</w:t>
      </w:r>
      <w:r w:rsidR="003F0D10" w:rsidRPr="002D7A10">
        <w:rPr>
          <w:rFonts w:asciiTheme="minorHAnsi" w:hAnsiTheme="minorHAnsi" w:cs="Arial"/>
        </w:rPr>
        <w:t>edkov z predchádzajúceho štúdia. V</w:t>
      </w:r>
      <w:r w:rsidRPr="002D7A10">
        <w:rPr>
          <w:rFonts w:asciiTheme="minorHAnsi" w:hAnsiTheme="minorHAnsi"/>
        </w:rPr>
        <w:t> prípade</w:t>
      </w:r>
      <w:r w:rsidRPr="002D7A10">
        <w:rPr>
          <w:rFonts w:asciiTheme="minorHAnsi" w:hAnsiTheme="minorHAnsi" w:cs="Arial"/>
        </w:rPr>
        <w:t xml:space="preserve"> študentov študijných programov prvého stupňa v prvom roku štúdia sa zohľadnili študijné výsledky z posledného roku štúdia na strednej škole. Základná výška motivačného štipendia odborového v akad. roku 2014/2015 predstavovala sumu 300 €. Študentovi mohlo byť priznané štipendium najviac do výšky trojnásobku základnej výšky, čo predstavovalo sumu najviac 900 €.</w:t>
      </w:r>
    </w:p>
    <w:p w:rsidR="007A53B8" w:rsidRDefault="007A53B8" w:rsidP="007A53B8">
      <w:pPr>
        <w:spacing w:after="120"/>
        <w:ind w:right="284"/>
        <w:rPr>
          <w:rFonts w:asciiTheme="minorHAnsi" w:hAnsiTheme="minorHAnsi" w:cs="Arial"/>
        </w:rPr>
      </w:pPr>
      <w:r w:rsidRPr="002D7A10">
        <w:rPr>
          <w:rFonts w:asciiTheme="minorHAnsi" w:hAnsiTheme="minorHAnsi" w:cs="Arial"/>
        </w:rPr>
        <w:lastRenderedPageBreak/>
        <w:t>Prehľad priznaných motivačných štipendií odborových na jednotlivých súčastiach STU je uvedený v tabuľke č. 8.2.</w:t>
      </w:r>
    </w:p>
    <w:p w:rsidR="00D04241" w:rsidRPr="002D7A10" w:rsidRDefault="00D04241" w:rsidP="007A53B8">
      <w:pPr>
        <w:spacing w:after="120"/>
        <w:ind w:right="284"/>
        <w:rPr>
          <w:rFonts w:asciiTheme="minorHAnsi" w:hAnsiTheme="minorHAnsi" w:cs="Arial"/>
        </w:rPr>
      </w:pPr>
    </w:p>
    <w:p w:rsidR="007A53B8" w:rsidRPr="00B13FD5" w:rsidRDefault="007A53B8" w:rsidP="007A53B8">
      <w:pPr>
        <w:ind w:right="284"/>
        <w:rPr>
          <w:rFonts w:asciiTheme="minorHAnsi" w:hAnsiTheme="minorHAnsi" w:cs="Calibri"/>
          <w:b/>
          <w:sz w:val="20"/>
          <w:szCs w:val="20"/>
        </w:rPr>
      </w:pPr>
      <w:r w:rsidRPr="00B13FD5">
        <w:rPr>
          <w:rFonts w:asciiTheme="minorHAnsi" w:hAnsiTheme="minorHAnsi" w:cs="Calibri"/>
          <w:b/>
          <w:sz w:val="20"/>
          <w:szCs w:val="20"/>
        </w:rPr>
        <w:t>Tabuľka č. 8.2: Motivačné štipendiá odborové poskytnuté študentom študujúcim v akad. roku 2014/2015</w:t>
      </w:r>
    </w:p>
    <w:tbl>
      <w:tblPr>
        <w:tblW w:w="7103" w:type="dxa"/>
        <w:tblInd w:w="55" w:type="dxa"/>
        <w:tblCellMar>
          <w:left w:w="70" w:type="dxa"/>
          <w:right w:w="70" w:type="dxa"/>
        </w:tblCellMar>
        <w:tblLook w:val="04A0" w:firstRow="1" w:lastRow="0" w:firstColumn="1" w:lastColumn="0" w:noHBand="0" w:noVBand="1"/>
      </w:tblPr>
      <w:tblGrid>
        <w:gridCol w:w="960"/>
        <w:gridCol w:w="1800"/>
        <w:gridCol w:w="4343"/>
      </w:tblGrid>
      <w:tr w:rsidR="007A53B8" w:rsidRPr="00B13FD5" w:rsidTr="00911364">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 xml:space="preserve">Fakulta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Počet študentov</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Celková suma poskytnutých štipendií v €</w:t>
            </w:r>
          </w:p>
        </w:tc>
      </w:tr>
      <w:tr w:rsidR="007A53B8" w:rsidRPr="00B13FD5" w:rsidTr="00911364">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SvF</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261</w:t>
            </w:r>
          </w:p>
        </w:tc>
        <w:tc>
          <w:tcPr>
            <w:tcW w:w="4343"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78 300</w:t>
            </w:r>
          </w:p>
        </w:tc>
      </w:tr>
      <w:tr w:rsidR="007A53B8" w:rsidRPr="00B13FD5" w:rsidTr="00911364">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SjF</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316</w:t>
            </w:r>
          </w:p>
        </w:tc>
        <w:tc>
          <w:tcPr>
            <w:tcW w:w="4343"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126 386</w:t>
            </w:r>
          </w:p>
        </w:tc>
      </w:tr>
      <w:tr w:rsidR="007A53B8" w:rsidRPr="00B13FD5" w:rsidTr="00911364">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FEI</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635</w:t>
            </w:r>
          </w:p>
        </w:tc>
        <w:tc>
          <w:tcPr>
            <w:tcW w:w="4343"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293 400</w:t>
            </w:r>
          </w:p>
        </w:tc>
      </w:tr>
      <w:tr w:rsidR="007A53B8" w:rsidRPr="00B13FD5" w:rsidTr="00911364">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FCHPT</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1062</w:t>
            </w:r>
          </w:p>
        </w:tc>
        <w:tc>
          <w:tcPr>
            <w:tcW w:w="4343"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310 016</w:t>
            </w:r>
          </w:p>
        </w:tc>
      </w:tr>
      <w:tr w:rsidR="007A53B8" w:rsidRPr="00B13FD5" w:rsidTr="00911364">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FA</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0</w:t>
            </w:r>
          </w:p>
        </w:tc>
        <w:tc>
          <w:tcPr>
            <w:tcW w:w="4343"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0</w:t>
            </w:r>
          </w:p>
        </w:tc>
      </w:tr>
      <w:tr w:rsidR="007A53B8" w:rsidRPr="00B13FD5" w:rsidTr="00911364">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MTF</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930</w:t>
            </w:r>
          </w:p>
        </w:tc>
        <w:tc>
          <w:tcPr>
            <w:tcW w:w="4343"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284 330</w:t>
            </w:r>
          </w:p>
        </w:tc>
      </w:tr>
      <w:tr w:rsidR="007A53B8" w:rsidRPr="00B13FD5" w:rsidTr="00911364">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FIIT</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336</w:t>
            </w:r>
          </w:p>
        </w:tc>
        <w:tc>
          <w:tcPr>
            <w:tcW w:w="4343"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200 681</w:t>
            </w:r>
          </w:p>
        </w:tc>
      </w:tr>
      <w:tr w:rsidR="007A53B8" w:rsidRPr="00B13FD5" w:rsidTr="00911364">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ÚM</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0</w:t>
            </w:r>
          </w:p>
        </w:tc>
        <w:tc>
          <w:tcPr>
            <w:tcW w:w="4343"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0</w:t>
            </w:r>
          </w:p>
        </w:tc>
      </w:tr>
      <w:tr w:rsidR="007A53B8" w:rsidRPr="00B13FD5" w:rsidTr="00911364">
        <w:trPr>
          <w:trHeight w:val="20"/>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STU</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3 540</w:t>
            </w:r>
          </w:p>
        </w:tc>
        <w:tc>
          <w:tcPr>
            <w:tcW w:w="4343" w:type="dxa"/>
            <w:tcBorders>
              <w:top w:val="nil"/>
              <w:left w:val="nil"/>
              <w:bottom w:val="single" w:sz="4" w:space="0" w:color="auto"/>
              <w:right w:val="single" w:sz="4" w:space="0" w:color="auto"/>
            </w:tcBorders>
            <w:shd w:val="clear" w:color="auto" w:fill="D9D9D9" w:themeFill="background1" w:themeFillShade="D9"/>
            <w:noWrap/>
            <w:vAlign w:val="bottom"/>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1 293 113</w:t>
            </w:r>
          </w:p>
        </w:tc>
      </w:tr>
    </w:tbl>
    <w:p w:rsidR="003F0D10" w:rsidRPr="00B13FD5" w:rsidRDefault="003F0D10" w:rsidP="007A53B8">
      <w:pPr>
        <w:ind w:right="284"/>
        <w:rPr>
          <w:rFonts w:asciiTheme="minorHAnsi" w:hAnsiTheme="minorHAnsi" w:cs="Calibri"/>
          <w:b/>
          <w:i/>
          <w:sz w:val="20"/>
          <w:szCs w:val="20"/>
        </w:rPr>
      </w:pPr>
    </w:p>
    <w:p w:rsidR="003F0D10" w:rsidRPr="002D7A10" w:rsidRDefault="003F0D10" w:rsidP="007A53B8">
      <w:pPr>
        <w:ind w:right="284"/>
        <w:rPr>
          <w:rFonts w:asciiTheme="minorHAnsi" w:hAnsiTheme="minorHAnsi" w:cs="Calibri"/>
          <w:b/>
          <w:i/>
        </w:rPr>
      </w:pPr>
    </w:p>
    <w:p w:rsidR="007A53B8" w:rsidRPr="002D7A10" w:rsidRDefault="007A53B8" w:rsidP="007A53B8">
      <w:pPr>
        <w:ind w:right="284"/>
        <w:rPr>
          <w:rFonts w:asciiTheme="minorHAnsi" w:hAnsiTheme="minorHAnsi" w:cs="Calibri"/>
        </w:rPr>
      </w:pPr>
      <w:r w:rsidRPr="002D7A10">
        <w:rPr>
          <w:rFonts w:asciiTheme="minorHAnsi" w:hAnsiTheme="minorHAnsi" w:cs="Calibri"/>
          <w:b/>
          <w:i/>
        </w:rPr>
        <w:t>Motivačné štipendiá za vynikajúce študijné výsledky (prospechové štipendium)</w:t>
      </w:r>
      <w:r w:rsidRPr="002D7A10">
        <w:rPr>
          <w:rFonts w:asciiTheme="minorHAnsi" w:hAnsiTheme="minorHAnsi" w:cs="Calibri"/>
        </w:rPr>
        <w:t xml:space="preserve"> boli priznané študentom druhého, prípadne vyššieho ročníka štúdia za študijné výsledky dosiahnuté na univerzite v predchádzajúcom akademickom roku. Na fakultách sa uplatňovali pravidlá priznávania a poskytovania motivačných štipendií, ktoré sú určené v Štipendijnom poriadku STU, ktoré mohli byť bližšie špecifikované fakultným vnútorným predpisom. </w:t>
      </w:r>
      <w:r w:rsidRPr="002D7A10">
        <w:rPr>
          <w:rFonts w:asciiTheme="minorHAnsi" w:hAnsiTheme="minorHAnsi" w:cs="Arial"/>
        </w:rPr>
        <w:t>Základná výška motivačného štipendia za vynikajúce plnenie študijných povinností, dosiahnutie vynikajúceho výsledku v oblasti štúdia, výskumu, vývoja, umeleckej alebo športovej činnosti v akad. roku 2014/2015 predstavovala sumu 350 €.</w:t>
      </w:r>
    </w:p>
    <w:p w:rsidR="007A53B8" w:rsidRPr="002D7A10" w:rsidRDefault="007A53B8" w:rsidP="007A53B8">
      <w:pPr>
        <w:ind w:right="284"/>
        <w:rPr>
          <w:rFonts w:asciiTheme="minorHAnsi" w:hAnsiTheme="minorHAnsi" w:cs="Calibri"/>
          <w:b/>
        </w:rPr>
      </w:pPr>
    </w:p>
    <w:p w:rsidR="007A53B8" w:rsidRPr="00B13FD5" w:rsidRDefault="007A53B8" w:rsidP="007A53B8">
      <w:pPr>
        <w:ind w:right="284"/>
        <w:rPr>
          <w:rFonts w:asciiTheme="minorHAnsi" w:hAnsiTheme="minorHAnsi" w:cs="Calibri"/>
          <w:b/>
          <w:sz w:val="20"/>
          <w:szCs w:val="20"/>
        </w:rPr>
      </w:pPr>
      <w:r w:rsidRPr="00B13FD5">
        <w:rPr>
          <w:rFonts w:asciiTheme="minorHAnsi" w:hAnsiTheme="minorHAnsi" w:cs="Calibri"/>
          <w:b/>
          <w:sz w:val="20"/>
          <w:szCs w:val="20"/>
        </w:rPr>
        <w:t>Tabuľka č. 8.3: Motivačné štipendiá za vynikajúce plnenie študijných povinností (prospechové štipendium) poskytnuté študentom v akad. roku 2014/2015</w:t>
      </w:r>
    </w:p>
    <w:tbl>
      <w:tblPr>
        <w:tblW w:w="5544" w:type="dxa"/>
        <w:tblInd w:w="55" w:type="dxa"/>
        <w:tblCellMar>
          <w:left w:w="70" w:type="dxa"/>
          <w:right w:w="70" w:type="dxa"/>
        </w:tblCellMar>
        <w:tblLook w:val="04A0" w:firstRow="1" w:lastRow="0" w:firstColumn="1" w:lastColumn="0" w:noHBand="0" w:noVBand="1"/>
      </w:tblPr>
      <w:tblGrid>
        <w:gridCol w:w="960"/>
        <w:gridCol w:w="1800"/>
        <w:gridCol w:w="2784"/>
      </w:tblGrid>
      <w:tr w:rsidR="007A53B8" w:rsidRPr="00B13FD5" w:rsidTr="00911364">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 xml:space="preserve">Fakulta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Počet študentov</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Celková suma vyplatených štipendií v €</w:t>
            </w:r>
          </w:p>
        </w:tc>
      </w:tr>
      <w:tr w:rsidR="007A53B8" w:rsidRPr="00B13FD5"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SvF</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369</w:t>
            </w:r>
          </w:p>
        </w:tc>
        <w:tc>
          <w:tcPr>
            <w:tcW w:w="2784"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164 651</w:t>
            </w:r>
          </w:p>
        </w:tc>
      </w:tr>
      <w:tr w:rsidR="007A53B8" w:rsidRPr="00B13FD5"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SjF</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91</w:t>
            </w:r>
          </w:p>
        </w:tc>
        <w:tc>
          <w:tcPr>
            <w:tcW w:w="2784"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35 826</w:t>
            </w:r>
          </w:p>
        </w:tc>
      </w:tr>
      <w:tr w:rsidR="007A53B8" w:rsidRPr="00B13FD5"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FEI</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184</w:t>
            </w:r>
          </w:p>
        </w:tc>
        <w:tc>
          <w:tcPr>
            <w:tcW w:w="2784"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74 150</w:t>
            </w:r>
          </w:p>
        </w:tc>
      </w:tr>
      <w:tr w:rsidR="007A53B8" w:rsidRPr="00B13FD5"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FCHPT</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161</w:t>
            </w:r>
          </w:p>
        </w:tc>
        <w:tc>
          <w:tcPr>
            <w:tcW w:w="2784"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78 445</w:t>
            </w:r>
          </w:p>
        </w:tc>
      </w:tr>
      <w:tr w:rsidR="007A53B8" w:rsidRPr="00B13FD5"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FA</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87</w:t>
            </w:r>
          </w:p>
        </w:tc>
        <w:tc>
          <w:tcPr>
            <w:tcW w:w="2784"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35 787</w:t>
            </w:r>
          </w:p>
        </w:tc>
      </w:tr>
      <w:tr w:rsidR="007A53B8" w:rsidRPr="00B13FD5"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MTF</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252</w:t>
            </w:r>
          </w:p>
        </w:tc>
        <w:tc>
          <w:tcPr>
            <w:tcW w:w="2784"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93 480</w:t>
            </w:r>
          </w:p>
        </w:tc>
      </w:tr>
      <w:tr w:rsidR="007A53B8" w:rsidRPr="00B13FD5"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FIIT</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85</w:t>
            </w:r>
          </w:p>
        </w:tc>
        <w:tc>
          <w:tcPr>
            <w:tcW w:w="2784"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39 891</w:t>
            </w:r>
          </w:p>
        </w:tc>
      </w:tr>
      <w:tr w:rsidR="007A53B8" w:rsidRPr="00B13FD5"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ÚM</w:t>
            </w:r>
          </w:p>
        </w:tc>
        <w:tc>
          <w:tcPr>
            <w:tcW w:w="1800"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18</w:t>
            </w:r>
          </w:p>
        </w:tc>
        <w:tc>
          <w:tcPr>
            <w:tcW w:w="2784"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6 820</w:t>
            </w:r>
          </w:p>
        </w:tc>
      </w:tr>
      <w:tr w:rsidR="007A53B8" w:rsidRPr="00B13FD5" w:rsidTr="00911364">
        <w:trPr>
          <w:trHeight w:val="255"/>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STU</w:t>
            </w:r>
          </w:p>
        </w:tc>
        <w:tc>
          <w:tcPr>
            <w:tcW w:w="1800" w:type="dxa"/>
            <w:tcBorders>
              <w:top w:val="nil"/>
              <w:left w:val="nil"/>
              <w:bottom w:val="single" w:sz="4" w:space="0" w:color="auto"/>
              <w:right w:val="single" w:sz="4" w:space="0" w:color="auto"/>
            </w:tcBorders>
            <w:shd w:val="clear" w:color="auto" w:fill="D9D9D9" w:themeFill="background1" w:themeFillShade="D9"/>
            <w:noWrap/>
            <w:vAlign w:val="bottom"/>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1 247</w:t>
            </w:r>
          </w:p>
        </w:tc>
        <w:tc>
          <w:tcPr>
            <w:tcW w:w="2784" w:type="dxa"/>
            <w:tcBorders>
              <w:top w:val="nil"/>
              <w:left w:val="nil"/>
              <w:bottom w:val="single" w:sz="4" w:space="0" w:color="auto"/>
              <w:right w:val="single" w:sz="4" w:space="0" w:color="auto"/>
            </w:tcBorders>
            <w:shd w:val="clear" w:color="auto" w:fill="D9D9D9" w:themeFill="background1" w:themeFillShade="D9"/>
            <w:noWrap/>
            <w:vAlign w:val="bottom"/>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529 050</w:t>
            </w:r>
          </w:p>
        </w:tc>
      </w:tr>
    </w:tbl>
    <w:p w:rsidR="007A53B8" w:rsidRPr="002D7A10" w:rsidRDefault="007A53B8" w:rsidP="007A53B8">
      <w:pPr>
        <w:ind w:right="284"/>
        <w:rPr>
          <w:rFonts w:asciiTheme="minorHAnsi" w:hAnsiTheme="minorHAnsi" w:cs="Calibri"/>
        </w:rPr>
      </w:pPr>
    </w:p>
    <w:p w:rsidR="007A53B8" w:rsidRPr="002D7A10" w:rsidRDefault="007A53B8" w:rsidP="007A53B8">
      <w:pPr>
        <w:ind w:right="284"/>
        <w:rPr>
          <w:rFonts w:asciiTheme="minorHAnsi" w:hAnsiTheme="minorHAnsi" w:cs="Calibri"/>
        </w:rPr>
      </w:pPr>
      <w:r w:rsidRPr="002D7A10">
        <w:rPr>
          <w:rFonts w:asciiTheme="minorHAnsi" w:hAnsiTheme="minorHAnsi" w:cs="Calibri"/>
          <w:b/>
          <w:i/>
        </w:rPr>
        <w:t>Motivačné štipendiá za mimoriadne výsledky</w:t>
      </w:r>
      <w:r w:rsidRPr="002D7A10">
        <w:rPr>
          <w:rFonts w:asciiTheme="minorHAnsi" w:hAnsiTheme="minorHAnsi" w:cs="Calibri"/>
        </w:rPr>
        <w:t xml:space="preserve"> boli poskytnuté študentom všetkých stupňov štúdia uplatnením kritérií priznávania motivačného štipendia za mimoriadne výsledky stanovených v Štipendijnom poriadku STU. Kritériá umožňovali priznať a poskytnúť študentovi štipendium za:</w:t>
      </w:r>
    </w:p>
    <w:p w:rsidR="007A53B8" w:rsidRPr="002D7A10" w:rsidRDefault="007A53B8" w:rsidP="00D31559">
      <w:pPr>
        <w:numPr>
          <w:ilvl w:val="0"/>
          <w:numId w:val="2"/>
        </w:numPr>
        <w:ind w:left="502" w:right="284"/>
        <w:rPr>
          <w:rFonts w:asciiTheme="minorHAnsi" w:hAnsiTheme="minorHAnsi" w:cs="Calibri"/>
        </w:rPr>
      </w:pPr>
      <w:r w:rsidRPr="002D7A10">
        <w:rPr>
          <w:rFonts w:asciiTheme="minorHAnsi" w:hAnsiTheme="minorHAnsi" w:cs="Calibri"/>
        </w:rPr>
        <w:t xml:space="preserve">mimoriadne plnenie študijných povinností, </w:t>
      </w:r>
    </w:p>
    <w:p w:rsidR="007A53B8" w:rsidRPr="002D7A10" w:rsidRDefault="007A53B8" w:rsidP="00D31559">
      <w:pPr>
        <w:numPr>
          <w:ilvl w:val="0"/>
          <w:numId w:val="2"/>
        </w:numPr>
        <w:ind w:left="502" w:right="284"/>
        <w:rPr>
          <w:rFonts w:asciiTheme="minorHAnsi" w:hAnsiTheme="minorHAnsi" w:cs="Calibri"/>
        </w:rPr>
      </w:pPr>
      <w:r w:rsidRPr="002D7A10">
        <w:rPr>
          <w:rFonts w:asciiTheme="minorHAnsi" w:hAnsiTheme="minorHAnsi" w:cs="Calibri"/>
        </w:rPr>
        <w:t xml:space="preserve">mimoriadny výsledok v oblasti výskumu alebo vývoja, </w:t>
      </w:r>
    </w:p>
    <w:p w:rsidR="007A53B8" w:rsidRPr="002D7A10" w:rsidRDefault="007A53B8" w:rsidP="00D31559">
      <w:pPr>
        <w:numPr>
          <w:ilvl w:val="0"/>
          <w:numId w:val="2"/>
        </w:numPr>
        <w:ind w:left="502" w:right="284"/>
        <w:rPr>
          <w:rFonts w:asciiTheme="minorHAnsi" w:hAnsiTheme="minorHAnsi" w:cs="Calibri"/>
        </w:rPr>
      </w:pPr>
      <w:r w:rsidRPr="002D7A10">
        <w:rPr>
          <w:rFonts w:asciiTheme="minorHAnsi" w:hAnsiTheme="minorHAnsi" w:cs="Calibri"/>
        </w:rPr>
        <w:lastRenderedPageBreak/>
        <w:t>úspešnú reprezentáciu STU, fakulty, alebo inej súčasti STU v športových súťažiach,</w:t>
      </w:r>
    </w:p>
    <w:p w:rsidR="007A53B8" w:rsidRPr="002D7A10" w:rsidRDefault="007A53B8" w:rsidP="00D31559">
      <w:pPr>
        <w:numPr>
          <w:ilvl w:val="0"/>
          <w:numId w:val="2"/>
        </w:numPr>
        <w:ind w:left="502" w:right="284"/>
        <w:rPr>
          <w:rFonts w:asciiTheme="minorHAnsi" w:hAnsiTheme="minorHAnsi" w:cs="Calibri"/>
        </w:rPr>
      </w:pPr>
      <w:r w:rsidRPr="002D7A10">
        <w:rPr>
          <w:rFonts w:asciiTheme="minorHAnsi" w:hAnsiTheme="minorHAnsi" w:cs="Calibri"/>
        </w:rPr>
        <w:t xml:space="preserve">úspešnú reprezentáciu STU, fakulty, alebo inej súčasti STU v umeleckých súťažiach, </w:t>
      </w:r>
    </w:p>
    <w:p w:rsidR="007A53B8" w:rsidRPr="002D7A10" w:rsidRDefault="007A53B8" w:rsidP="00D31559">
      <w:pPr>
        <w:numPr>
          <w:ilvl w:val="0"/>
          <w:numId w:val="2"/>
        </w:numPr>
        <w:ind w:left="502" w:right="284"/>
        <w:rPr>
          <w:rFonts w:asciiTheme="minorHAnsi" w:hAnsiTheme="minorHAnsi" w:cs="Calibri"/>
        </w:rPr>
      </w:pPr>
      <w:r w:rsidRPr="002D7A10">
        <w:rPr>
          <w:rFonts w:asciiTheme="minorHAnsi" w:hAnsiTheme="minorHAnsi" w:cs="Calibri"/>
        </w:rPr>
        <w:t>úspešnú reprezentáciu STU fakulty, alebo inej súčasti STU v súťažiach v oblasti štúdia, výskumu alebo vývoja.</w:t>
      </w:r>
    </w:p>
    <w:p w:rsidR="007A53B8" w:rsidRPr="002D7A10" w:rsidRDefault="007A53B8" w:rsidP="007A53B8">
      <w:pPr>
        <w:ind w:left="142" w:right="284"/>
        <w:rPr>
          <w:rFonts w:asciiTheme="minorHAnsi" w:hAnsiTheme="minorHAnsi" w:cs="Calibri"/>
        </w:rPr>
      </w:pPr>
    </w:p>
    <w:p w:rsidR="007A53B8" w:rsidRPr="002D7A10" w:rsidRDefault="007A53B8" w:rsidP="007A53B8">
      <w:pPr>
        <w:ind w:right="284"/>
        <w:rPr>
          <w:rFonts w:asciiTheme="minorHAnsi" w:hAnsiTheme="minorHAnsi" w:cs="Calibri"/>
        </w:rPr>
      </w:pPr>
      <w:r w:rsidRPr="002D7A10">
        <w:rPr>
          <w:rFonts w:asciiTheme="minorHAnsi" w:hAnsiTheme="minorHAnsi" w:cs="Calibri"/>
        </w:rPr>
        <w:t xml:space="preserve">Štipendiá z vlastných zdrojov majú charakter </w:t>
      </w:r>
      <w:r w:rsidRPr="002D7A10">
        <w:rPr>
          <w:rFonts w:asciiTheme="minorHAnsi" w:hAnsiTheme="minorHAnsi" w:cs="Calibri"/>
          <w:b/>
          <w:i/>
        </w:rPr>
        <w:t>mimoriadneho štipendia</w:t>
      </w:r>
      <w:r w:rsidRPr="002D7A10">
        <w:rPr>
          <w:rFonts w:asciiTheme="minorHAnsi" w:hAnsiTheme="minorHAnsi" w:cs="Calibri"/>
        </w:rPr>
        <w:t xml:space="preserve"> a </w:t>
      </w:r>
      <w:r w:rsidR="003F0D10" w:rsidRPr="002D7A10">
        <w:rPr>
          <w:rFonts w:asciiTheme="minorHAnsi" w:hAnsiTheme="minorHAnsi" w:cs="Calibri"/>
        </w:rPr>
        <w:t>môžu</w:t>
      </w:r>
      <w:r w:rsidRPr="002D7A10">
        <w:rPr>
          <w:rFonts w:asciiTheme="minorHAnsi" w:hAnsiTheme="minorHAnsi" w:cs="Calibri"/>
        </w:rPr>
        <w:t xml:space="preserve"> byť poskytnuté zo štipendijného fondu z vlastných zdrojov ako:</w:t>
      </w:r>
    </w:p>
    <w:p w:rsidR="007A53B8" w:rsidRPr="002D7A10" w:rsidRDefault="007A53B8" w:rsidP="00D31559">
      <w:pPr>
        <w:pStyle w:val="Odsekzoznamu"/>
        <w:numPr>
          <w:ilvl w:val="0"/>
          <w:numId w:val="14"/>
        </w:numPr>
        <w:spacing w:line="240" w:lineRule="auto"/>
        <w:ind w:right="284"/>
        <w:rPr>
          <w:rFonts w:asciiTheme="minorHAnsi" w:hAnsiTheme="minorHAnsi" w:cs="Calibri"/>
          <w:sz w:val="24"/>
          <w:szCs w:val="24"/>
        </w:rPr>
      </w:pPr>
      <w:r w:rsidRPr="002D7A10">
        <w:rPr>
          <w:rFonts w:asciiTheme="minorHAnsi" w:hAnsiTheme="minorHAnsi" w:cs="Calibri"/>
          <w:sz w:val="24"/>
          <w:szCs w:val="24"/>
        </w:rPr>
        <w:t>mimoriadne štipendium za vynikajúce plnenie študijných povinností počas celého štúdia,</w:t>
      </w:r>
    </w:p>
    <w:p w:rsidR="007A53B8" w:rsidRPr="002D7A10" w:rsidRDefault="007A53B8" w:rsidP="00D31559">
      <w:pPr>
        <w:pStyle w:val="Odsekzoznamu"/>
        <w:numPr>
          <w:ilvl w:val="0"/>
          <w:numId w:val="14"/>
        </w:numPr>
        <w:spacing w:line="240" w:lineRule="auto"/>
        <w:ind w:right="284"/>
        <w:rPr>
          <w:rFonts w:asciiTheme="minorHAnsi" w:hAnsiTheme="minorHAnsi" w:cs="Calibri"/>
          <w:sz w:val="24"/>
          <w:szCs w:val="24"/>
        </w:rPr>
      </w:pPr>
      <w:r w:rsidRPr="002D7A10">
        <w:rPr>
          <w:rFonts w:asciiTheme="minorHAnsi" w:hAnsiTheme="minorHAnsi" w:cs="Calibri"/>
          <w:sz w:val="24"/>
          <w:szCs w:val="24"/>
        </w:rPr>
        <w:t>mimoriadne štipendium za vynikajúcu záverečnú prácu,</w:t>
      </w:r>
    </w:p>
    <w:p w:rsidR="007A53B8" w:rsidRPr="002D7A10" w:rsidRDefault="007A53B8" w:rsidP="00D31559">
      <w:pPr>
        <w:pStyle w:val="Odsekzoznamu"/>
        <w:numPr>
          <w:ilvl w:val="0"/>
          <w:numId w:val="14"/>
        </w:numPr>
        <w:spacing w:line="240" w:lineRule="auto"/>
        <w:ind w:right="284"/>
        <w:rPr>
          <w:rFonts w:asciiTheme="minorHAnsi" w:hAnsiTheme="minorHAnsi" w:cs="Calibri"/>
          <w:sz w:val="24"/>
          <w:szCs w:val="24"/>
        </w:rPr>
      </w:pPr>
      <w:r w:rsidRPr="002D7A10">
        <w:rPr>
          <w:rFonts w:asciiTheme="minorHAnsi" w:hAnsiTheme="minorHAnsi" w:cs="Calibri"/>
          <w:sz w:val="24"/>
          <w:szCs w:val="24"/>
        </w:rPr>
        <w:t>mimoriadne štipendium na podporu štúdia v rámci mimo univerzitnej mobility študenta,</w:t>
      </w:r>
    </w:p>
    <w:p w:rsidR="007A53B8" w:rsidRPr="002D7A10" w:rsidRDefault="007A53B8" w:rsidP="00D31559">
      <w:pPr>
        <w:pStyle w:val="Odsekzoznamu"/>
        <w:numPr>
          <w:ilvl w:val="0"/>
          <w:numId w:val="14"/>
        </w:numPr>
        <w:spacing w:line="240" w:lineRule="auto"/>
        <w:ind w:right="284"/>
        <w:rPr>
          <w:rFonts w:asciiTheme="minorHAnsi" w:hAnsiTheme="minorHAnsi" w:cs="Calibri"/>
          <w:sz w:val="24"/>
          <w:szCs w:val="24"/>
        </w:rPr>
      </w:pPr>
      <w:r w:rsidRPr="002D7A10">
        <w:rPr>
          <w:rFonts w:asciiTheme="minorHAnsi" w:hAnsiTheme="minorHAnsi" w:cs="Calibri"/>
          <w:sz w:val="24"/>
          <w:szCs w:val="24"/>
        </w:rPr>
        <w:t>mimoriadne štipendium na podporu zahraničných študentov,</w:t>
      </w:r>
    </w:p>
    <w:p w:rsidR="007A53B8" w:rsidRPr="002D7A10" w:rsidRDefault="007A53B8" w:rsidP="00D31559">
      <w:pPr>
        <w:pStyle w:val="Odsekzoznamu"/>
        <w:numPr>
          <w:ilvl w:val="0"/>
          <w:numId w:val="14"/>
        </w:numPr>
        <w:spacing w:line="240" w:lineRule="auto"/>
        <w:ind w:right="284"/>
        <w:rPr>
          <w:rFonts w:asciiTheme="minorHAnsi" w:hAnsiTheme="minorHAnsi" w:cs="Calibri"/>
          <w:sz w:val="24"/>
          <w:szCs w:val="24"/>
        </w:rPr>
      </w:pPr>
      <w:r w:rsidRPr="002D7A10">
        <w:rPr>
          <w:rFonts w:asciiTheme="minorHAnsi" w:hAnsiTheme="minorHAnsi" w:cs="Calibri"/>
          <w:sz w:val="24"/>
          <w:szCs w:val="24"/>
        </w:rPr>
        <w:t>mimoriadne štipendium na podporu vrcholových športovcov,</w:t>
      </w:r>
    </w:p>
    <w:p w:rsidR="007A53B8" w:rsidRPr="002D7A10" w:rsidRDefault="007A53B8" w:rsidP="00D31559">
      <w:pPr>
        <w:pStyle w:val="Odsekzoznamu"/>
        <w:numPr>
          <w:ilvl w:val="0"/>
          <w:numId w:val="14"/>
        </w:numPr>
        <w:spacing w:line="240" w:lineRule="auto"/>
        <w:ind w:right="284"/>
        <w:rPr>
          <w:rFonts w:asciiTheme="minorHAnsi" w:hAnsiTheme="minorHAnsi" w:cs="Calibri"/>
          <w:sz w:val="24"/>
          <w:szCs w:val="24"/>
        </w:rPr>
      </w:pPr>
      <w:r w:rsidRPr="002D7A10">
        <w:rPr>
          <w:rFonts w:asciiTheme="minorHAnsi" w:hAnsiTheme="minorHAnsi" w:cs="Calibri"/>
          <w:sz w:val="24"/>
          <w:szCs w:val="24"/>
        </w:rPr>
        <w:t>mimoriadne štipendium za významnú činnosť konanú v prospech STU,</w:t>
      </w:r>
    </w:p>
    <w:p w:rsidR="007A53B8" w:rsidRPr="002D7A10" w:rsidRDefault="007A53B8" w:rsidP="00D31559">
      <w:pPr>
        <w:pStyle w:val="Odsekzoznamu"/>
        <w:numPr>
          <w:ilvl w:val="0"/>
          <w:numId w:val="14"/>
        </w:numPr>
        <w:spacing w:after="0" w:line="240" w:lineRule="auto"/>
        <w:ind w:right="284"/>
        <w:rPr>
          <w:rFonts w:asciiTheme="minorHAnsi" w:hAnsiTheme="minorHAnsi" w:cs="Calibri"/>
          <w:sz w:val="24"/>
          <w:szCs w:val="24"/>
        </w:rPr>
      </w:pPr>
      <w:r w:rsidRPr="002D7A10">
        <w:rPr>
          <w:rFonts w:asciiTheme="minorHAnsi" w:hAnsiTheme="minorHAnsi" w:cs="Calibri"/>
          <w:sz w:val="24"/>
          <w:szCs w:val="24"/>
        </w:rPr>
        <w:t>ďalšie mimoriadne štipendiá.</w:t>
      </w:r>
    </w:p>
    <w:p w:rsidR="007A53B8" w:rsidRPr="002D7A10" w:rsidRDefault="007A53B8" w:rsidP="007A53B8">
      <w:pPr>
        <w:ind w:right="284"/>
        <w:rPr>
          <w:rFonts w:asciiTheme="minorHAnsi" w:hAnsiTheme="minorHAnsi" w:cs="Calibri"/>
        </w:rPr>
      </w:pPr>
      <w:r w:rsidRPr="002D7A10">
        <w:rPr>
          <w:rFonts w:asciiTheme="minorHAnsi" w:hAnsiTheme="minorHAnsi" w:cs="Calibri"/>
        </w:rPr>
        <w:t xml:space="preserve">Mimoriadne štipendium bolo priznané rektorom na návrh dekana fakulty, prípadne riaditeľa Ústavu manažmentu alebo bolo priznané dekanom na základe akceptovania návrhu člena akademickej obce univerzity. </w:t>
      </w:r>
    </w:p>
    <w:p w:rsidR="00B13FD5" w:rsidRDefault="007A53B8" w:rsidP="007A53B8">
      <w:pPr>
        <w:spacing w:after="120"/>
        <w:ind w:right="284"/>
        <w:rPr>
          <w:rFonts w:asciiTheme="minorHAnsi" w:hAnsiTheme="minorHAnsi" w:cs="Calibri"/>
        </w:rPr>
      </w:pPr>
      <w:r w:rsidRPr="002D7A10">
        <w:rPr>
          <w:rFonts w:asciiTheme="minorHAnsi" w:hAnsiTheme="minorHAnsi" w:cs="Calibri"/>
        </w:rPr>
        <w:t>Celkové prehľad poskytnutých finančných prostriedkov na motivačné štipendiá za mimoriadne výsledky a mimoriadne štipendiá z vlastných zdrojov v akad. roku 2014/2015 na jednotlivých súčastiach STU uvádza tabuľka č. 8.4.</w:t>
      </w:r>
    </w:p>
    <w:p w:rsidR="00495157" w:rsidRPr="002D7A10" w:rsidRDefault="00495157" w:rsidP="007A53B8">
      <w:pPr>
        <w:spacing w:after="120"/>
        <w:ind w:right="284"/>
        <w:rPr>
          <w:rFonts w:asciiTheme="minorHAnsi" w:hAnsiTheme="minorHAnsi" w:cs="Calibri"/>
        </w:rPr>
      </w:pPr>
    </w:p>
    <w:p w:rsidR="007A53B8" w:rsidRPr="00B13FD5" w:rsidRDefault="007A53B8" w:rsidP="007A53B8">
      <w:pPr>
        <w:ind w:right="284"/>
        <w:rPr>
          <w:rFonts w:asciiTheme="minorHAnsi" w:hAnsiTheme="minorHAnsi" w:cs="Calibri"/>
          <w:b/>
          <w:sz w:val="20"/>
          <w:szCs w:val="20"/>
        </w:rPr>
      </w:pPr>
      <w:r w:rsidRPr="00B13FD5">
        <w:rPr>
          <w:rFonts w:asciiTheme="minorHAnsi" w:hAnsiTheme="minorHAnsi" w:cs="Calibri"/>
          <w:b/>
          <w:sz w:val="20"/>
          <w:szCs w:val="20"/>
        </w:rPr>
        <w:t>Tabuľka č. 8.4: Ďalšie motivačné a mimoriadne štipendiá poskytnuté študentom v akad. roku 2014/2015</w:t>
      </w:r>
    </w:p>
    <w:tbl>
      <w:tblPr>
        <w:tblW w:w="6536" w:type="dxa"/>
        <w:tblInd w:w="55" w:type="dxa"/>
        <w:tblCellMar>
          <w:left w:w="70" w:type="dxa"/>
          <w:right w:w="70" w:type="dxa"/>
        </w:tblCellMar>
        <w:tblLook w:val="04A0" w:firstRow="1" w:lastRow="0" w:firstColumn="1" w:lastColumn="0" w:noHBand="0" w:noVBand="1"/>
      </w:tblPr>
      <w:tblGrid>
        <w:gridCol w:w="2142"/>
        <w:gridCol w:w="1417"/>
        <w:gridCol w:w="2977"/>
      </w:tblGrid>
      <w:tr w:rsidR="007A53B8" w:rsidRPr="00B13FD5" w:rsidTr="00911364">
        <w:trPr>
          <w:trHeight w:val="59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 xml:space="preserve">Fakulta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Počet študentov</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Celková suma vyplatených štipendií v €</w:t>
            </w:r>
          </w:p>
        </w:tc>
      </w:tr>
      <w:tr w:rsidR="007A53B8" w:rsidRPr="00B13FD5" w:rsidTr="00911364">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SvF</w:t>
            </w:r>
          </w:p>
        </w:tc>
        <w:tc>
          <w:tcPr>
            <w:tcW w:w="141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434</w:t>
            </w:r>
          </w:p>
        </w:tc>
        <w:tc>
          <w:tcPr>
            <w:tcW w:w="297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53 583</w:t>
            </w:r>
          </w:p>
        </w:tc>
      </w:tr>
      <w:tr w:rsidR="007A53B8" w:rsidRPr="00B13FD5" w:rsidTr="00911364">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SjF</w:t>
            </w:r>
          </w:p>
        </w:tc>
        <w:tc>
          <w:tcPr>
            <w:tcW w:w="141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231</w:t>
            </w:r>
          </w:p>
        </w:tc>
        <w:tc>
          <w:tcPr>
            <w:tcW w:w="297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48 148</w:t>
            </w:r>
          </w:p>
        </w:tc>
      </w:tr>
      <w:tr w:rsidR="007A53B8" w:rsidRPr="00B13FD5" w:rsidTr="00911364">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FEI</w:t>
            </w:r>
          </w:p>
        </w:tc>
        <w:tc>
          <w:tcPr>
            <w:tcW w:w="141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119</w:t>
            </w:r>
          </w:p>
        </w:tc>
        <w:tc>
          <w:tcPr>
            <w:tcW w:w="297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18 076</w:t>
            </w:r>
          </w:p>
        </w:tc>
      </w:tr>
      <w:tr w:rsidR="007A53B8" w:rsidRPr="00B13FD5" w:rsidTr="00911364">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FCHPT</w:t>
            </w:r>
          </w:p>
        </w:tc>
        <w:tc>
          <w:tcPr>
            <w:tcW w:w="141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115</w:t>
            </w:r>
          </w:p>
        </w:tc>
        <w:tc>
          <w:tcPr>
            <w:tcW w:w="297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21 791</w:t>
            </w:r>
          </w:p>
        </w:tc>
      </w:tr>
      <w:tr w:rsidR="007A53B8" w:rsidRPr="00B13FD5" w:rsidTr="00911364">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FA</w:t>
            </w:r>
          </w:p>
        </w:tc>
        <w:tc>
          <w:tcPr>
            <w:tcW w:w="141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57</w:t>
            </w:r>
          </w:p>
        </w:tc>
        <w:tc>
          <w:tcPr>
            <w:tcW w:w="297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13 471</w:t>
            </w:r>
          </w:p>
        </w:tc>
      </w:tr>
      <w:tr w:rsidR="007A53B8" w:rsidRPr="00B13FD5" w:rsidTr="00911364">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MTF</w:t>
            </w:r>
          </w:p>
        </w:tc>
        <w:tc>
          <w:tcPr>
            <w:tcW w:w="141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237</w:t>
            </w:r>
          </w:p>
        </w:tc>
        <w:tc>
          <w:tcPr>
            <w:tcW w:w="297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49 164</w:t>
            </w:r>
          </w:p>
        </w:tc>
      </w:tr>
      <w:tr w:rsidR="007A53B8" w:rsidRPr="00B13FD5" w:rsidTr="00911364">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FIIT</w:t>
            </w:r>
          </w:p>
        </w:tc>
        <w:tc>
          <w:tcPr>
            <w:tcW w:w="141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105</w:t>
            </w:r>
          </w:p>
        </w:tc>
        <w:tc>
          <w:tcPr>
            <w:tcW w:w="297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16 900</w:t>
            </w:r>
          </w:p>
        </w:tc>
      </w:tr>
      <w:tr w:rsidR="007A53B8" w:rsidRPr="00B13FD5" w:rsidTr="00911364">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ÚM</w:t>
            </w:r>
          </w:p>
        </w:tc>
        <w:tc>
          <w:tcPr>
            <w:tcW w:w="141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28</w:t>
            </w:r>
          </w:p>
        </w:tc>
        <w:tc>
          <w:tcPr>
            <w:tcW w:w="2977" w:type="dxa"/>
            <w:tcBorders>
              <w:top w:val="nil"/>
              <w:left w:val="nil"/>
              <w:bottom w:val="single" w:sz="4" w:space="0" w:color="auto"/>
              <w:right w:val="single" w:sz="4" w:space="0" w:color="auto"/>
            </w:tcBorders>
            <w:shd w:val="clear" w:color="auto" w:fill="auto"/>
            <w:noWrap/>
            <w:vAlign w:val="bottom"/>
            <w:hideMark/>
          </w:tcPr>
          <w:p w:rsidR="007A53B8" w:rsidRPr="00B13FD5" w:rsidRDefault="007A53B8" w:rsidP="00911364">
            <w:pPr>
              <w:jc w:val="center"/>
              <w:rPr>
                <w:rFonts w:asciiTheme="minorHAnsi" w:eastAsia="Times New Roman" w:hAnsiTheme="minorHAnsi" w:cs="Arial"/>
                <w:sz w:val="20"/>
                <w:szCs w:val="20"/>
                <w:lang w:eastAsia="sk-SK"/>
              </w:rPr>
            </w:pPr>
            <w:r w:rsidRPr="00B13FD5">
              <w:rPr>
                <w:rFonts w:asciiTheme="minorHAnsi" w:eastAsia="Times New Roman" w:hAnsiTheme="minorHAnsi" w:cs="Arial"/>
                <w:sz w:val="20"/>
                <w:szCs w:val="20"/>
                <w:lang w:eastAsia="sk-SK"/>
              </w:rPr>
              <w:t>6 630</w:t>
            </w:r>
          </w:p>
        </w:tc>
      </w:tr>
      <w:tr w:rsidR="007A53B8" w:rsidRPr="00B13FD5" w:rsidTr="00911364">
        <w:trPr>
          <w:trHeight w:val="255"/>
        </w:trPr>
        <w:tc>
          <w:tcPr>
            <w:tcW w:w="214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Spolu</w:t>
            </w:r>
          </w:p>
        </w:tc>
        <w:tc>
          <w:tcPr>
            <w:tcW w:w="1417" w:type="dxa"/>
            <w:tcBorders>
              <w:top w:val="nil"/>
              <w:left w:val="nil"/>
              <w:bottom w:val="single" w:sz="4" w:space="0" w:color="auto"/>
              <w:right w:val="single" w:sz="4" w:space="0" w:color="auto"/>
            </w:tcBorders>
            <w:shd w:val="clear" w:color="auto" w:fill="F2F2F2" w:themeFill="background1" w:themeFillShade="F2"/>
            <w:noWrap/>
            <w:vAlign w:val="bottom"/>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1 326</w:t>
            </w:r>
          </w:p>
        </w:tc>
        <w:tc>
          <w:tcPr>
            <w:tcW w:w="2977" w:type="dxa"/>
            <w:tcBorders>
              <w:top w:val="nil"/>
              <w:left w:val="nil"/>
              <w:bottom w:val="single" w:sz="4" w:space="0" w:color="auto"/>
              <w:right w:val="single" w:sz="4" w:space="0" w:color="auto"/>
            </w:tcBorders>
            <w:shd w:val="clear" w:color="auto" w:fill="F2F2F2" w:themeFill="background1" w:themeFillShade="F2"/>
            <w:noWrap/>
            <w:vAlign w:val="bottom"/>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227 763</w:t>
            </w:r>
          </w:p>
        </w:tc>
      </w:tr>
      <w:tr w:rsidR="007A53B8" w:rsidRPr="00B13FD5" w:rsidTr="00911364">
        <w:trPr>
          <w:trHeight w:val="27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Priznané rektorom</w:t>
            </w:r>
          </w:p>
        </w:tc>
        <w:tc>
          <w:tcPr>
            <w:tcW w:w="141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135</w:t>
            </w:r>
          </w:p>
        </w:tc>
        <w:tc>
          <w:tcPr>
            <w:tcW w:w="297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50 097</w:t>
            </w:r>
          </w:p>
        </w:tc>
      </w:tr>
      <w:tr w:rsidR="007A53B8" w:rsidRPr="00B13FD5" w:rsidTr="00911364">
        <w:trPr>
          <w:trHeight w:val="255"/>
        </w:trPr>
        <w:tc>
          <w:tcPr>
            <w:tcW w:w="2142" w:type="dxa"/>
            <w:tcBorders>
              <w:top w:val="nil"/>
              <w:left w:val="single" w:sz="4" w:space="0" w:color="auto"/>
              <w:bottom w:val="single" w:sz="4" w:space="0" w:color="auto"/>
              <w:right w:val="single" w:sz="4" w:space="0" w:color="auto"/>
            </w:tcBorders>
            <w:shd w:val="clear" w:color="000000" w:fill="D9D9D9"/>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STU</w:t>
            </w:r>
          </w:p>
        </w:tc>
        <w:tc>
          <w:tcPr>
            <w:tcW w:w="1417" w:type="dxa"/>
            <w:tcBorders>
              <w:top w:val="nil"/>
              <w:left w:val="nil"/>
              <w:bottom w:val="single" w:sz="4" w:space="0" w:color="auto"/>
              <w:right w:val="single" w:sz="4" w:space="0" w:color="auto"/>
            </w:tcBorders>
            <w:shd w:val="clear" w:color="000000" w:fill="D9D9D9"/>
            <w:noWrap/>
            <w:vAlign w:val="bottom"/>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1 461</w:t>
            </w:r>
          </w:p>
        </w:tc>
        <w:tc>
          <w:tcPr>
            <w:tcW w:w="2977" w:type="dxa"/>
            <w:tcBorders>
              <w:top w:val="nil"/>
              <w:left w:val="nil"/>
              <w:bottom w:val="single" w:sz="4" w:space="0" w:color="auto"/>
              <w:right w:val="single" w:sz="4" w:space="0" w:color="auto"/>
            </w:tcBorders>
            <w:shd w:val="clear" w:color="000000" w:fill="D9D9D9"/>
            <w:noWrap/>
            <w:vAlign w:val="bottom"/>
            <w:hideMark/>
          </w:tcPr>
          <w:p w:rsidR="007A53B8" w:rsidRPr="00B13FD5" w:rsidRDefault="007A53B8" w:rsidP="00911364">
            <w:pPr>
              <w:jc w:val="cente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277 860</w:t>
            </w:r>
          </w:p>
        </w:tc>
      </w:tr>
    </w:tbl>
    <w:p w:rsidR="007A53B8" w:rsidRDefault="007A53B8" w:rsidP="007A53B8">
      <w:pPr>
        <w:rPr>
          <w:rFonts w:asciiTheme="minorHAnsi" w:hAnsiTheme="minorHAnsi" w:cs="Calibri"/>
          <w:b/>
          <w:sz w:val="20"/>
          <w:szCs w:val="20"/>
          <w:shd w:val="clear" w:color="auto" w:fill="FFFFFF"/>
        </w:rPr>
      </w:pPr>
    </w:p>
    <w:p w:rsidR="00D04241" w:rsidRPr="00B13FD5" w:rsidRDefault="00D04241" w:rsidP="007A53B8">
      <w:pPr>
        <w:rPr>
          <w:rFonts w:asciiTheme="minorHAnsi" w:hAnsiTheme="minorHAnsi"/>
          <w:sz w:val="20"/>
          <w:szCs w:val="20"/>
          <w:lang w:eastAsia="cs-CZ"/>
        </w:rPr>
      </w:pPr>
    </w:p>
    <w:p w:rsidR="00B51749" w:rsidRPr="002D7A10" w:rsidRDefault="00B51749" w:rsidP="00B51749">
      <w:pPr>
        <w:pStyle w:val="Nadpis2"/>
        <w:rPr>
          <w:rFonts w:asciiTheme="minorHAnsi" w:hAnsiTheme="minorHAnsi"/>
          <w:color w:val="auto"/>
          <w:sz w:val="24"/>
          <w:szCs w:val="24"/>
          <w:shd w:val="clear" w:color="auto" w:fill="FFFFFF"/>
        </w:rPr>
      </w:pPr>
      <w:bookmarkStart w:id="53" w:name="_Toc448261594"/>
      <w:r w:rsidRPr="002D7A10">
        <w:rPr>
          <w:rFonts w:asciiTheme="minorHAnsi" w:hAnsiTheme="minorHAnsi"/>
          <w:color w:val="auto"/>
          <w:sz w:val="24"/>
          <w:szCs w:val="24"/>
          <w:shd w:val="clear" w:color="auto" w:fill="FFFFFF"/>
        </w:rPr>
        <w:lastRenderedPageBreak/>
        <w:t>Pôžičky</w:t>
      </w:r>
      <w:bookmarkEnd w:id="53"/>
      <w:r w:rsidRPr="002D7A10">
        <w:rPr>
          <w:rFonts w:asciiTheme="minorHAnsi" w:hAnsiTheme="minorHAnsi"/>
          <w:color w:val="auto"/>
          <w:sz w:val="24"/>
          <w:szCs w:val="24"/>
          <w:shd w:val="clear" w:color="auto" w:fill="FFFFFF"/>
        </w:rPr>
        <w:t xml:space="preserve"> </w:t>
      </w:r>
    </w:p>
    <w:p w:rsidR="00B13FD5" w:rsidRDefault="007A53B8" w:rsidP="007A53B8">
      <w:pPr>
        <w:spacing w:after="120"/>
        <w:rPr>
          <w:rFonts w:asciiTheme="minorHAnsi" w:hAnsiTheme="minorHAnsi" w:cs="Calibri"/>
        </w:rPr>
      </w:pPr>
      <w:r w:rsidRPr="002D7A10">
        <w:rPr>
          <w:rFonts w:asciiTheme="minorHAnsi" w:hAnsiTheme="minorHAnsi" w:cs="Calibri"/>
        </w:rPr>
        <w:t>Fond na podporu vzdelávania (v minulosti Študentský pôžičkový fond) poskytuje pôžičky študentom denného a externého štúdia študujúcim na všetkých stupňoch štúdia na slovenských a zahraničných vysokých školách, ktorí majú trvalý pobyt v Slovenskej republike alebo majú postavenie Slováka žijúceho v</w:t>
      </w:r>
      <w:r w:rsidR="00D04241">
        <w:rPr>
          <w:rFonts w:asciiTheme="minorHAnsi" w:hAnsiTheme="minorHAnsi" w:cs="Calibri"/>
        </w:rPr>
        <w:t> </w:t>
      </w:r>
      <w:r w:rsidRPr="002D7A10">
        <w:rPr>
          <w:rFonts w:asciiTheme="minorHAnsi" w:hAnsiTheme="minorHAnsi" w:cs="Calibri"/>
        </w:rPr>
        <w:t>zahraničí</w:t>
      </w:r>
      <w:r w:rsidR="00D04241">
        <w:rPr>
          <w:rFonts w:asciiTheme="minorHAnsi" w:hAnsiTheme="minorHAnsi" w:cs="Calibri"/>
        </w:rPr>
        <w:t xml:space="preserve">, Tiež tým, ktorí </w:t>
      </w:r>
      <w:r w:rsidRPr="002D7A10">
        <w:rPr>
          <w:rFonts w:asciiTheme="minorHAnsi" w:hAnsiTheme="minorHAnsi" w:cs="Calibri"/>
        </w:rPr>
        <w:t>sú občanmi Európskej únie</w:t>
      </w:r>
      <w:r w:rsidR="00D04241">
        <w:rPr>
          <w:rFonts w:asciiTheme="minorHAnsi" w:hAnsiTheme="minorHAnsi" w:cs="Calibri"/>
        </w:rPr>
        <w:t xml:space="preserve"> a</w:t>
      </w:r>
      <w:r w:rsidRPr="002D7A10">
        <w:rPr>
          <w:rFonts w:asciiTheme="minorHAnsi" w:hAnsiTheme="minorHAnsi" w:cs="Calibri"/>
        </w:rPr>
        <w:t xml:space="preserve"> majú právo na trvalý pobyt na území Slovenskej republiky, alebo </w:t>
      </w:r>
      <w:r w:rsidR="00D04241">
        <w:rPr>
          <w:rFonts w:asciiTheme="minorHAnsi" w:hAnsiTheme="minorHAnsi" w:cs="Calibri"/>
        </w:rPr>
        <w:t xml:space="preserve">majú </w:t>
      </w:r>
      <w:r w:rsidRPr="002D7A10">
        <w:rPr>
          <w:rFonts w:asciiTheme="minorHAnsi" w:hAnsiTheme="minorHAnsi" w:cs="Calibri"/>
        </w:rPr>
        <w:t>rodinný</w:t>
      </w:r>
      <w:r w:rsidR="00D04241">
        <w:rPr>
          <w:rFonts w:asciiTheme="minorHAnsi" w:hAnsiTheme="minorHAnsi" w:cs="Calibri"/>
        </w:rPr>
        <w:t xml:space="preserve">ch </w:t>
      </w:r>
      <w:r w:rsidRPr="002D7A10">
        <w:rPr>
          <w:rFonts w:asciiTheme="minorHAnsi" w:hAnsiTheme="minorHAnsi" w:cs="Calibri"/>
        </w:rPr>
        <w:t>príslušníko</w:t>
      </w:r>
      <w:r w:rsidR="00D04241">
        <w:rPr>
          <w:rFonts w:asciiTheme="minorHAnsi" w:hAnsiTheme="minorHAnsi" w:cs="Calibri"/>
        </w:rPr>
        <w:t>v</w:t>
      </w:r>
      <w:r w:rsidRPr="002D7A10">
        <w:rPr>
          <w:rFonts w:asciiTheme="minorHAnsi" w:hAnsiTheme="minorHAnsi" w:cs="Calibri"/>
        </w:rPr>
        <w:t xml:space="preserve"> s právom na trvalý pobyt. Pôžičky sú určené na úhradu časti nákladov na vysokoškolské štúdium. Študenti sa</w:t>
      </w:r>
      <w:r w:rsidR="00381F90">
        <w:rPr>
          <w:rFonts w:asciiTheme="minorHAnsi" w:hAnsiTheme="minorHAnsi" w:cs="Calibri"/>
        </w:rPr>
        <w:t xml:space="preserve"> o ne </w:t>
      </w:r>
      <w:r w:rsidRPr="002D7A10">
        <w:rPr>
          <w:rFonts w:asciiTheme="minorHAnsi" w:hAnsiTheme="minorHAnsi" w:cs="Calibri"/>
        </w:rPr>
        <w:t xml:space="preserve"> môžu uchádzať podan</w:t>
      </w:r>
      <w:r w:rsidR="003F0D10" w:rsidRPr="002D7A10">
        <w:rPr>
          <w:rFonts w:asciiTheme="minorHAnsi" w:hAnsiTheme="minorHAnsi" w:cs="Calibri"/>
        </w:rPr>
        <w:t>ím</w:t>
      </w:r>
      <w:r w:rsidR="00381F90">
        <w:rPr>
          <w:rFonts w:asciiTheme="minorHAnsi" w:hAnsiTheme="minorHAnsi" w:cs="Calibri"/>
        </w:rPr>
        <w:t xml:space="preserve"> žiadosti </w:t>
      </w:r>
      <w:r w:rsidRPr="002D7A10">
        <w:rPr>
          <w:rFonts w:asciiTheme="minorHAnsi" w:hAnsiTheme="minorHAnsi" w:cs="Calibri"/>
        </w:rPr>
        <w:t xml:space="preserve">na Fond na podporu vzdelávania. Počet pridelených pôžičiek študentom STU za akad. roky 2010/2011 až 2014/2015 </w:t>
      </w:r>
      <w:r w:rsidR="00381F90">
        <w:rPr>
          <w:rFonts w:asciiTheme="minorHAnsi" w:hAnsiTheme="minorHAnsi" w:cs="Calibri"/>
        </w:rPr>
        <w:t>uvádza</w:t>
      </w:r>
      <w:r w:rsidRPr="002D7A10">
        <w:rPr>
          <w:rFonts w:asciiTheme="minorHAnsi" w:hAnsiTheme="minorHAnsi" w:cs="Calibri"/>
        </w:rPr>
        <w:t> tabuľk</w:t>
      </w:r>
      <w:r w:rsidR="00381F90">
        <w:rPr>
          <w:rFonts w:asciiTheme="minorHAnsi" w:hAnsiTheme="minorHAnsi" w:cs="Calibri"/>
        </w:rPr>
        <w:t>a</w:t>
      </w:r>
      <w:r w:rsidR="003F0D10" w:rsidRPr="002D7A10">
        <w:rPr>
          <w:rFonts w:asciiTheme="minorHAnsi" w:hAnsiTheme="minorHAnsi" w:cs="Calibri"/>
        </w:rPr>
        <w:t xml:space="preserve"> </w:t>
      </w:r>
      <w:r w:rsidRPr="002D7A10">
        <w:rPr>
          <w:rFonts w:asciiTheme="minorHAnsi" w:hAnsiTheme="minorHAnsi" w:cs="Calibri"/>
        </w:rPr>
        <w:t xml:space="preserve">8.5. </w:t>
      </w:r>
    </w:p>
    <w:p w:rsidR="00495157" w:rsidRPr="00B13FD5" w:rsidRDefault="00495157" w:rsidP="007A53B8">
      <w:pPr>
        <w:spacing w:after="120"/>
        <w:rPr>
          <w:rFonts w:asciiTheme="minorHAnsi" w:hAnsiTheme="minorHAnsi" w:cs="Calibri"/>
        </w:rPr>
      </w:pPr>
    </w:p>
    <w:p w:rsidR="007A53B8" w:rsidRPr="00B13FD5" w:rsidRDefault="007A53B8" w:rsidP="007A53B8">
      <w:pPr>
        <w:rPr>
          <w:rFonts w:asciiTheme="minorHAnsi" w:hAnsiTheme="minorHAnsi" w:cs="Calibri"/>
          <w:b/>
          <w:sz w:val="20"/>
          <w:szCs w:val="20"/>
        </w:rPr>
      </w:pPr>
      <w:r w:rsidRPr="00B13FD5">
        <w:rPr>
          <w:rFonts w:asciiTheme="minorHAnsi" w:hAnsiTheme="minorHAnsi" w:cs="Calibri"/>
          <w:b/>
          <w:sz w:val="20"/>
          <w:szCs w:val="20"/>
        </w:rPr>
        <w:t>Tabuľka č. 8.5: Pridelené pôžičky študentom za ostatných päť akademických rokov</w:t>
      </w:r>
    </w:p>
    <w:tbl>
      <w:tblPr>
        <w:tblW w:w="6455" w:type="dxa"/>
        <w:tblInd w:w="55" w:type="dxa"/>
        <w:tblCellMar>
          <w:left w:w="70" w:type="dxa"/>
          <w:right w:w="70" w:type="dxa"/>
        </w:tblCellMar>
        <w:tblLook w:val="04A0" w:firstRow="1" w:lastRow="0" w:firstColumn="1" w:lastColumn="0" w:noHBand="0" w:noVBand="1"/>
      </w:tblPr>
      <w:tblGrid>
        <w:gridCol w:w="820"/>
        <w:gridCol w:w="1127"/>
        <w:gridCol w:w="1127"/>
        <w:gridCol w:w="1127"/>
        <w:gridCol w:w="1127"/>
        <w:gridCol w:w="1127"/>
      </w:tblGrid>
      <w:tr w:rsidR="007A53B8" w:rsidRPr="00B13FD5" w:rsidTr="00911364">
        <w:trPr>
          <w:trHeight w:val="255"/>
        </w:trPr>
        <w:tc>
          <w:tcPr>
            <w:tcW w:w="820" w:type="dxa"/>
            <w:tcBorders>
              <w:top w:val="single" w:sz="4" w:space="0" w:color="auto"/>
              <w:left w:val="single" w:sz="4" w:space="0" w:color="auto"/>
              <w:bottom w:val="nil"/>
              <w:right w:val="single" w:sz="4" w:space="0" w:color="auto"/>
            </w:tcBorders>
            <w:shd w:val="clear" w:color="auto" w:fill="auto"/>
            <w:noWrap/>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Fakulta</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b/>
                <w:bCs/>
                <w:sz w:val="20"/>
                <w:szCs w:val="20"/>
              </w:rPr>
            </w:pPr>
            <w:r w:rsidRPr="00B13FD5">
              <w:rPr>
                <w:rFonts w:asciiTheme="minorHAnsi" w:hAnsiTheme="minorHAnsi" w:cs="Arial"/>
                <w:b/>
                <w:bCs/>
                <w:sz w:val="20"/>
                <w:szCs w:val="20"/>
              </w:rPr>
              <w:t>2010/2011</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b/>
                <w:bCs/>
                <w:sz w:val="20"/>
                <w:szCs w:val="20"/>
              </w:rPr>
            </w:pPr>
            <w:r w:rsidRPr="00B13FD5">
              <w:rPr>
                <w:rFonts w:asciiTheme="minorHAnsi" w:hAnsiTheme="minorHAnsi" w:cs="Arial"/>
                <w:b/>
                <w:bCs/>
                <w:sz w:val="20"/>
                <w:szCs w:val="20"/>
              </w:rPr>
              <w:t>2011/2012</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b/>
                <w:bCs/>
                <w:sz w:val="20"/>
                <w:szCs w:val="20"/>
              </w:rPr>
            </w:pPr>
            <w:r w:rsidRPr="00B13FD5">
              <w:rPr>
                <w:rFonts w:asciiTheme="minorHAnsi" w:hAnsiTheme="minorHAnsi" w:cs="Arial"/>
                <w:b/>
                <w:bCs/>
                <w:sz w:val="20"/>
                <w:szCs w:val="20"/>
              </w:rPr>
              <w:t>2012/2013</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b/>
                <w:bCs/>
                <w:sz w:val="20"/>
                <w:szCs w:val="20"/>
              </w:rPr>
            </w:pPr>
            <w:r w:rsidRPr="00B13FD5">
              <w:rPr>
                <w:rFonts w:asciiTheme="minorHAnsi" w:hAnsiTheme="minorHAnsi" w:cs="Arial"/>
                <w:b/>
                <w:bCs/>
                <w:sz w:val="20"/>
                <w:szCs w:val="20"/>
              </w:rPr>
              <w:t>2013/2014</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b/>
                <w:bCs/>
                <w:sz w:val="20"/>
                <w:szCs w:val="20"/>
              </w:rPr>
            </w:pPr>
            <w:r w:rsidRPr="00B13FD5">
              <w:rPr>
                <w:rFonts w:asciiTheme="minorHAnsi" w:hAnsiTheme="minorHAnsi" w:cs="Arial"/>
                <w:b/>
                <w:bCs/>
                <w:sz w:val="20"/>
                <w:szCs w:val="20"/>
              </w:rPr>
              <w:t>2014/2015</w:t>
            </w:r>
          </w:p>
        </w:tc>
      </w:tr>
      <w:tr w:rsidR="007A53B8" w:rsidRPr="00B13FD5" w:rsidTr="00911364">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SvF</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54</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78</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61</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53</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51</w:t>
            </w:r>
          </w:p>
        </w:tc>
      </w:tr>
      <w:tr w:rsidR="007A53B8" w:rsidRPr="00B13FD5" w:rsidTr="00911364">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SjF</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18</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24</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26</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20</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12</w:t>
            </w:r>
          </w:p>
        </w:tc>
      </w:tr>
      <w:tr w:rsidR="007A53B8" w:rsidRPr="00B13FD5" w:rsidTr="00911364">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FEI</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31</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42</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44</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22</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23</w:t>
            </w:r>
          </w:p>
        </w:tc>
      </w:tr>
      <w:tr w:rsidR="007A53B8" w:rsidRPr="00B13FD5" w:rsidTr="00911364">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FCHPT</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24</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33</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26</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25</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24</w:t>
            </w:r>
          </w:p>
        </w:tc>
      </w:tr>
      <w:tr w:rsidR="007A53B8" w:rsidRPr="00B13FD5" w:rsidTr="00911364">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FA</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19</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21</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23</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16</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23</w:t>
            </w:r>
          </w:p>
        </w:tc>
      </w:tr>
      <w:tr w:rsidR="007A53B8" w:rsidRPr="00B13FD5" w:rsidTr="00911364">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MTF</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41</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25</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42</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38</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35</w:t>
            </w:r>
          </w:p>
        </w:tc>
      </w:tr>
      <w:tr w:rsidR="007A53B8" w:rsidRPr="00B13FD5" w:rsidTr="00911364">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FIIT</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11</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17</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27</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21</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16</w:t>
            </w:r>
          </w:p>
        </w:tc>
      </w:tr>
      <w:tr w:rsidR="007A53B8" w:rsidRPr="00B13FD5" w:rsidTr="00911364">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ÚM</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1</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2</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6</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3</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sz w:val="20"/>
                <w:szCs w:val="20"/>
              </w:rPr>
            </w:pPr>
            <w:r w:rsidRPr="00B13FD5">
              <w:rPr>
                <w:rFonts w:asciiTheme="minorHAnsi" w:hAnsiTheme="minorHAnsi" w:cs="Arial"/>
                <w:sz w:val="20"/>
                <w:szCs w:val="20"/>
              </w:rPr>
              <w:t>1</w:t>
            </w:r>
          </w:p>
        </w:tc>
      </w:tr>
      <w:tr w:rsidR="007A53B8" w:rsidRPr="00B13FD5" w:rsidTr="00911364">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A53B8" w:rsidRPr="00B13FD5" w:rsidRDefault="007A53B8" w:rsidP="00911364">
            <w:pPr>
              <w:rPr>
                <w:rFonts w:asciiTheme="minorHAnsi" w:eastAsia="Times New Roman" w:hAnsiTheme="minorHAnsi" w:cs="Arial"/>
                <w:b/>
                <w:bCs/>
                <w:sz w:val="20"/>
                <w:szCs w:val="20"/>
                <w:lang w:eastAsia="sk-SK"/>
              </w:rPr>
            </w:pPr>
            <w:r w:rsidRPr="00B13FD5">
              <w:rPr>
                <w:rFonts w:asciiTheme="minorHAnsi" w:eastAsia="Times New Roman" w:hAnsiTheme="minorHAnsi" w:cs="Arial"/>
                <w:b/>
                <w:bCs/>
                <w:sz w:val="20"/>
                <w:szCs w:val="20"/>
                <w:lang w:eastAsia="sk-SK"/>
              </w:rPr>
              <w:t>STU</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b/>
                <w:bCs/>
                <w:sz w:val="20"/>
                <w:szCs w:val="20"/>
              </w:rPr>
            </w:pPr>
            <w:r w:rsidRPr="00B13FD5">
              <w:rPr>
                <w:rFonts w:asciiTheme="minorHAnsi" w:hAnsiTheme="minorHAnsi" w:cs="Arial"/>
                <w:b/>
                <w:bCs/>
                <w:sz w:val="20"/>
                <w:szCs w:val="20"/>
              </w:rPr>
              <w:t>199</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b/>
                <w:bCs/>
                <w:sz w:val="20"/>
                <w:szCs w:val="20"/>
              </w:rPr>
            </w:pPr>
            <w:r w:rsidRPr="00B13FD5">
              <w:rPr>
                <w:rFonts w:asciiTheme="minorHAnsi" w:hAnsiTheme="minorHAnsi" w:cs="Arial"/>
                <w:b/>
                <w:bCs/>
                <w:sz w:val="20"/>
                <w:szCs w:val="20"/>
              </w:rPr>
              <w:t>242</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b/>
                <w:bCs/>
                <w:sz w:val="20"/>
                <w:szCs w:val="20"/>
              </w:rPr>
            </w:pPr>
            <w:r w:rsidRPr="00B13FD5">
              <w:rPr>
                <w:rFonts w:asciiTheme="minorHAnsi" w:hAnsiTheme="minorHAnsi" w:cs="Arial"/>
                <w:b/>
                <w:bCs/>
                <w:sz w:val="20"/>
                <w:szCs w:val="20"/>
              </w:rPr>
              <w:t>255</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b/>
                <w:bCs/>
                <w:sz w:val="20"/>
                <w:szCs w:val="20"/>
              </w:rPr>
            </w:pPr>
            <w:r w:rsidRPr="00B13FD5">
              <w:rPr>
                <w:rFonts w:asciiTheme="minorHAnsi" w:hAnsiTheme="minorHAnsi" w:cs="Arial"/>
                <w:b/>
                <w:bCs/>
                <w:sz w:val="20"/>
                <w:szCs w:val="20"/>
              </w:rPr>
              <w:t>198</w:t>
            </w:r>
          </w:p>
        </w:tc>
        <w:tc>
          <w:tcPr>
            <w:tcW w:w="1127" w:type="dxa"/>
            <w:tcBorders>
              <w:top w:val="nil"/>
              <w:left w:val="nil"/>
              <w:bottom w:val="single" w:sz="4" w:space="0" w:color="auto"/>
              <w:right w:val="single" w:sz="4" w:space="0" w:color="auto"/>
            </w:tcBorders>
            <w:shd w:val="clear" w:color="auto" w:fill="auto"/>
            <w:noWrap/>
            <w:vAlign w:val="center"/>
            <w:hideMark/>
          </w:tcPr>
          <w:p w:rsidR="007A53B8" w:rsidRPr="00B13FD5" w:rsidRDefault="007A53B8" w:rsidP="00911364">
            <w:pPr>
              <w:jc w:val="center"/>
              <w:rPr>
                <w:rFonts w:asciiTheme="minorHAnsi" w:hAnsiTheme="minorHAnsi" w:cs="Arial"/>
                <w:b/>
                <w:bCs/>
                <w:sz w:val="20"/>
                <w:szCs w:val="20"/>
              </w:rPr>
            </w:pPr>
            <w:r w:rsidRPr="00B13FD5">
              <w:rPr>
                <w:rFonts w:asciiTheme="minorHAnsi" w:hAnsiTheme="minorHAnsi" w:cs="Arial"/>
                <w:b/>
                <w:bCs/>
                <w:sz w:val="20"/>
                <w:szCs w:val="20"/>
              </w:rPr>
              <w:t>185</w:t>
            </w:r>
          </w:p>
        </w:tc>
      </w:tr>
    </w:tbl>
    <w:p w:rsidR="00B51749" w:rsidRDefault="007A53B8" w:rsidP="00B51749">
      <w:pPr>
        <w:rPr>
          <w:rFonts w:asciiTheme="minorHAnsi" w:hAnsiTheme="minorHAnsi" w:cs="Calibri"/>
          <w:sz w:val="20"/>
          <w:szCs w:val="20"/>
        </w:rPr>
      </w:pPr>
      <w:r w:rsidRPr="00B13FD5">
        <w:rPr>
          <w:rFonts w:asciiTheme="minorHAnsi" w:eastAsia="Times New Roman" w:hAnsiTheme="minorHAnsi" w:cs="Arial"/>
          <w:sz w:val="20"/>
          <w:szCs w:val="20"/>
          <w:lang w:eastAsia="sk-SK"/>
        </w:rPr>
        <w:t>Zdroj: Študentský pôžičkový fond/Fond na podporu vzdelávania</w:t>
      </w:r>
    </w:p>
    <w:p w:rsidR="003E33C5" w:rsidRPr="003E33C5" w:rsidRDefault="003E33C5" w:rsidP="00B51749">
      <w:pPr>
        <w:rPr>
          <w:rFonts w:asciiTheme="minorHAnsi" w:hAnsiTheme="minorHAnsi" w:cs="Calibri"/>
          <w:sz w:val="20"/>
          <w:szCs w:val="20"/>
        </w:rPr>
      </w:pPr>
    </w:p>
    <w:p w:rsidR="00B51749" w:rsidRPr="002D7A10" w:rsidRDefault="00B51749" w:rsidP="00B51749">
      <w:pPr>
        <w:pStyle w:val="Nadpis2"/>
        <w:rPr>
          <w:rFonts w:asciiTheme="minorHAnsi" w:hAnsiTheme="minorHAnsi"/>
          <w:color w:val="auto"/>
          <w:sz w:val="24"/>
          <w:szCs w:val="24"/>
          <w:shd w:val="clear" w:color="auto" w:fill="FFFFFF"/>
        </w:rPr>
      </w:pPr>
      <w:bookmarkStart w:id="54" w:name="_Toc448261595"/>
      <w:r w:rsidRPr="002D7A10">
        <w:rPr>
          <w:rFonts w:asciiTheme="minorHAnsi" w:hAnsiTheme="minorHAnsi"/>
          <w:color w:val="auto"/>
          <w:sz w:val="24"/>
          <w:szCs w:val="24"/>
          <w:shd w:val="clear" w:color="auto" w:fill="FFFFFF"/>
        </w:rPr>
        <w:t>Ubytovanie</w:t>
      </w:r>
      <w:bookmarkEnd w:id="54"/>
    </w:p>
    <w:p w:rsidR="007A53B8" w:rsidRPr="002D7A10" w:rsidRDefault="007A53B8" w:rsidP="007A53B8">
      <w:pPr>
        <w:rPr>
          <w:rFonts w:asciiTheme="minorHAnsi" w:eastAsia="Calibri" w:hAnsiTheme="minorHAnsi" w:cs="Calibri"/>
        </w:rPr>
      </w:pPr>
      <w:r w:rsidRPr="002D7A10">
        <w:rPr>
          <w:rFonts w:asciiTheme="minorHAnsi" w:eastAsia="Calibri" w:hAnsiTheme="minorHAnsi" w:cs="Calibri"/>
        </w:rPr>
        <w:t>STU mala v roku 2015 pre ubytovanie študentov k dispozícii sedem študentských domovov na území mesta Bratislava s kapacitou  5 288 lôžok. Ubytovacia kapacita jednotlivých internátov pre študentov a doktorandov bola k 31.12.2015 nasledovná:</w:t>
      </w:r>
    </w:p>
    <w:p w:rsidR="007A53B8" w:rsidRPr="002D7A10" w:rsidRDefault="007A53B8" w:rsidP="00D31559">
      <w:pPr>
        <w:numPr>
          <w:ilvl w:val="0"/>
          <w:numId w:val="3"/>
        </w:numPr>
        <w:tabs>
          <w:tab w:val="clear" w:pos="720"/>
          <w:tab w:val="num" w:pos="567"/>
          <w:tab w:val="right" w:pos="4680"/>
          <w:tab w:val="right" w:pos="7380"/>
        </w:tabs>
        <w:ind w:left="567" w:hanging="567"/>
        <w:rPr>
          <w:rFonts w:asciiTheme="minorHAnsi" w:eastAsia="Calibri" w:hAnsiTheme="minorHAnsi" w:cs="Calibri"/>
        </w:rPr>
      </w:pPr>
      <w:r w:rsidRPr="002D7A10">
        <w:rPr>
          <w:rFonts w:asciiTheme="minorHAnsi" w:eastAsia="Calibri" w:hAnsiTheme="minorHAnsi" w:cs="Calibri"/>
        </w:rPr>
        <w:t>Š ŠD Mladosť</w:t>
      </w:r>
      <w:r w:rsidRPr="002D7A10">
        <w:rPr>
          <w:rFonts w:asciiTheme="minorHAnsi" w:eastAsia="Calibri" w:hAnsiTheme="minorHAnsi" w:cs="Calibri"/>
        </w:rPr>
        <w:tab/>
        <w:t>1 901 lôžok</w:t>
      </w:r>
    </w:p>
    <w:p w:rsidR="007A53B8" w:rsidRPr="002D7A10" w:rsidRDefault="007A53B8" w:rsidP="00D31559">
      <w:pPr>
        <w:numPr>
          <w:ilvl w:val="0"/>
          <w:numId w:val="3"/>
        </w:numPr>
        <w:tabs>
          <w:tab w:val="clear" w:pos="720"/>
          <w:tab w:val="num" w:pos="567"/>
          <w:tab w:val="right" w:pos="4680"/>
          <w:tab w:val="right" w:pos="7380"/>
        </w:tabs>
        <w:ind w:left="567" w:hanging="567"/>
        <w:rPr>
          <w:rFonts w:asciiTheme="minorHAnsi" w:eastAsia="Calibri" w:hAnsiTheme="minorHAnsi" w:cs="Calibri"/>
        </w:rPr>
      </w:pPr>
      <w:r w:rsidRPr="002D7A10">
        <w:rPr>
          <w:rFonts w:asciiTheme="minorHAnsi" w:eastAsia="Calibri" w:hAnsiTheme="minorHAnsi" w:cs="Calibri"/>
        </w:rPr>
        <w:t>D Mladá Garda</w:t>
      </w:r>
      <w:r w:rsidRPr="002D7A10">
        <w:rPr>
          <w:rFonts w:asciiTheme="minorHAnsi" w:eastAsia="Calibri" w:hAnsiTheme="minorHAnsi" w:cs="Calibri"/>
        </w:rPr>
        <w:tab/>
        <w:t>1 373 lôžok</w:t>
      </w:r>
    </w:p>
    <w:p w:rsidR="007A53B8" w:rsidRPr="002D7A10" w:rsidRDefault="007A53B8" w:rsidP="00D31559">
      <w:pPr>
        <w:numPr>
          <w:ilvl w:val="0"/>
          <w:numId w:val="3"/>
        </w:numPr>
        <w:tabs>
          <w:tab w:val="clear" w:pos="720"/>
          <w:tab w:val="num" w:pos="567"/>
          <w:tab w:val="right" w:pos="4680"/>
          <w:tab w:val="right" w:pos="7380"/>
        </w:tabs>
        <w:ind w:left="567" w:hanging="567"/>
        <w:rPr>
          <w:rFonts w:asciiTheme="minorHAnsi" w:eastAsia="Calibri" w:hAnsiTheme="minorHAnsi" w:cs="Calibri"/>
        </w:rPr>
      </w:pPr>
      <w:r w:rsidRPr="002D7A10">
        <w:rPr>
          <w:rFonts w:asciiTheme="minorHAnsi" w:eastAsia="Calibri" w:hAnsiTheme="minorHAnsi" w:cs="Calibri"/>
        </w:rPr>
        <w:t>ŠD Jura Hronca</w:t>
      </w:r>
      <w:r w:rsidRPr="002D7A10">
        <w:rPr>
          <w:rFonts w:asciiTheme="minorHAnsi" w:eastAsia="Calibri" w:hAnsiTheme="minorHAnsi" w:cs="Calibri"/>
        </w:rPr>
        <w:tab/>
        <w:t>896 lôžok</w:t>
      </w:r>
    </w:p>
    <w:p w:rsidR="007A53B8" w:rsidRPr="002D7A10" w:rsidRDefault="007A53B8" w:rsidP="00D31559">
      <w:pPr>
        <w:numPr>
          <w:ilvl w:val="0"/>
          <w:numId w:val="3"/>
        </w:numPr>
        <w:tabs>
          <w:tab w:val="clear" w:pos="720"/>
          <w:tab w:val="num" w:pos="567"/>
          <w:tab w:val="right" w:pos="4680"/>
          <w:tab w:val="right" w:pos="7380"/>
        </w:tabs>
        <w:ind w:left="567" w:hanging="567"/>
        <w:rPr>
          <w:rFonts w:asciiTheme="minorHAnsi" w:eastAsia="Calibri" w:hAnsiTheme="minorHAnsi" w:cs="Calibri"/>
        </w:rPr>
      </w:pPr>
      <w:r w:rsidRPr="002D7A10">
        <w:rPr>
          <w:rFonts w:asciiTheme="minorHAnsi" w:eastAsia="Calibri" w:hAnsiTheme="minorHAnsi" w:cs="Calibri"/>
        </w:rPr>
        <w:t xml:space="preserve">ŠD </w:t>
      </w:r>
      <w:proofErr w:type="spellStart"/>
      <w:r w:rsidRPr="002D7A10">
        <w:rPr>
          <w:rFonts w:asciiTheme="minorHAnsi" w:eastAsia="Calibri" w:hAnsiTheme="minorHAnsi" w:cs="Calibri"/>
        </w:rPr>
        <w:t>Dobrovičova</w:t>
      </w:r>
      <w:proofErr w:type="spellEnd"/>
      <w:r w:rsidRPr="002D7A10">
        <w:rPr>
          <w:rFonts w:asciiTheme="minorHAnsi" w:eastAsia="Calibri" w:hAnsiTheme="minorHAnsi" w:cs="Calibri"/>
        </w:rPr>
        <w:tab/>
        <w:t>555 lôžok</w:t>
      </w:r>
    </w:p>
    <w:p w:rsidR="007A53B8" w:rsidRPr="002D7A10" w:rsidRDefault="007A53B8" w:rsidP="00D31559">
      <w:pPr>
        <w:numPr>
          <w:ilvl w:val="0"/>
          <w:numId w:val="3"/>
        </w:numPr>
        <w:tabs>
          <w:tab w:val="clear" w:pos="720"/>
          <w:tab w:val="num" w:pos="567"/>
          <w:tab w:val="right" w:pos="4680"/>
          <w:tab w:val="right" w:pos="7380"/>
        </w:tabs>
        <w:ind w:left="567" w:hanging="567"/>
        <w:rPr>
          <w:rFonts w:asciiTheme="minorHAnsi" w:eastAsia="Calibri" w:hAnsiTheme="minorHAnsi" w:cs="Calibri"/>
        </w:rPr>
      </w:pPr>
      <w:r w:rsidRPr="002D7A10">
        <w:rPr>
          <w:rFonts w:asciiTheme="minorHAnsi" w:eastAsia="Calibri" w:hAnsiTheme="minorHAnsi" w:cs="Calibri"/>
        </w:rPr>
        <w:t>ŠD Svoradov</w:t>
      </w:r>
      <w:r w:rsidRPr="002D7A10">
        <w:rPr>
          <w:rFonts w:asciiTheme="minorHAnsi" w:eastAsia="Calibri" w:hAnsiTheme="minorHAnsi" w:cs="Calibri"/>
        </w:rPr>
        <w:tab/>
        <w:t>296 lôžok</w:t>
      </w:r>
    </w:p>
    <w:p w:rsidR="007A53B8" w:rsidRPr="002D7A10" w:rsidRDefault="007A53B8" w:rsidP="00D31559">
      <w:pPr>
        <w:numPr>
          <w:ilvl w:val="0"/>
          <w:numId w:val="3"/>
        </w:numPr>
        <w:tabs>
          <w:tab w:val="clear" w:pos="720"/>
          <w:tab w:val="num" w:pos="567"/>
          <w:tab w:val="right" w:pos="4680"/>
          <w:tab w:val="right" w:pos="7380"/>
        </w:tabs>
        <w:ind w:left="567" w:hanging="567"/>
        <w:rPr>
          <w:rFonts w:asciiTheme="minorHAnsi" w:eastAsia="Calibri" w:hAnsiTheme="minorHAnsi" w:cs="Calibri"/>
        </w:rPr>
      </w:pPr>
      <w:r w:rsidRPr="002D7A10">
        <w:rPr>
          <w:rFonts w:asciiTheme="minorHAnsi" w:eastAsia="Calibri" w:hAnsiTheme="minorHAnsi" w:cs="Calibri"/>
        </w:rPr>
        <w:t xml:space="preserve">ŠD </w:t>
      </w:r>
      <w:proofErr w:type="spellStart"/>
      <w:r w:rsidRPr="002D7A10">
        <w:rPr>
          <w:rFonts w:asciiTheme="minorHAnsi" w:eastAsia="Calibri" w:hAnsiTheme="minorHAnsi" w:cs="Calibri"/>
        </w:rPr>
        <w:t>Nikosa</w:t>
      </w:r>
      <w:proofErr w:type="spellEnd"/>
      <w:r w:rsidRPr="002D7A10">
        <w:rPr>
          <w:rFonts w:asciiTheme="minorHAnsi" w:eastAsia="Calibri" w:hAnsiTheme="minorHAnsi" w:cs="Calibri"/>
        </w:rPr>
        <w:t xml:space="preserve"> </w:t>
      </w:r>
      <w:proofErr w:type="spellStart"/>
      <w:r w:rsidRPr="002D7A10">
        <w:rPr>
          <w:rFonts w:asciiTheme="minorHAnsi" w:eastAsia="Calibri" w:hAnsiTheme="minorHAnsi" w:cs="Calibri"/>
        </w:rPr>
        <w:t>Belojanisa</w:t>
      </w:r>
      <w:proofErr w:type="spellEnd"/>
      <w:r w:rsidRPr="002D7A10">
        <w:rPr>
          <w:rFonts w:asciiTheme="minorHAnsi" w:eastAsia="Calibri" w:hAnsiTheme="minorHAnsi" w:cs="Calibri"/>
        </w:rPr>
        <w:tab/>
        <w:t>205 lôžok</w:t>
      </w:r>
    </w:p>
    <w:p w:rsidR="007A53B8" w:rsidRPr="002D7A10" w:rsidRDefault="007A53B8" w:rsidP="00D31559">
      <w:pPr>
        <w:numPr>
          <w:ilvl w:val="0"/>
          <w:numId w:val="3"/>
        </w:numPr>
        <w:tabs>
          <w:tab w:val="clear" w:pos="720"/>
          <w:tab w:val="num" w:pos="567"/>
          <w:tab w:val="right" w:pos="4680"/>
          <w:tab w:val="right" w:pos="7380"/>
        </w:tabs>
        <w:ind w:left="567" w:hanging="567"/>
        <w:rPr>
          <w:rFonts w:asciiTheme="minorHAnsi" w:eastAsia="Calibri" w:hAnsiTheme="minorHAnsi" w:cs="Calibri"/>
        </w:rPr>
      </w:pPr>
      <w:r w:rsidRPr="002D7A10">
        <w:rPr>
          <w:rFonts w:asciiTheme="minorHAnsi" w:eastAsia="Calibri" w:hAnsiTheme="minorHAnsi" w:cs="Calibri"/>
        </w:rPr>
        <w:t>ŠD Mýtna</w:t>
      </w:r>
      <w:r w:rsidRPr="002D7A10">
        <w:rPr>
          <w:rFonts w:asciiTheme="minorHAnsi" w:eastAsia="Calibri" w:hAnsiTheme="minorHAnsi" w:cs="Calibri"/>
        </w:rPr>
        <w:tab/>
        <w:t>62 lôžok</w:t>
      </w:r>
    </w:p>
    <w:p w:rsidR="007A53B8" w:rsidRPr="002D7A10" w:rsidRDefault="007A53B8" w:rsidP="007A53B8">
      <w:pPr>
        <w:tabs>
          <w:tab w:val="right" w:pos="4680"/>
          <w:tab w:val="right" w:pos="7380"/>
        </w:tabs>
        <w:spacing w:after="120"/>
        <w:ind w:left="567"/>
        <w:rPr>
          <w:rFonts w:asciiTheme="minorHAnsi" w:eastAsia="Calibri" w:hAnsiTheme="minorHAnsi" w:cs="Calibri"/>
          <w:b/>
          <w:bCs/>
        </w:rPr>
      </w:pPr>
      <w:r w:rsidRPr="002D7A10">
        <w:rPr>
          <w:rFonts w:asciiTheme="minorHAnsi" w:eastAsia="Calibri" w:hAnsiTheme="minorHAnsi" w:cs="Calibri"/>
          <w:b/>
          <w:bCs/>
        </w:rPr>
        <w:t>Spolu</w:t>
      </w:r>
      <w:r w:rsidRPr="002D7A10">
        <w:rPr>
          <w:rFonts w:asciiTheme="minorHAnsi" w:eastAsia="Calibri" w:hAnsiTheme="minorHAnsi" w:cs="Calibri"/>
          <w:b/>
          <w:bCs/>
        </w:rPr>
        <w:tab/>
        <w:t>5 288 lôžok</w:t>
      </w:r>
    </w:p>
    <w:p w:rsidR="007A53B8" w:rsidRPr="002D7A10" w:rsidRDefault="007A53B8" w:rsidP="007A53B8">
      <w:pPr>
        <w:rPr>
          <w:rFonts w:asciiTheme="minorHAnsi" w:eastAsia="Calibri" w:hAnsiTheme="minorHAnsi" w:cs="Calibri"/>
        </w:rPr>
      </w:pPr>
      <w:r w:rsidRPr="002D7A10">
        <w:rPr>
          <w:rFonts w:asciiTheme="minorHAnsi" w:eastAsia="Calibri" w:hAnsiTheme="minorHAnsi" w:cs="Calibri"/>
        </w:rPr>
        <w:t xml:space="preserve">Ubytovanie bolo zabezpečené v jedno až štvorlôžkových izbách. Na ubytovanie zamestnancov a hostí STU bolo z kapacity ŠD vyčlenených 266 lôžok. </w:t>
      </w:r>
    </w:p>
    <w:p w:rsidR="007A53B8" w:rsidRPr="002D7A10" w:rsidRDefault="007A53B8" w:rsidP="007A53B8">
      <w:pPr>
        <w:spacing w:after="120"/>
        <w:rPr>
          <w:rFonts w:asciiTheme="minorHAnsi" w:eastAsia="Calibri" w:hAnsiTheme="minorHAnsi" w:cs="Calibri"/>
        </w:rPr>
      </w:pPr>
      <w:r w:rsidRPr="002D7A10">
        <w:rPr>
          <w:rFonts w:asciiTheme="minorHAnsi" w:eastAsia="Calibri" w:hAnsiTheme="minorHAnsi" w:cs="Calibri"/>
        </w:rPr>
        <w:t xml:space="preserve">S platnosťou od 1.9.2015 sa zvýšili poplatky za ubytovanie študentov v ŠD Svoradov o 5,- € na lôžko a mesiac (ŠD Svoradov máme vo výpožičke, preto je potrebné, aby náklady na jeho prevádzku boli kryté výnosmi z jeho používania). V ostatných ŠD sa zvýšenie ceny za ubytovanie týkalo len izieb, ktoré prešli rekonštrukciou. Nárast bol v priemere o cca 8 € za lôžko a mesiac. </w:t>
      </w:r>
    </w:p>
    <w:p w:rsidR="007A53B8" w:rsidRPr="002D7A10" w:rsidRDefault="007A53B8" w:rsidP="007A53B8">
      <w:pPr>
        <w:rPr>
          <w:rFonts w:asciiTheme="minorHAnsi" w:eastAsia="Calibri" w:hAnsiTheme="minorHAnsi" w:cs="Calibri"/>
        </w:rPr>
      </w:pPr>
      <w:r w:rsidRPr="002D7A10">
        <w:rPr>
          <w:rFonts w:asciiTheme="minorHAnsi" w:eastAsia="Calibri" w:hAnsiTheme="minorHAnsi" w:cs="Calibri"/>
        </w:rPr>
        <w:lastRenderedPageBreak/>
        <w:t>Zo zostatku účelovo určenej dotácie (Akademickým senátom STU) z roku 2013 vo výške 452 296,26 € (celková výška pridelených prostriedkov bola 1 171 041 €) bola čiastočne financovaná  II. etapa opravy sociálnych zariadení ŠD JH.  Účelová dotácia tým bola vyčerpaná.</w:t>
      </w:r>
    </w:p>
    <w:p w:rsidR="007A53B8" w:rsidRPr="002D7A10" w:rsidRDefault="007A53B8" w:rsidP="007A53B8">
      <w:pPr>
        <w:spacing w:after="120"/>
        <w:rPr>
          <w:rFonts w:asciiTheme="minorHAnsi" w:eastAsia="Calibri" w:hAnsiTheme="minorHAnsi" w:cs="Calibri"/>
        </w:rPr>
      </w:pPr>
      <w:r w:rsidRPr="002D7A10">
        <w:rPr>
          <w:rFonts w:asciiTheme="minorHAnsi" w:eastAsia="Calibri" w:hAnsiTheme="minorHAnsi" w:cs="Calibri"/>
        </w:rPr>
        <w:t xml:space="preserve">Z vlastnej dotácie na bežné výdavky bola v roku 2015 okrem miezd financovaná výmena nábytku na študentských izbách v celkovej hodnote 173 241 €,  daň z nehnuteľnosti vo  výške 35 414 €, časť II. etapy opravy sociálnych zariadení v ŠD Jura Hronca vo výške 139 727 € a ďalšie opravy vo výške 88 278 € (výmena svietidiel na ŠD NB, výmena podláh v ŠD MG a iné). Bežná dotácia, pridelená MŠ SR v roku 2015, bola v plnej výške vyčerpaná. </w:t>
      </w:r>
    </w:p>
    <w:p w:rsidR="007A53B8" w:rsidRPr="002D7A10" w:rsidRDefault="007A53B8" w:rsidP="00A03AC4">
      <w:pPr>
        <w:rPr>
          <w:rFonts w:asciiTheme="minorHAnsi" w:eastAsia="Calibri" w:hAnsiTheme="minorHAnsi" w:cs="Calibri"/>
        </w:rPr>
      </w:pPr>
      <w:r w:rsidRPr="002D7A10">
        <w:rPr>
          <w:rFonts w:asciiTheme="minorHAnsi" w:eastAsia="Calibri" w:hAnsiTheme="minorHAnsi" w:cs="Calibri"/>
        </w:rPr>
        <w:t xml:space="preserve">Z vlastných príjmov bola okrem bežnej prevádzky ŠD financovaná časť III. etapy opravy sociálnych zariadení v ŠD Jura Hronca vo výške 269 302 € a drobná údržba a opravy menšieho rozsahu podľa potrieb študentských domovov. </w:t>
      </w:r>
      <w:r w:rsidR="00A03AC4" w:rsidRPr="002D7A10">
        <w:rPr>
          <w:rFonts w:asciiTheme="minorHAnsi" w:eastAsia="Calibri" w:hAnsiTheme="minorHAnsi" w:cs="Calibri"/>
        </w:rPr>
        <w:t xml:space="preserve">V prípade ŠD </w:t>
      </w:r>
      <w:proofErr w:type="spellStart"/>
      <w:r w:rsidR="00A03AC4" w:rsidRPr="002D7A10">
        <w:rPr>
          <w:rFonts w:asciiTheme="minorHAnsi" w:hAnsiTheme="minorHAnsi"/>
        </w:rPr>
        <w:t>Nikosa</w:t>
      </w:r>
      <w:proofErr w:type="spellEnd"/>
      <w:r w:rsidR="00A03AC4" w:rsidRPr="002D7A10">
        <w:rPr>
          <w:rFonts w:asciiTheme="minorHAnsi" w:hAnsiTheme="minorHAnsi"/>
        </w:rPr>
        <w:t xml:space="preserve"> </w:t>
      </w:r>
      <w:proofErr w:type="spellStart"/>
      <w:r w:rsidR="00A03AC4" w:rsidRPr="002D7A10">
        <w:rPr>
          <w:rFonts w:asciiTheme="minorHAnsi" w:hAnsiTheme="minorHAnsi"/>
        </w:rPr>
        <w:t>Belojanisa</w:t>
      </w:r>
      <w:proofErr w:type="spellEnd"/>
      <w:r w:rsidR="00A03AC4" w:rsidRPr="002D7A10">
        <w:rPr>
          <w:rFonts w:asciiTheme="minorHAnsi" w:hAnsiTheme="minorHAnsi"/>
        </w:rPr>
        <w:t xml:space="preserve"> bola v roku 2015 dokončená výmena okien.</w:t>
      </w:r>
    </w:p>
    <w:p w:rsidR="007A53B8" w:rsidRPr="002D7A10" w:rsidRDefault="007A53B8" w:rsidP="003E33C5">
      <w:pPr>
        <w:rPr>
          <w:rFonts w:asciiTheme="minorHAnsi" w:eastAsia="Calibri" w:hAnsiTheme="minorHAnsi" w:cs="Calibri"/>
        </w:rPr>
      </w:pPr>
      <w:r w:rsidRPr="002D7A10">
        <w:rPr>
          <w:rFonts w:asciiTheme="minorHAnsi" w:eastAsia="Calibri" w:hAnsiTheme="minorHAnsi" w:cs="Calibri"/>
        </w:rPr>
        <w:t>Finančne najnáročnejšou akciou zostáva rekonštrukcia sociálnych</w:t>
      </w:r>
      <w:r w:rsidR="00A03AC4" w:rsidRPr="002D7A10">
        <w:rPr>
          <w:rFonts w:asciiTheme="minorHAnsi" w:eastAsia="Calibri" w:hAnsiTheme="minorHAnsi" w:cs="Calibri"/>
        </w:rPr>
        <w:t xml:space="preserve"> zariadení a izieb v ŠD Mladosť. Tu sa ukončili v roku 2015 </w:t>
      </w:r>
      <w:r w:rsidR="00A03AC4" w:rsidRPr="002D7A10">
        <w:rPr>
          <w:rFonts w:asciiTheme="minorHAnsi" w:hAnsiTheme="minorHAnsi"/>
        </w:rPr>
        <w:t xml:space="preserve">práce na bloku "B1 a B2" a začalo sa s celkovou rekonštrukciou na bloku"B3 a B4"  Táto rekonštrukcia ŠD Mladosť </w:t>
      </w:r>
      <w:r w:rsidRPr="002D7A10">
        <w:rPr>
          <w:rFonts w:asciiTheme="minorHAnsi" w:eastAsia="Calibri" w:hAnsiTheme="minorHAnsi" w:cs="Calibri"/>
        </w:rPr>
        <w:t xml:space="preserve">bola </w:t>
      </w:r>
      <w:proofErr w:type="spellStart"/>
      <w:r w:rsidRPr="002D7A10">
        <w:rPr>
          <w:rFonts w:asciiTheme="minorHAnsi" w:eastAsia="Calibri" w:hAnsiTheme="minorHAnsi" w:cs="Calibri"/>
        </w:rPr>
        <w:t>zaklasifikovaná</w:t>
      </w:r>
      <w:proofErr w:type="spellEnd"/>
      <w:r w:rsidRPr="002D7A10">
        <w:rPr>
          <w:rFonts w:asciiTheme="minorHAnsi" w:eastAsia="Calibri" w:hAnsiTheme="minorHAnsi" w:cs="Calibri"/>
        </w:rPr>
        <w:t xml:space="preserve"> ako technické zhodnotenie budovy, preto môže byť financovaná len z kapitálových výdavkov. Tie v roku 2015 ÚZ </w:t>
      </w:r>
      <w:proofErr w:type="spellStart"/>
      <w:r w:rsidRPr="002D7A10">
        <w:rPr>
          <w:rFonts w:asciiTheme="minorHAnsi" w:eastAsia="Calibri" w:hAnsiTheme="minorHAnsi" w:cs="Calibri"/>
        </w:rPr>
        <w:t>ŠDaJ</w:t>
      </w:r>
      <w:proofErr w:type="spellEnd"/>
      <w:r w:rsidRPr="002D7A10">
        <w:rPr>
          <w:rFonts w:asciiTheme="minorHAnsi" w:eastAsia="Calibri" w:hAnsiTheme="minorHAnsi" w:cs="Calibri"/>
        </w:rPr>
        <w:t xml:space="preserve"> už nemalo k dispozícii, preto zdrojom financovania bol Fond reprodukcie R-STU. Pokiaľ ÚZ </w:t>
      </w:r>
      <w:proofErr w:type="spellStart"/>
      <w:r w:rsidRPr="002D7A10">
        <w:rPr>
          <w:rFonts w:asciiTheme="minorHAnsi" w:eastAsia="Calibri" w:hAnsiTheme="minorHAnsi" w:cs="Calibri"/>
        </w:rPr>
        <w:t>ŠDaJ</w:t>
      </w:r>
      <w:proofErr w:type="spellEnd"/>
      <w:r w:rsidRPr="002D7A10">
        <w:rPr>
          <w:rFonts w:asciiTheme="minorHAnsi" w:eastAsia="Calibri" w:hAnsiTheme="minorHAnsi" w:cs="Calibri"/>
        </w:rPr>
        <w:t xml:space="preserve"> </w:t>
      </w:r>
      <w:proofErr w:type="spellStart"/>
      <w:r w:rsidRPr="002D7A10">
        <w:rPr>
          <w:rFonts w:asciiTheme="minorHAnsi" w:eastAsia="Calibri" w:hAnsiTheme="minorHAnsi" w:cs="Calibri"/>
        </w:rPr>
        <w:t>neobdrží</w:t>
      </w:r>
      <w:proofErr w:type="spellEnd"/>
      <w:r w:rsidRPr="002D7A10">
        <w:rPr>
          <w:rFonts w:asciiTheme="minorHAnsi" w:eastAsia="Calibri" w:hAnsiTheme="minorHAnsi" w:cs="Calibri"/>
        </w:rPr>
        <w:t xml:space="preserve"> kapitálovú dotáciu na uvedenú akciu, bude tento spôsob financovania potrebné použiť aj v nasledujúcich rokoch. </w:t>
      </w:r>
    </w:p>
    <w:p w:rsidR="007A53B8" w:rsidRPr="002D7A10" w:rsidRDefault="007A53B8" w:rsidP="003E33C5">
      <w:pPr>
        <w:rPr>
          <w:rFonts w:asciiTheme="minorHAnsi" w:eastAsia="Calibri" w:hAnsiTheme="minorHAnsi" w:cs="Calibri"/>
        </w:rPr>
      </w:pPr>
      <w:r w:rsidRPr="002D7A10">
        <w:rPr>
          <w:rFonts w:asciiTheme="minorHAnsi" w:eastAsia="Calibri" w:hAnsiTheme="minorHAnsi" w:cs="Calibri"/>
        </w:rPr>
        <w:t xml:space="preserve">Okrem toho je v nasledujúcich rokoch potrebné vykonať i ďalšie opravy, pretože súčasný stav aj iných budov ohrozuje zabezpečenie ich prevádzkyschopnosti: </w:t>
      </w:r>
    </w:p>
    <w:p w:rsidR="007A53B8" w:rsidRPr="002D7A10" w:rsidRDefault="007A53B8" w:rsidP="00481942">
      <w:pPr>
        <w:numPr>
          <w:ilvl w:val="0"/>
          <w:numId w:val="25"/>
        </w:numPr>
        <w:tabs>
          <w:tab w:val="clear" w:pos="720"/>
          <w:tab w:val="num" w:pos="567"/>
        </w:tabs>
        <w:ind w:left="567" w:hanging="567"/>
        <w:rPr>
          <w:rFonts w:asciiTheme="minorHAnsi" w:eastAsia="Calibri" w:hAnsiTheme="minorHAnsi" w:cs="Calibri"/>
        </w:rPr>
      </w:pPr>
      <w:r w:rsidRPr="002D7A10">
        <w:rPr>
          <w:rFonts w:asciiTheme="minorHAnsi" w:eastAsia="Calibri" w:hAnsiTheme="minorHAnsi" w:cs="Calibri"/>
        </w:rPr>
        <w:t>v ŠD Jura Hronca - pokračovať v oprave sociálnych zariadení -  z potrebných štyroch etáp boli zatiaľ realizované dve a časť tretej, pričom cena jednej etapy je cca 830 000 €,</w:t>
      </w:r>
    </w:p>
    <w:p w:rsidR="007A53B8" w:rsidRPr="002D7A10" w:rsidRDefault="007A53B8" w:rsidP="00481942">
      <w:pPr>
        <w:numPr>
          <w:ilvl w:val="0"/>
          <w:numId w:val="25"/>
        </w:numPr>
        <w:tabs>
          <w:tab w:val="clear" w:pos="720"/>
          <w:tab w:val="num" w:pos="567"/>
        </w:tabs>
        <w:ind w:left="567" w:hanging="567"/>
        <w:rPr>
          <w:rFonts w:asciiTheme="minorHAnsi" w:eastAsia="Calibri" w:hAnsiTheme="minorHAnsi" w:cs="Calibri"/>
        </w:rPr>
      </w:pPr>
      <w:r w:rsidRPr="002D7A10">
        <w:rPr>
          <w:rFonts w:asciiTheme="minorHAnsi" w:eastAsia="Calibri" w:hAnsiTheme="minorHAnsi" w:cs="Calibri"/>
        </w:rPr>
        <w:t xml:space="preserve">v ŠD Mladá Garda -   pokračovať v oprave elektroinštalácie, oprave striech,  fasád a podláh na izbách, </w:t>
      </w:r>
    </w:p>
    <w:p w:rsidR="007A53B8" w:rsidRPr="002D7A10" w:rsidRDefault="007A53B8" w:rsidP="00481942">
      <w:pPr>
        <w:numPr>
          <w:ilvl w:val="0"/>
          <w:numId w:val="25"/>
        </w:numPr>
        <w:tabs>
          <w:tab w:val="clear" w:pos="720"/>
          <w:tab w:val="num" w:pos="567"/>
        </w:tabs>
        <w:ind w:left="567" w:hanging="567"/>
        <w:rPr>
          <w:rFonts w:asciiTheme="minorHAnsi" w:eastAsia="Calibri" w:hAnsiTheme="minorHAnsi" w:cs="Calibri"/>
        </w:rPr>
      </w:pPr>
      <w:r w:rsidRPr="002D7A10">
        <w:rPr>
          <w:rFonts w:asciiTheme="minorHAnsi" w:eastAsia="Calibri" w:hAnsiTheme="minorHAnsi" w:cs="Calibri"/>
        </w:rPr>
        <w:t xml:space="preserve">v ŠD </w:t>
      </w:r>
      <w:proofErr w:type="spellStart"/>
      <w:r w:rsidRPr="002D7A10">
        <w:rPr>
          <w:rFonts w:asciiTheme="minorHAnsi" w:eastAsia="Calibri" w:hAnsiTheme="minorHAnsi" w:cs="Calibri"/>
        </w:rPr>
        <w:t>Dobrovičova</w:t>
      </w:r>
      <w:proofErr w:type="spellEnd"/>
      <w:r w:rsidRPr="002D7A10">
        <w:rPr>
          <w:rFonts w:asciiTheme="minorHAnsi" w:eastAsia="Calibri" w:hAnsiTheme="minorHAnsi" w:cs="Calibri"/>
        </w:rPr>
        <w:t xml:space="preserve"> – opraviť sociálne zariadenia a  fasádu, pokračovať vo výmene okien,</w:t>
      </w:r>
    </w:p>
    <w:p w:rsidR="007A53B8" w:rsidRPr="002D7A10" w:rsidRDefault="007A53B8" w:rsidP="00481942">
      <w:pPr>
        <w:numPr>
          <w:ilvl w:val="0"/>
          <w:numId w:val="25"/>
        </w:numPr>
        <w:tabs>
          <w:tab w:val="clear" w:pos="720"/>
          <w:tab w:val="num" w:pos="567"/>
        </w:tabs>
        <w:ind w:left="567" w:hanging="567"/>
        <w:rPr>
          <w:rFonts w:asciiTheme="minorHAnsi" w:eastAsia="Calibri" w:hAnsiTheme="minorHAnsi" w:cs="Calibri"/>
        </w:rPr>
      </w:pPr>
      <w:r w:rsidRPr="002D7A10">
        <w:rPr>
          <w:rFonts w:asciiTheme="minorHAnsi" w:eastAsia="Calibri" w:hAnsiTheme="minorHAnsi" w:cs="Calibri"/>
        </w:rPr>
        <w:t xml:space="preserve">v ŠD </w:t>
      </w:r>
      <w:proofErr w:type="spellStart"/>
      <w:r w:rsidRPr="002D7A10">
        <w:rPr>
          <w:rFonts w:asciiTheme="minorHAnsi" w:eastAsia="Calibri" w:hAnsiTheme="minorHAnsi" w:cs="Calibri"/>
        </w:rPr>
        <w:t>Nikosa</w:t>
      </w:r>
      <w:proofErr w:type="spellEnd"/>
      <w:r w:rsidRPr="002D7A10">
        <w:rPr>
          <w:rFonts w:asciiTheme="minorHAnsi" w:eastAsia="Calibri" w:hAnsiTheme="minorHAnsi" w:cs="Calibri"/>
        </w:rPr>
        <w:t xml:space="preserve"> </w:t>
      </w:r>
      <w:proofErr w:type="spellStart"/>
      <w:r w:rsidRPr="002D7A10">
        <w:rPr>
          <w:rFonts w:asciiTheme="minorHAnsi" w:eastAsia="Calibri" w:hAnsiTheme="minorHAnsi" w:cs="Calibri"/>
        </w:rPr>
        <w:t>Belojanisa</w:t>
      </w:r>
      <w:proofErr w:type="spellEnd"/>
      <w:r w:rsidRPr="002D7A10">
        <w:rPr>
          <w:rFonts w:asciiTheme="minorHAnsi" w:eastAsia="Calibri" w:hAnsiTheme="minorHAnsi" w:cs="Calibri"/>
        </w:rPr>
        <w:t xml:space="preserve"> - opraviť fasádu,</w:t>
      </w:r>
    </w:p>
    <w:p w:rsidR="007A53B8" w:rsidRPr="002D7A10" w:rsidRDefault="007A53B8" w:rsidP="00481942">
      <w:pPr>
        <w:numPr>
          <w:ilvl w:val="0"/>
          <w:numId w:val="25"/>
        </w:numPr>
        <w:tabs>
          <w:tab w:val="clear" w:pos="720"/>
          <w:tab w:val="num" w:pos="567"/>
        </w:tabs>
        <w:ind w:left="567" w:hanging="567"/>
        <w:rPr>
          <w:rFonts w:asciiTheme="minorHAnsi" w:eastAsia="Calibri" w:hAnsiTheme="minorHAnsi" w:cs="Calibri"/>
        </w:rPr>
      </w:pPr>
      <w:r w:rsidRPr="002D7A10">
        <w:rPr>
          <w:rFonts w:asciiTheme="minorHAnsi" w:eastAsia="Calibri" w:hAnsiTheme="minorHAnsi" w:cs="Calibri"/>
        </w:rPr>
        <w:t xml:space="preserve">vo všetkých ŠD pokračovať vo výmene svietidiel a iné.  </w:t>
      </w:r>
    </w:p>
    <w:p w:rsidR="00B51749" w:rsidRPr="003E33C5" w:rsidRDefault="007A53B8" w:rsidP="003E33C5">
      <w:pPr>
        <w:rPr>
          <w:rFonts w:asciiTheme="minorHAnsi" w:eastAsia="Calibri" w:hAnsiTheme="minorHAnsi" w:cs="Calibri"/>
        </w:rPr>
      </w:pPr>
      <w:r w:rsidRPr="002D7A10">
        <w:rPr>
          <w:rFonts w:asciiTheme="minorHAnsi" w:eastAsia="Calibri" w:hAnsiTheme="minorHAnsi" w:cs="Calibri"/>
        </w:rPr>
        <w:t xml:space="preserve">Študentský domov Miloša Uhra v Trnave, ako účelové zariadenie </w:t>
      </w:r>
      <w:proofErr w:type="spellStart"/>
      <w:r w:rsidRPr="002D7A10">
        <w:rPr>
          <w:rFonts w:asciiTheme="minorHAnsi" w:eastAsia="Calibri" w:hAnsiTheme="minorHAnsi" w:cs="Calibri"/>
        </w:rPr>
        <w:t>Materiálovotechnologickej</w:t>
      </w:r>
      <w:proofErr w:type="spellEnd"/>
      <w:r w:rsidRPr="002D7A10">
        <w:rPr>
          <w:rFonts w:asciiTheme="minorHAnsi" w:eastAsia="Calibri" w:hAnsiTheme="minorHAnsi" w:cs="Calibri"/>
        </w:rPr>
        <w:t xml:space="preserve"> fakulty STU, mal v roku 2015 ubytovaciu kapacitu 1 260 lôžok, z toho 788 miest v starom objekte a 472 v novom objekte. Ubytovanie bolo poskytované v bunkovom systéme, v dvoj a trojposteľových izbách. S cieľom zvýšenia kvality ubytovacích priestorov pokračovali aj v roku 2015 rekonštrukčné práce – výmena okien na 1. a 2. poschodí bloku B, výmena žalúzií, stavebné opravy obkladačiek, podlahy, maliarske opravy. Medzi finančne náročné práce patrila výmena výťahov v bloku B, oprava strechy nad ŠJ, zakúpenie nového nábytk</w:t>
      </w:r>
      <w:r w:rsidR="003E33C5">
        <w:rPr>
          <w:rFonts w:asciiTheme="minorHAnsi" w:eastAsia="Calibri" w:hAnsiTheme="minorHAnsi" w:cs="Calibri"/>
        </w:rPr>
        <w:t xml:space="preserve">u do ŠJ a bufetu v pavilóne T. </w:t>
      </w:r>
    </w:p>
    <w:p w:rsidR="00B51749" w:rsidRPr="002D7A10" w:rsidRDefault="00B51749" w:rsidP="00B51749">
      <w:pPr>
        <w:rPr>
          <w:rFonts w:asciiTheme="minorHAnsi" w:hAnsiTheme="minorHAnsi"/>
        </w:rPr>
      </w:pPr>
    </w:p>
    <w:p w:rsidR="00B51749" w:rsidRPr="002D7A10" w:rsidRDefault="00B51749" w:rsidP="00B51749">
      <w:pPr>
        <w:pStyle w:val="Nadpis2"/>
        <w:rPr>
          <w:rFonts w:asciiTheme="minorHAnsi" w:hAnsiTheme="minorHAnsi"/>
          <w:color w:val="auto"/>
          <w:sz w:val="24"/>
          <w:szCs w:val="24"/>
        </w:rPr>
      </w:pPr>
      <w:bookmarkStart w:id="55" w:name="_Toc448261596"/>
      <w:r w:rsidRPr="002D7A10">
        <w:rPr>
          <w:rFonts w:asciiTheme="minorHAnsi" w:hAnsiTheme="minorHAnsi"/>
          <w:color w:val="auto"/>
          <w:sz w:val="24"/>
          <w:szCs w:val="24"/>
        </w:rPr>
        <w:lastRenderedPageBreak/>
        <w:t>Stravovanie</w:t>
      </w:r>
      <w:bookmarkEnd w:id="55"/>
    </w:p>
    <w:p w:rsidR="007A53B8" w:rsidRPr="002D7A10" w:rsidRDefault="007A53B8" w:rsidP="007A53B8">
      <w:pPr>
        <w:rPr>
          <w:rFonts w:asciiTheme="minorHAnsi" w:eastAsia="Calibri" w:hAnsiTheme="minorHAnsi" w:cs="Calibri"/>
        </w:rPr>
      </w:pPr>
      <w:r w:rsidRPr="002D7A10">
        <w:rPr>
          <w:rFonts w:asciiTheme="minorHAnsi" w:eastAsia="Calibri" w:hAnsiTheme="minorHAnsi" w:cs="Calibri"/>
        </w:rPr>
        <w:t>Poskytovanie stravovania pre študentov a zamestnancov STU bolo zabezpečované:</w:t>
      </w:r>
    </w:p>
    <w:p w:rsidR="007A53B8" w:rsidRPr="002D7A10" w:rsidRDefault="007A53B8" w:rsidP="00D31559">
      <w:pPr>
        <w:numPr>
          <w:ilvl w:val="0"/>
          <w:numId w:val="4"/>
        </w:numPr>
        <w:tabs>
          <w:tab w:val="clear" w:pos="720"/>
          <w:tab w:val="num" w:pos="-3828"/>
          <w:tab w:val="num" w:pos="567"/>
        </w:tabs>
        <w:ind w:left="567" w:hanging="567"/>
        <w:rPr>
          <w:rFonts w:asciiTheme="minorHAnsi" w:eastAsia="Calibri" w:hAnsiTheme="minorHAnsi" w:cs="Calibri"/>
        </w:rPr>
      </w:pPr>
      <w:r w:rsidRPr="002D7A10">
        <w:rPr>
          <w:rFonts w:asciiTheme="minorHAnsi" w:eastAsia="Calibri" w:hAnsiTheme="minorHAnsi" w:cs="Calibri"/>
        </w:rPr>
        <w:t xml:space="preserve">vlastnými stravovacími zariadeniami Stravovacieho centra (ŠJ Jura Hronca, ŠJ Stavebná fakulta, ŠJ </w:t>
      </w:r>
      <w:proofErr w:type="spellStart"/>
      <w:r w:rsidRPr="002D7A10">
        <w:rPr>
          <w:rFonts w:asciiTheme="minorHAnsi" w:eastAsia="Calibri" w:hAnsiTheme="minorHAnsi" w:cs="Calibri"/>
        </w:rPr>
        <w:t>Vazovova</w:t>
      </w:r>
      <w:proofErr w:type="spellEnd"/>
      <w:r w:rsidRPr="002D7A10">
        <w:rPr>
          <w:rFonts w:asciiTheme="minorHAnsi" w:eastAsia="Calibri" w:hAnsiTheme="minorHAnsi" w:cs="Calibri"/>
        </w:rPr>
        <w:t xml:space="preserve"> a ŠJ Mladá Garda) a ŠJ Miloša Uhra v Trnave s výdajňou na ul. J. </w:t>
      </w:r>
      <w:proofErr w:type="spellStart"/>
      <w:r w:rsidRPr="002D7A10">
        <w:rPr>
          <w:rFonts w:asciiTheme="minorHAnsi" w:eastAsia="Calibri" w:hAnsiTheme="minorHAnsi" w:cs="Calibri"/>
        </w:rPr>
        <w:t>Bottu</w:t>
      </w:r>
      <w:proofErr w:type="spellEnd"/>
      <w:r w:rsidRPr="002D7A10">
        <w:rPr>
          <w:rFonts w:asciiTheme="minorHAnsi" w:eastAsia="Calibri" w:hAnsiTheme="minorHAnsi" w:cs="Calibri"/>
        </w:rPr>
        <w:t xml:space="preserve">  a v pavilóne „Z“ na Paulínskej ul.,</w:t>
      </w:r>
    </w:p>
    <w:p w:rsidR="007A53B8" w:rsidRPr="002D7A10" w:rsidRDefault="007A53B8" w:rsidP="00D31559">
      <w:pPr>
        <w:numPr>
          <w:ilvl w:val="0"/>
          <w:numId w:val="4"/>
        </w:numPr>
        <w:tabs>
          <w:tab w:val="clear" w:pos="720"/>
          <w:tab w:val="num" w:pos="-3828"/>
          <w:tab w:val="num" w:pos="567"/>
        </w:tabs>
        <w:ind w:left="567" w:hanging="567"/>
        <w:rPr>
          <w:rFonts w:asciiTheme="minorHAnsi" w:eastAsia="Calibri" w:hAnsiTheme="minorHAnsi" w:cs="Calibri"/>
        </w:rPr>
      </w:pPr>
      <w:r w:rsidRPr="002D7A10">
        <w:rPr>
          <w:rFonts w:asciiTheme="minorHAnsi" w:eastAsia="Calibri" w:hAnsiTheme="minorHAnsi" w:cs="Calibri"/>
        </w:rPr>
        <w:t xml:space="preserve">prostredníctvom prenajatých jedální na ŠD </w:t>
      </w:r>
      <w:proofErr w:type="spellStart"/>
      <w:r w:rsidRPr="002D7A10">
        <w:rPr>
          <w:rFonts w:asciiTheme="minorHAnsi" w:eastAsia="Calibri" w:hAnsiTheme="minorHAnsi" w:cs="Calibri"/>
        </w:rPr>
        <w:t>Dobrovičova</w:t>
      </w:r>
      <w:proofErr w:type="spellEnd"/>
      <w:r w:rsidRPr="002D7A10">
        <w:rPr>
          <w:rFonts w:asciiTheme="minorHAnsi" w:eastAsia="Calibri" w:hAnsiTheme="minorHAnsi" w:cs="Calibri"/>
        </w:rPr>
        <w:t>, FEI a FCHPT.</w:t>
      </w:r>
    </w:p>
    <w:p w:rsidR="007A53B8" w:rsidRPr="002D7A10" w:rsidRDefault="007A53B8" w:rsidP="007A53B8">
      <w:pPr>
        <w:spacing w:after="120"/>
        <w:rPr>
          <w:rFonts w:asciiTheme="minorHAnsi" w:eastAsia="Calibri" w:hAnsiTheme="minorHAnsi" w:cs="Calibri"/>
        </w:rPr>
      </w:pPr>
      <w:proofErr w:type="spellStart"/>
      <w:r w:rsidRPr="002D7A10">
        <w:rPr>
          <w:rFonts w:asciiTheme="minorHAnsi" w:eastAsia="Calibri" w:hAnsiTheme="minorHAnsi" w:cs="Calibri"/>
        </w:rPr>
        <w:t>ŠDaJ</w:t>
      </w:r>
      <w:proofErr w:type="spellEnd"/>
      <w:r w:rsidRPr="002D7A10">
        <w:rPr>
          <w:rFonts w:asciiTheme="minorHAnsi" w:eastAsia="Calibri" w:hAnsiTheme="minorHAnsi" w:cs="Calibri"/>
        </w:rPr>
        <w:t xml:space="preserve">  M. Uhra v Trnave prevádzkuje bufet v pavilóne „Z“ na Paulínskej ul.  a  bufet v pavilóne  „T“ na ul.  J. </w:t>
      </w:r>
      <w:proofErr w:type="spellStart"/>
      <w:r w:rsidRPr="002D7A10">
        <w:rPr>
          <w:rFonts w:asciiTheme="minorHAnsi" w:eastAsia="Calibri" w:hAnsiTheme="minorHAnsi" w:cs="Calibri"/>
        </w:rPr>
        <w:t>Bottu</w:t>
      </w:r>
      <w:proofErr w:type="spellEnd"/>
      <w:r w:rsidRPr="002D7A10">
        <w:rPr>
          <w:rFonts w:asciiTheme="minorHAnsi" w:eastAsia="Calibri" w:hAnsiTheme="minorHAnsi" w:cs="Calibri"/>
        </w:rPr>
        <w:t>.</w:t>
      </w:r>
    </w:p>
    <w:p w:rsidR="007A53B8" w:rsidRPr="002D7A10" w:rsidRDefault="007A53B8" w:rsidP="007A53B8">
      <w:pPr>
        <w:rPr>
          <w:rFonts w:asciiTheme="minorHAnsi" w:eastAsia="Calibri" w:hAnsiTheme="minorHAnsi" w:cs="Calibri"/>
        </w:rPr>
      </w:pPr>
      <w:r w:rsidRPr="002D7A10">
        <w:rPr>
          <w:rFonts w:asciiTheme="minorHAnsi" w:eastAsia="Calibri" w:hAnsiTheme="minorHAnsi" w:cs="Calibri"/>
        </w:rPr>
        <w:t xml:space="preserve">Príspevok štátu pre študenta bol počas celého roka 2015 1,00 € na jedno jedlo, pričom študent má nárok na dve jedlá s príspevkom v jeden deň. </w:t>
      </w:r>
    </w:p>
    <w:p w:rsidR="007A53B8" w:rsidRPr="002D7A10" w:rsidRDefault="007A53B8" w:rsidP="007A53B8">
      <w:pPr>
        <w:rPr>
          <w:rFonts w:asciiTheme="minorHAnsi" w:eastAsia="Calibri" w:hAnsiTheme="minorHAnsi" w:cs="Calibri"/>
        </w:rPr>
      </w:pPr>
      <w:r w:rsidRPr="002D7A10">
        <w:rPr>
          <w:rFonts w:asciiTheme="minorHAnsi" w:eastAsia="Calibri" w:hAnsiTheme="minorHAnsi" w:cs="Calibri"/>
        </w:rPr>
        <w:t>Počty porcií podľa jedální za roky 2014 a 2015 sú uvedené v tabuľke č. 8.6.</w:t>
      </w:r>
    </w:p>
    <w:p w:rsidR="007A53B8" w:rsidRPr="00B13FD5" w:rsidRDefault="007A53B8" w:rsidP="007A53B8">
      <w:pPr>
        <w:rPr>
          <w:rFonts w:asciiTheme="minorHAnsi" w:eastAsia="Calibri" w:hAnsiTheme="minorHAnsi" w:cs="Calibri"/>
          <w:sz w:val="20"/>
          <w:szCs w:val="20"/>
        </w:rPr>
      </w:pPr>
    </w:p>
    <w:p w:rsidR="007A53B8" w:rsidRPr="00B13FD5" w:rsidRDefault="007A53B8" w:rsidP="007A53B8">
      <w:pPr>
        <w:rPr>
          <w:rFonts w:asciiTheme="minorHAnsi" w:eastAsia="Calibri" w:hAnsiTheme="minorHAnsi" w:cs="Calibri"/>
          <w:b/>
          <w:sz w:val="20"/>
          <w:szCs w:val="20"/>
        </w:rPr>
      </w:pPr>
      <w:r w:rsidRPr="00B13FD5">
        <w:rPr>
          <w:rFonts w:asciiTheme="minorHAnsi" w:eastAsia="Calibri" w:hAnsiTheme="minorHAnsi" w:cs="Calibri"/>
          <w:b/>
          <w:sz w:val="20"/>
          <w:szCs w:val="20"/>
        </w:rPr>
        <w:t>Tab. č. 8.6: Počty vydaných porcií jedální STU v rokoch 2014 a 2015</w:t>
      </w:r>
    </w:p>
    <w:tbl>
      <w:tblPr>
        <w:tblW w:w="952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33"/>
        <w:gridCol w:w="992"/>
        <w:gridCol w:w="1299"/>
        <w:gridCol w:w="790"/>
        <w:gridCol w:w="1011"/>
        <w:gridCol w:w="992"/>
        <w:gridCol w:w="1276"/>
        <w:gridCol w:w="813"/>
        <w:gridCol w:w="917"/>
      </w:tblGrid>
      <w:tr w:rsidR="007A53B8" w:rsidRPr="00B13FD5" w:rsidTr="00911364">
        <w:trPr>
          <w:trHeight w:val="420"/>
        </w:trPr>
        <w:tc>
          <w:tcPr>
            <w:tcW w:w="1433" w:type="dxa"/>
            <w:vMerge w:val="restart"/>
            <w:shd w:val="clear" w:color="auto" w:fill="FFFFFF"/>
            <w:noWrap/>
            <w:vAlign w:val="center"/>
            <w:hideMark/>
          </w:tcPr>
          <w:p w:rsidR="007A53B8" w:rsidRPr="00B13FD5" w:rsidRDefault="007A53B8" w:rsidP="00911364">
            <w:pP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Študentská jedáleň</w:t>
            </w:r>
          </w:p>
        </w:tc>
        <w:tc>
          <w:tcPr>
            <w:tcW w:w="4092" w:type="dxa"/>
            <w:gridSpan w:val="4"/>
            <w:shd w:val="clear" w:color="auto" w:fill="auto"/>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Rok 2014 - počet jedál</w:t>
            </w:r>
          </w:p>
        </w:tc>
        <w:tc>
          <w:tcPr>
            <w:tcW w:w="3998" w:type="dxa"/>
            <w:gridSpan w:val="4"/>
            <w:shd w:val="clear" w:color="auto" w:fill="auto"/>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Rok 2015 - počet jedál</w:t>
            </w:r>
          </w:p>
        </w:tc>
      </w:tr>
      <w:tr w:rsidR="007A53B8" w:rsidRPr="00B13FD5" w:rsidTr="00911364">
        <w:trPr>
          <w:trHeight w:val="420"/>
        </w:trPr>
        <w:tc>
          <w:tcPr>
            <w:tcW w:w="0" w:type="auto"/>
            <w:vMerge/>
            <w:vAlign w:val="center"/>
            <w:hideMark/>
          </w:tcPr>
          <w:p w:rsidR="007A53B8" w:rsidRPr="00B13FD5" w:rsidRDefault="007A53B8" w:rsidP="00911364">
            <w:pPr>
              <w:jc w:val="center"/>
              <w:rPr>
                <w:rFonts w:asciiTheme="minorHAnsi" w:eastAsia="Calibri" w:hAnsiTheme="minorHAnsi" w:cs="Calibri"/>
                <w:b/>
                <w:bCs/>
                <w:sz w:val="20"/>
                <w:szCs w:val="20"/>
                <w:lang w:eastAsia="sk-SK"/>
              </w:rPr>
            </w:pPr>
          </w:p>
        </w:tc>
        <w:tc>
          <w:tcPr>
            <w:tcW w:w="992" w:type="dxa"/>
            <w:shd w:val="clear" w:color="auto" w:fill="auto"/>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Študenti</w:t>
            </w:r>
          </w:p>
        </w:tc>
        <w:tc>
          <w:tcPr>
            <w:tcW w:w="1299" w:type="dxa"/>
            <w:shd w:val="clear" w:color="auto" w:fill="auto"/>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Zamestnanci</w:t>
            </w:r>
          </w:p>
        </w:tc>
        <w:tc>
          <w:tcPr>
            <w:tcW w:w="790" w:type="dxa"/>
            <w:shd w:val="clear" w:color="auto" w:fill="auto"/>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Cudzí</w:t>
            </w:r>
          </w:p>
        </w:tc>
        <w:tc>
          <w:tcPr>
            <w:tcW w:w="1011" w:type="dxa"/>
            <w:shd w:val="clear" w:color="auto" w:fill="auto"/>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Spolu</w:t>
            </w:r>
          </w:p>
        </w:tc>
        <w:tc>
          <w:tcPr>
            <w:tcW w:w="992" w:type="dxa"/>
            <w:shd w:val="clear" w:color="auto" w:fill="auto"/>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Študenti</w:t>
            </w:r>
          </w:p>
        </w:tc>
        <w:tc>
          <w:tcPr>
            <w:tcW w:w="1276" w:type="dxa"/>
            <w:shd w:val="clear" w:color="auto" w:fill="auto"/>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Zamestnanci</w:t>
            </w:r>
          </w:p>
        </w:tc>
        <w:tc>
          <w:tcPr>
            <w:tcW w:w="813" w:type="dxa"/>
            <w:shd w:val="clear" w:color="auto" w:fill="auto"/>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Cudzí</w:t>
            </w:r>
          </w:p>
        </w:tc>
        <w:tc>
          <w:tcPr>
            <w:tcW w:w="917" w:type="dxa"/>
            <w:shd w:val="clear" w:color="auto" w:fill="auto"/>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Spolu</w:t>
            </w:r>
          </w:p>
        </w:tc>
      </w:tr>
      <w:tr w:rsidR="007A53B8" w:rsidRPr="00B13FD5" w:rsidTr="00911364">
        <w:trPr>
          <w:trHeight w:val="285"/>
        </w:trPr>
        <w:tc>
          <w:tcPr>
            <w:tcW w:w="1433" w:type="dxa"/>
            <w:shd w:val="clear" w:color="auto" w:fill="FFFFFF"/>
            <w:noWrap/>
            <w:vAlign w:val="center"/>
            <w:hideMark/>
          </w:tcPr>
          <w:p w:rsidR="007A53B8" w:rsidRPr="00B13FD5" w:rsidRDefault="007A53B8" w:rsidP="00911364">
            <w:pPr>
              <w:rPr>
                <w:rFonts w:asciiTheme="minorHAnsi" w:eastAsia="Calibri" w:hAnsiTheme="minorHAnsi" w:cs="Calibri"/>
                <w:sz w:val="20"/>
                <w:szCs w:val="20"/>
                <w:lang w:eastAsia="sk-SK"/>
              </w:rPr>
            </w:pPr>
            <w:proofErr w:type="spellStart"/>
            <w:r w:rsidRPr="00B13FD5">
              <w:rPr>
                <w:rFonts w:asciiTheme="minorHAnsi" w:eastAsia="Calibri" w:hAnsiTheme="minorHAnsi" w:cs="Calibri"/>
                <w:sz w:val="20"/>
                <w:szCs w:val="20"/>
                <w:lang w:eastAsia="sk-SK"/>
              </w:rPr>
              <w:t>Strav</w:t>
            </w:r>
            <w:proofErr w:type="spellEnd"/>
            <w:r w:rsidRPr="00B13FD5">
              <w:rPr>
                <w:rFonts w:asciiTheme="minorHAnsi" w:eastAsia="Calibri" w:hAnsiTheme="minorHAnsi" w:cs="Calibri"/>
                <w:sz w:val="20"/>
                <w:szCs w:val="20"/>
                <w:lang w:eastAsia="sk-SK"/>
              </w:rPr>
              <w:t>. centrum</w:t>
            </w:r>
          </w:p>
        </w:tc>
        <w:tc>
          <w:tcPr>
            <w:tcW w:w="992" w:type="dxa"/>
            <w:shd w:val="clear" w:color="auto" w:fill="FFFFFF"/>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347 767</w:t>
            </w:r>
          </w:p>
        </w:tc>
        <w:tc>
          <w:tcPr>
            <w:tcW w:w="1299"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62 205</w:t>
            </w:r>
          </w:p>
        </w:tc>
        <w:tc>
          <w:tcPr>
            <w:tcW w:w="790"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9 670</w:t>
            </w:r>
          </w:p>
        </w:tc>
        <w:tc>
          <w:tcPr>
            <w:tcW w:w="1011"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419 642</w:t>
            </w:r>
          </w:p>
        </w:tc>
        <w:tc>
          <w:tcPr>
            <w:tcW w:w="992"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367 144</w:t>
            </w:r>
          </w:p>
        </w:tc>
        <w:tc>
          <w:tcPr>
            <w:tcW w:w="1276"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62 493</w:t>
            </w:r>
          </w:p>
        </w:tc>
        <w:tc>
          <w:tcPr>
            <w:tcW w:w="813"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11 665</w:t>
            </w:r>
          </w:p>
        </w:tc>
        <w:tc>
          <w:tcPr>
            <w:tcW w:w="917"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441 302</w:t>
            </w:r>
          </w:p>
        </w:tc>
      </w:tr>
      <w:tr w:rsidR="007A53B8" w:rsidRPr="00B13FD5" w:rsidTr="00911364">
        <w:trPr>
          <w:trHeight w:val="285"/>
        </w:trPr>
        <w:tc>
          <w:tcPr>
            <w:tcW w:w="1433" w:type="dxa"/>
            <w:shd w:val="clear" w:color="auto" w:fill="FFFFFF"/>
            <w:noWrap/>
            <w:vAlign w:val="center"/>
            <w:hideMark/>
          </w:tcPr>
          <w:p w:rsidR="007A53B8" w:rsidRPr="00B13FD5" w:rsidRDefault="007A53B8" w:rsidP="00911364">
            <w:pP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FEI</w:t>
            </w:r>
          </w:p>
        </w:tc>
        <w:tc>
          <w:tcPr>
            <w:tcW w:w="992"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10 884</w:t>
            </w:r>
          </w:p>
        </w:tc>
        <w:tc>
          <w:tcPr>
            <w:tcW w:w="1299"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36 290</w:t>
            </w:r>
          </w:p>
        </w:tc>
        <w:tc>
          <w:tcPr>
            <w:tcW w:w="790"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415</w:t>
            </w:r>
          </w:p>
        </w:tc>
        <w:tc>
          <w:tcPr>
            <w:tcW w:w="1011"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47 589</w:t>
            </w:r>
          </w:p>
        </w:tc>
        <w:tc>
          <w:tcPr>
            <w:tcW w:w="992"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19 012</w:t>
            </w:r>
          </w:p>
        </w:tc>
        <w:tc>
          <w:tcPr>
            <w:tcW w:w="1276"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55 993</w:t>
            </w:r>
          </w:p>
        </w:tc>
        <w:tc>
          <w:tcPr>
            <w:tcW w:w="813"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255</w:t>
            </w:r>
          </w:p>
        </w:tc>
        <w:tc>
          <w:tcPr>
            <w:tcW w:w="917"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75 260</w:t>
            </w:r>
          </w:p>
        </w:tc>
      </w:tr>
      <w:tr w:rsidR="007A53B8" w:rsidRPr="00B13FD5" w:rsidTr="00911364">
        <w:trPr>
          <w:trHeight w:val="285"/>
        </w:trPr>
        <w:tc>
          <w:tcPr>
            <w:tcW w:w="1433" w:type="dxa"/>
            <w:shd w:val="clear" w:color="auto" w:fill="FFFFFF"/>
            <w:noWrap/>
            <w:vAlign w:val="center"/>
            <w:hideMark/>
          </w:tcPr>
          <w:p w:rsidR="007A53B8" w:rsidRPr="00B13FD5" w:rsidRDefault="007A53B8" w:rsidP="00911364">
            <w:pP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FCHPT</w:t>
            </w:r>
          </w:p>
        </w:tc>
        <w:tc>
          <w:tcPr>
            <w:tcW w:w="992"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6 062</w:t>
            </w:r>
          </w:p>
        </w:tc>
        <w:tc>
          <w:tcPr>
            <w:tcW w:w="1299"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91 588</w:t>
            </w:r>
          </w:p>
        </w:tc>
        <w:tc>
          <w:tcPr>
            <w:tcW w:w="790"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2 569</w:t>
            </w:r>
          </w:p>
        </w:tc>
        <w:tc>
          <w:tcPr>
            <w:tcW w:w="1011"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100 219</w:t>
            </w:r>
          </w:p>
        </w:tc>
        <w:tc>
          <w:tcPr>
            <w:tcW w:w="992"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4 032</w:t>
            </w:r>
          </w:p>
        </w:tc>
        <w:tc>
          <w:tcPr>
            <w:tcW w:w="1276"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80 692</w:t>
            </w:r>
          </w:p>
        </w:tc>
        <w:tc>
          <w:tcPr>
            <w:tcW w:w="813"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2 436</w:t>
            </w:r>
          </w:p>
        </w:tc>
        <w:tc>
          <w:tcPr>
            <w:tcW w:w="917"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87 160</w:t>
            </w:r>
          </w:p>
        </w:tc>
      </w:tr>
      <w:tr w:rsidR="007A53B8" w:rsidRPr="00B13FD5" w:rsidTr="00911364">
        <w:trPr>
          <w:trHeight w:val="285"/>
        </w:trPr>
        <w:tc>
          <w:tcPr>
            <w:tcW w:w="1433" w:type="dxa"/>
            <w:shd w:val="clear" w:color="auto" w:fill="FFFFFF"/>
            <w:noWrap/>
            <w:vAlign w:val="center"/>
            <w:hideMark/>
          </w:tcPr>
          <w:p w:rsidR="007A53B8" w:rsidRPr="00B13FD5" w:rsidRDefault="007A53B8" w:rsidP="00911364">
            <w:pPr>
              <w:rPr>
                <w:rFonts w:asciiTheme="minorHAnsi" w:eastAsia="Calibri" w:hAnsiTheme="minorHAnsi" w:cs="Calibri"/>
                <w:sz w:val="20"/>
                <w:szCs w:val="20"/>
                <w:lang w:eastAsia="sk-SK"/>
              </w:rPr>
            </w:pPr>
            <w:proofErr w:type="spellStart"/>
            <w:r w:rsidRPr="00B13FD5">
              <w:rPr>
                <w:rFonts w:asciiTheme="minorHAnsi" w:eastAsia="Calibri" w:hAnsiTheme="minorHAnsi" w:cs="Calibri"/>
                <w:sz w:val="20"/>
                <w:szCs w:val="20"/>
                <w:lang w:eastAsia="sk-SK"/>
              </w:rPr>
              <w:t>Dobrovičova</w:t>
            </w:r>
            <w:proofErr w:type="spellEnd"/>
          </w:p>
        </w:tc>
        <w:tc>
          <w:tcPr>
            <w:tcW w:w="992"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27 095</w:t>
            </w:r>
          </w:p>
        </w:tc>
        <w:tc>
          <w:tcPr>
            <w:tcW w:w="1299"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1 111</w:t>
            </w:r>
          </w:p>
        </w:tc>
        <w:tc>
          <w:tcPr>
            <w:tcW w:w="790"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6</w:t>
            </w:r>
          </w:p>
        </w:tc>
        <w:tc>
          <w:tcPr>
            <w:tcW w:w="1011"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28 212</w:t>
            </w:r>
          </w:p>
        </w:tc>
        <w:tc>
          <w:tcPr>
            <w:tcW w:w="992"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30 925</w:t>
            </w:r>
          </w:p>
        </w:tc>
        <w:tc>
          <w:tcPr>
            <w:tcW w:w="1276"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822</w:t>
            </w:r>
          </w:p>
        </w:tc>
        <w:tc>
          <w:tcPr>
            <w:tcW w:w="813"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14</w:t>
            </w:r>
          </w:p>
        </w:tc>
        <w:tc>
          <w:tcPr>
            <w:tcW w:w="917"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31 761</w:t>
            </w:r>
          </w:p>
        </w:tc>
      </w:tr>
      <w:tr w:rsidR="007A53B8" w:rsidRPr="00B13FD5" w:rsidTr="00911364">
        <w:trPr>
          <w:trHeight w:val="285"/>
        </w:trPr>
        <w:tc>
          <w:tcPr>
            <w:tcW w:w="1433" w:type="dxa"/>
            <w:shd w:val="clear" w:color="auto" w:fill="FFFFFF"/>
            <w:noWrap/>
            <w:vAlign w:val="center"/>
            <w:hideMark/>
          </w:tcPr>
          <w:p w:rsidR="007A53B8" w:rsidRPr="00B13FD5" w:rsidRDefault="007A53B8" w:rsidP="00911364">
            <w:pP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MTF</w:t>
            </w:r>
          </w:p>
        </w:tc>
        <w:tc>
          <w:tcPr>
            <w:tcW w:w="992"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32 749</w:t>
            </w:r>
          </w:p>
        </w:tc>
        <w:tc>
          <w:tcPr>
            <w:tcW w:w="1299"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35 024</w:t>
            </w:r>
          </w:p>
        </w:tc>
        <w:tc>
          <w:tcPr>
            <w:tcW w:w="790"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7 419</w:t>
            </w:r>
          </w:p>
        </w:tc>
        <w:tc>
          <w:tcPr>
            <w:tcW w:w="1011"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75 192</w:t>
            </w:r>
          </w:p>
        </w:tc>
        <w:tc>
          <w:tcPr>
            <w:tcW w:w="992"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35 957</w:t>
            </w:r>
          </w:p>
        </w:tc>
        <w:tc>
          <w:tcPr>
            <w:tcW w:w="1276"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35 980</w:t>
            </w:r>
          </w:p>
        </w:tc>
        <w:tc>
          <w:tcPr>
            <w:tcW w:w="813"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3 860</w:t>
            </w:r>
          </w:p>
        </w:tc>
        <w:tc>
          <w:tcPr>
            <w:tcW w:w="917" w:type="dxa"/>
            <w:noWrap/>
            <w:vAlign w:val="bottom"/>
            <w:hideMark/>
          </w:tcPr>
          <w:p w:rsidR="007A53B8" w:rsidRPr="00B13FD5" w:rsidRDefault="007A53B8" w:rsidP="00911364">
            <w:pPr>
              <w:jc w:val="center"/>
              <w:rPr>
                <w:rFonts w:asciiTheme="minorHAnsi" w:eastAsia="Calibri" w:hAnsiTheme="minorHAnsi" w:cs="Calibri"/>
                <w:sz w:val="20"/>
                <w:szCs w:val="20"/>
                <w:lang w:eastAsia="sk-SK"/>
              </w:rPr>
            </w:pPr>
            <w:r w:rsidRPr="00B13FD5">
              <w:rPr>
                <w:rFonts w:asciiTheme="minorHAnsi" w:eastAsia="Calibri" w:hAnsiTheme="minorHAnsi" w:cs="Calibri"/>
                <w:sz w:val="20"/>
                <w:szCs w:val="20"/>
                <w:lang w:eastAsia="sk-SK"/>
              </w:rPr>
              <w:t>75 797</w:t>
            </w:r>
          </w:p>
        </w:tc>
      </w:tr>
      <w:tr w:rsidR="007A53B8" w:rsidRPr="00B13FD5" w:rsidTr="00911364">
        <w:trPr>
          <w:trHeight w:val="420"/>
        </w:trPr>
        <w:tc>
          <w:tcPr>
            <w:tcW w:w="1433" w:type="dxa"/>
            <w:shd w:val="clear" w:color="auto" w:fill="D9D9D9" w:themeFill="background1" w:themeFillShade="D9"/>
            <w:noWrap/>
            <w:vAlign w:val="center"/>
            <w:hideMark/>
          </w:tcPr>
          <w:p w:rsidR="007A53B8" w:rsidRPr="00B13FD5" w:rsidRDefault="007A53B8" w:rsidP="00911364">
            <w:pP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Spolu</w:t>
            </w:r>
          </w:p>
        </w:tc>
        <w:tc>
          <w:tcPr>
            <w:tcW w:w="992" w:type="dxa"/>
            <w:shd w:val="clear" w:color="auto" w:fill="D9D9D9" w:themeFill="background1" w:themeFillShade="D9"/>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424 557</w:t>
            </w:r>
          </w:p>
        </w:tc>
        <w:tc>
          <w:tcPr>
            <w:tcW w:w="1299" w:type="dxa"/>
            <w:shd w:val="clear" w:color="auto" w:fill="D9D9D9" w:themeFill="background1" w:themeFillShade="D9"/>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226 218</w:t>
            </w:r>
          </w:p>
        </w:tc>
        <w:tc>
          <w:tcPr>
            <w:tcW w:w="790" w:type="dxa"/>
            <w:shd w:val="clear" w:color="auto" w:fill="D9D9D9" w:themeFill="background1" w:themeFillShade="D9"/>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20 079</w:t>
            </w:r>
          </w:p>
        </w:tc>
        <w:tc>
          <w:tcPr>
            <w:tcW w:w="1011" w:type="dxa"/>
            <w:shd w:val="clear" w:color="auto" w:fill="D9D9D9" w:themeFill="background1" w:themeFillShade="D9"/>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670 854</w:t>
            </w:r>
          </w:p>
        </w:tc>
        <w:tc>
          <w:tcPr>
            <w:tcW w:w="992" w:type="dxa"/>
            <w:shd w:val="clear" w:color="auto" w:fill="D9D9D9" w:themeFill="background1" w:themeFillShade="D9"/>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457 070</w:t>
            </w:r>
          </w:p>
        </w:tc>
        <w:tc>
          <w:tcPr>
            <w:tcW w:w="1276" w:type="dxa"/>
            <w:shd w:val="clear" w:color="auto" w:fill="D9D9D9" w:themeFill="background1" w:themeFillShade="D9"/>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235 980</w:t>
            </w:r>
          </w:p>
        </w:tc>
        <w:tc>
          <w:tcPr>
            <w:tcW w:w="813" w:type="dxa"/>
            <w:shd w:val="clear" w:color="auto" w:fill="D9D9D9" w:themeFill="background1" w:themeFillShade="D9"/>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18 230</w:t>
            </w:r>
          </w:p>
        </w:tc>
        <w:tc>
          <w:tcPr>
            <w:tcW w:w="917" w:type="dxa"/>
            <w:shd w:val="clear" w:color="auto" w:fill="D9D9D9" w:themeFill="background1" w:themeFillShade="D9"/>
            <w:noWrap/>
            <w:vAlign w:val="center"/>
            <w:hideMark/>
          </w:tcPr>
          <w:p w:rsidR="007A53B8" w:rsidRPr="00B13FD5" w:rsidRDefault="007A53B8" w:rsidP="00911364">
            <w:pPr>
              <w:jc w:val="center"/>
              <w:rPr>
                <w:rFonts w:asciiTheme="minorHAnsi" w:eastAsia="Calibri" w:hAnsiTheme="minorHAnsi" w:cs="Calibri"/>
                <w:b/>
                <w:bCs/>
                <w:sz w:val="20"/>
                <w:szCs w:val="20"/>
                <w:lang w:eastAsia="sk-SK"/>
              </w:rPr>
            </w:pPr>
            <w:r w:rsidRPr="00B13FD5">
              <w:rPr>
                <w:rFonts w:asciiTheme="minorHAnsi" w:eastAsia="Calibri" w:hAnsiTheme="minorHAnsi" w:cs="Calibri"/>
                <w:b/>
                <w:bCs/>
                <w:sz w:val="20"/>
                <w:szCs w:val="20"/>
                <w:lang w:eastAsia="sk-SK"/>
              </w:rPr>
              <w:t>711 280</w:t>
            </w:r>
          </w:p>
        </w:tc>
      </w:tr>
    </w:tbl>
    <w:p w:rsidR="007A53B8" w:rsidRPr="00B13FD5" w:rsidRDefault="007A53B8" w:rsidP="007A53B8">
      <w:pPr>
        <w:rPr>
          <w:rFonts w:asciiTheme="minorHAnsi" w:hAnsiTheme="minorHAnsi"/>
          <w:b/>
          <w:bCs/>
          <w:sz w:val="20"/>
          <w:szCs w:val="20"/>
          <w:shd w:val="clear" w:color="auto" w:fill="FFFFFF"/>
        </w:rPr>
      </w:pPr>
    </w:p>
    <w:p w:rsidR="007A53B8" w:rsidRPr="002D7A10" w:rsidRDefault="007A53B8" w:rsidP="007A53B8">
      <w:pPr>
        <w:rPr>
          <w:rFonts w:asciiTheme="minorHAnsi" w:hAnsiTheme="minorHAnsi"/>
          <w:lang w:eastAsia="cs-CZ"/>
        </w:rPr>
      </w:pPr>
    </w:p>
    <w:p w:rsidR="00B51749" w:rsidRPr="002D7A10" w:rsidRDefault="00B51749" w:rsidP="00B51749">
      <w:pPr>
        <w:pStyle w:val="Nadpis2"/>
        <w:rPr>
          <w:rFonts w:asciiTheme="minorHAnsi" w:hAnsiTheme="minorHAnsi"/>
          <w:color w:val="auto"/>
          <w:sz w:val="24"/>
          <w:szCs w:val="24"/>
        </w:rPr>
      </w:pPr>
      <w:bookmarkStart w:id="56" w:name="_Toc448261597"/>
      <w:r w:rsidRPr="002D7A10">
        <w:rPr>
          <w:rFonts w:asciiTheme="minorHAnsi" w:hAnsiTheme="minorHAnsi"/>
          <w:color w:val="auto"/>
          <w:sz w:val="24"/>
          <w:szCs w:val="24"/>
        </w:rPr>
        <w:t>Študentské organizácie</w:t>
      </w:r>
      <w:bookmarkEnd w:id="56"/>
    </w:p>
    <w:p w:rsidR="003E33C5" w:rsidRDefault="00524D22" w:rsidP="003E33C5">
      <w:pPr>
        <w:spacing w:after="120"/>
        <w:rPr>
          <w:rFonts w:asciiTheme="minorHAnsi" w:hAnsiTheme="minorHAnsi" w:cs="Calibri"/>
        </w:rPr>
      </w:pPr>
      <w:r w:rsidRPr="002D7A10">
        <w:rPr>
          <w:rFonts w:asciiTheme="minorHAnsi" w:hAnsiTheme="minorHAnsi" w:cs="Calibri"/>
        </w:rPr>
        <w:t xml:space="preserve">Na STU pôsobí viacero študentských organizácií. Ich úlohou je organizovať </w:t>
      </w:r>
      <w:proofErr w:type="spellStart"/>
      <w:r w:rsidRPr="002D7A10">
        <w:rPr>
          <w:rFonts w:asciiTheme="minorHAnsi" w:hAnsiTheme="minorHAnsi" w:cs="Calibri"/>
        </w:rPr>
        <w:t>voľnočasové</w:t>
      </w:r>
      <w:proofErr w:type="spellEnd"/>
      <w:r w:rsidRPr="002D7A10">
        <w:rPr>
          <w:rFonts w:asciiTheme="minorHAnsi" w:hAnsiTheme="minorHAnsi" w:cs="Calibri"/>
        </w:rPr>
        <w:t xml:space="preserve"> aktivity študentov, rozvíjať osobnosť študentov v oblasti športu a kultúry ako aj prispievať k ich odbornému rastu. Študentské organizácie sa podieľajú aj na medzinárodných či domácich mobilitách študentov, doučovaní a tiež na humánne orientovaných akciách</w:t>
      </w:r>
      <w:r w:rsidR="003E33C5">
        <w:rPr>
          <w:rFonts w:asciiTheme="minorHAnsi" w:hAnsiTheme="minorHAnsi" w:cs="Calibri"/>
        </w:rPr>
        <w:t xml:space="preserve"> ako je napr. darcovstvo krvi. </w:t>
      </w:r>
    </w:p>
    <w:p w:rsidR="00524D22" w:rsidRPr="00FC30E5" w:rsidRDefault="00FC30E5" w:rsidP="003E33C5">
      <w:pPr>
        <w:spacing w:after="120"/>
        <w:rPr>
          <w:rFonts w:asciiTheme="minorHAnsi" w:hAnsiTheme="minorHAnsi" w:cs="Calibri"/>
          <w:b/>
          <w:sz w:val="20"/>
          <w:szCs w:val="20"/>
        </w:rPr>
      </w:pPr>
      <w:r w:rsidRPr="00FC30E5">
        <w:rPr>
          <w:rFonts w:asciiTheme="minorHAnsi" w:hAnsiTheme="minorHAnsi" w:cs="Calibri"/>
          <w:b/>
          <w:sz w:val="20"/>
          <w:szCs w:val="20"/>
        </w:rPr>
        <w:t>Tabuľka 8.7:</w:t>
      </w:r>
      <w:r w:rsidR="00524D22" w:rsidRPr="00FC30E5">
        <w:rPr>
          <w:rFonts w:asciiTheme="minorHAnsi" w:hAnsiTheme="minorHAnsi" w:cs="Calibri"/>
          <w:b/>
          <w:sz w:val="20"/>
          <w:szCs w:val="20"/>
        </w:rPr>
        <w:t>Prehľad študentských organizácií pôsobiacich na STU:</w:t>
      </w:r>
    </w:p>
    <w:tbl>
      <w:tblPr>
        <w:tblW w:w="9356" w:type="dxa"/>
        <w:tblInd w:w="108" w:type="dxa"/>
        <w:tblLook w:val="04A0" w:firstRow="1" w:lastRow="0" w:firstColumn="1" w:lastColumn="0" w:noHBand="0" w:noVBand="1"/>
      </w:tblPr>
      <w:tblGrid>
        <w:gridCol w:w="4643"/>
        <w:gridCol w:w="4713"/>
      </w:tblGrid>
      <w:tr w:rsidR="00524D22" w:rsidRPr="003E33C5" w:rsidTr="00911364">
        <w:tc>
          <w:tcPr>
            <w:tcW w:w="4643" w:type="dxa"/>
            <w:tcBorders>
              <w:top w:val="single" w:sz="4" w:space="0" w:color="auto"/>
              <w:left w:val="single" w:sz="4" w:space="0" w:color="auto"/>
              <w:bottom w:val="single" w:sz="4" w:space="0" w:color="auto"/>
              <w:right w:val="single" w:sz="4" w:space="0" w:color="auto"/>
            </w:tcBorders>
            <w:hideMark/>
          </w:tcPr>
          <w:p w:rsidR="00524D22" w:rsidRPr="003E33C5" w:rsidRDefault="00524D22" w:rsidP="00D31559">
            <w:pPr>
              <w:pStyle w:val="Odsekzoznamu"/>
              <w:numPr>
                <w:ilvl w:val="0"/>
                <w:numId w:val="5"/>
              </w:numPr>
              <w:shd w:val="clear" w:color="auto" w:fill="FFFFFF"/>
              <w:spacing w:after="0" w:line="240" w:lineRule="auto"/>
              <w:ind w:left="426"/>
              <w:jc w:val="left"/>
              <w:rPr>
                <w:rFonts w:asciiTheme="minorHAnsi" w:hAnsiTheme="minorHAnsi" w:cs="Arial"/>
                <w:sz w:val="20"/>
                <w:szCs w:val="20"/>
              </w:rPr>
            </w:pPr>
            <w:r w:rsidRPr="003E33C5">
              <w:rPr>
                <w:rFonts w:asciiTheme="minorHAnsi" w:hAnsiTheme="minorHAnsi" w:cs="Arial"/>
                <w:bCs/>
                <w:sz w:val="20"/>
                <w:szCs w:val="20"/>
              </w:rPr>
              <w:t>Študentská rada vysokých škôl</w:t>
            </w:r>
          </w:p>
          <w:p w:rsidR="00524D22" w:rsidRPr="003E33C5" w:rsidRDefault="00524D22" w:rsidP="00D31559">
            <w:pPr>
              <w:pStyle w:val="Odsekzoznamu"/>
              <w:numPr>
                <w:ilvl w:val="0"/>
                <w:numId w:val="5"/>
              </w:numPr>
              <w:shd w:val="clear" w:color="auto" w:fill="FFFFFF"/>
              <w:spacing w:after="0" w:line="240" w:lineRule="auto"/>
              <w:ind w:left="426"/>
              <w:jc w:val="left"/>
              <w:rPr>
                <w:rFonts w:asciiTheme="minorHAnsi" w:hAnsiTheme="minorHAnsi" w:cs="Arial"/>
                <w:sz w:val="20"/>
                <w:szCs w:val="20"/>
              </w:rPr>
            </w:pPr>
            <w:r w:rsidRPr="003E33C5">
              <w:rPr>
                <w:rFonts w:asciiTheme="minorHAnsi" w:hAnsiTheme="minorHAnsi" w:cs="Arial"/>
                <w:bCs/>
                <w:sz w:val="20"/>
                <w:szCs w:val="20"/>
              </w:rPr>
              <w:t>Študentský cech strojárov</w:t>
            </w:r>
          </w:p>
          <w:p w:rsidR="00524D22" w:rsidRPr="003E33C5" w:rsidRDefault="00524D22" w:rsidP="00D31559">
            <w:pPr>
              <w:pStyle w:val="Odsekzoznamu"/>
              <w:numPr>
                <w:ilvl w:val="0"/>
                <w:numId w:val="5"/>
              </w:numPr>
              <w:shd w:val="clear" w:color="auto" w:fill="FFFFFF"/>
              <w:spacing w:after="0" w:line="240" w:lineRule="auto"/>
              <w:ind w:left="426"/>
              <w:jc w:val="left"/>
              <w:rPr>
                <w:rFonts w:asciiTheme="minorHAnsi" w:hAnsiTheme="minorHAnsi" w:cs="Arial"/>
                <w:sz w:val="20"/>
                <w:szCs w:val="20"/>
              </w:rPr>
            </w:pPr>
            <w:r w:rsidRPr="003E33C5">
              <w:rPr>
                <w:rFonts w:asciiTheme="minorHAnsi" w:hAnsiTheme="minorHAnsi" w:cs="Arial"/>
                <w:bCs/>
                <w:sz w:val="20"/>
                <w:szCs w:val="20"/>
              </w:rPr>
              <w:t>Študentský cech chemikov - Študentský parlament FCHPT</w:t>
            </w:r>
          </w:p>
          <w:p w:rsidR="00524D22" w:rsidRPr="003E33C5" w:rsidRDefault="00524D22" w:rsidP="00D31559">
            <w:pPr>
              <w:pStyle w:val="Odsekzoznamu"/>
              <w:numPr>
                <w:ilvl w:val="0"/>
                <w:numId w:val="5"/>
              </w:numPr>
              <w:shd w:val="clear" w:color="auto" w:fill="FFFFFF"/>
              <w:spacing w:after="0" w:line="240" w:lineRule="auto"/>
              <w:ind w:left="426"/>
              <w:jc w:val="left"/>
              <w:rPr>
                <w:rFonts w:asciiTheme="minorHAnsi" w:hAnsiTheme="minorHAnsi" w:cs="Arial"/>
                <w:sz w:val="20"/>
                <w:szCs w:val="20"/>
              </w:rPr>
            </w:pPr>
            <w:r w:rsidRPr="003E33C5">
              <w:rPr>
                <w:rFonts w:asciiTheme="minorHAnsi" w:hAnsiTheme="minorHAnsi" w:cs="Arial"/>
                <w:bCs/>
                <w:sz w:val="20"/>
                <w:szCs w:val="20"/>
              </w:rPr>
              <w:t>Študentský parlament elektrotechnikov a Informatikov</w:t>
            </w:r>
          </w:p>
          <w:p w:rsidR="00524D22" w:rsidRPr="003E33C5" w:rsidRDefault="00524D22" w:rsidP="00D31559">
            <w:pPr>
              <w:pStyle w:val="Odsekzoznamu"/>
              <w:numPr>
                <w:ilvl w:val="0"/>
                <w:numId w:val="5"/>
              </w:numPr>
              <w:shd w:val="clear" w:color="auto" w:fill="FFFFFF"/>
              <w:spacing w:after="0" w:line="240" w:lineRule="auto"/>
              <w:ind w:left="426"/>
              <w:jc w:val="left"/>
              <w:rPr>
                <w:rFonts w:asciiTheme="minorHAnsi" w:hAnsiTheme="minorHAnsi" w:cs="Arial"/>
                <w:sz w:val="20"/>
                <w:szCs w:val="20"/>
              </w:rPr>
            </w:pPr>
            <w:r w:rsidRPr="003E33C5">
              <w:rPr>
                <w:rFonts w:asciiTheme="minorHAnsi" w:hAnsiTheme="minorHAnsi" w:cs="Arial"/>
                <w:bCs/>
                <w:sz w:val="20"/>
                <w:szCs w:val="20"/>
              </w:rPr>
              <w:t>Študentský parlament Fakulty architektúry</w:t>
            </w:r>
          </w:p>
          <w:p w:rsidR="00524D22" w:rsidRPr="003E33C5" w:rsidRDefault="00524D22" w:rsidP="00D31559">
            <w:pPr>
              <w:pStyle w:val="Odsekzoznamu"/>
              <w:numPr>
                <w:ilvl w:val="0"/>
                <w:numId w:val="5"/>
              </w:numPr>
              <w:shd w:val="clear" w:color="auto" w:fill="FFFFFF"/>
              <w:spacing w:after="0" w:line="240" w:lineRule="auto"/>
              <w:ind w:left="426"/>
              <w:jc w:val="left"/>
              <w:rPr>
                <w:rFonts w:asciiTheme="minorHAnsi" w:hAnsiTheme="minorHAnsi" w:cs="Arial"/>
                <w:sz w:val="20"/>
                <w:szCs w:val="20"/>
              </w:rPr>
            </w:pPr>
            <w:r w:rsidRPr="003E33C5">
              <w:rPr>
                <w:rFonts w:asciiTheme="minorHAnsi" w:hAnsiTheme="minorHAnsi" w:cs="Arial"/>
                <w:bCs/>
                <w:sz w:val="20"/>
                <w:szCs w:val="20"/>
              </w:rPr>
              <w:t>Študentský parlament MTF</w:t>
            </w:r>
          </w:p>
          <w:p w:rsidR="00524D22" w:rsidRPr="003E33C5" w:rsidRDefault="00524D22" w:rsidP="00D31559">
            <w:pPr>
              <w:pStyle w:val="Odsekzoznamu"/>
              <w:numPr>
                <w:ilvl w:val="0"/>
                <w:numId w:val="5"/>
              </w:numPr>
              <w:shd w:val="clear" w:color="auto" w:fill="FFFFFF"/>
              <w:spacing w:after="0" w:line="240" w:lineRule="auto"/>
              <w:ind w:left="426"/>
              <w:jc w:val="left"/>
              <w:rPr>
                <w:rFonts w:asciiTheme="minorHAnsi" w:hAnsiTheme="minorHAnsi" w:cs="Arial"/>
                <w:sz w:val="20"/>
                <w:szCs w:val="20"/>
              </w:rPr>
            </w:pPr>
            <w:r w:rsidRPr="003E33C5">
              <w:rPr>
                <w:rFonts w:asciiTheme="minorHAnsi" w:hAnsiTheme="minorHAnsi" w:cs="Arial"/>
                <w:bCs/>
                <w:sz w:val="20"/>
                <w:szCs w:val="20"/>
              </w:rPr>
              <w:t>Študentský parlament Ústavu manažmentu</w:t>
            </w:r>
          </w:p>
          <w:p w:rsidR="00524D22" w:rsidRPr="003E33C5" w:rsidRDefault="00524D22" w:rsidP="00D31559">
            <w:pPr>
              <w:pStyle w:val="Odsekzoznamu"/>
              <w:numPr>
                <w:ilvl w:val="0"/>
                <w:numId w:val="5"/>
              </w:numPr>
              <w:shd w:val="clear" w:color="auto" w:fill="FFFFFF"/>
              <w:spacing w:after="0" w:line="240" w:lineRule="auto"/>
              <w:ind w:left="426"/>
              <w:jc w:val="left"/>
              <w:rPr>
                <w:rFonts w:asciiTheme="minorHAnsi" w:hAnsiTheme="minorHAnsi" w:cs="Arial"/>
                <w:sz w:val="20"/>
                <w:szCs w:val="20"/>
              </w:rPr>
            </w:pPr>
            <w:r w:rsidRPr="003E33C5">
              <w:rPr>
                <w:rFonts w:asciiTheme="minorHAnsi" w:hAnsiTheme="minorHAnsi" w:cs="Arial"/>
                <w:bCs/>
                <w:sz w:val="20"/>
                <w:szCs w:val="20"/>
              </w:rPr>
              <w:t xml:space="preserve">Združenie študentov </w:t>
            </w:r>
            <w:r w:rsidR="003E33C5" w:rsidRPr="003E33C5">
              <w:rPr>
                <w:rFonts w:asciiTheme="minorHAnsi" w:hAnsiTheme="minorHAnsi" w:cs="Arial"/>
                <w:bCs/>
                <w:sz w:val="20"/>
                <w:szCs w:val="20"/>
              </w:rPr>
              <w:t>SvF</w:t>
            </w:r>
            <w:r w:rsidRPr="003E33C5">
              <w:rPr>
                <w:rFonts w:asciiTheme="minorHAnsi" w:hAnsiTheme="minorHAnsi" w:cs="Arial"/>
                <w:bCs/>
                <w:sz w:val="20"/>
                <w:szCs w:val="20"/>
              </w:rPr>
              <w:t xml:space="preserve"> STU</w:t>
            </w:r>
          </w:p>
          <w:p w:rsidR="00524D22" w:rsidRPr="003E33C5" w:rsidRDefault="00524D22" w:rsidP="00D31559">
            <w:pPr>
              <w:pStyle w:val="Odsekzoznamu"/>
              <w:numPr>
                <w:ilvl w:val="0"/>
                <w:numId w:val="5"/>
              </w:numPr>
              <w:shd w:val="clear" w:color="auto" w:fill="FFFFFF"/>
              <w:spacing w:after="0" w:line="240" w:lineRule="auto"/>
              <w:ind w:left="426"/>
              <w:jc w:val="left"/>
              <w:rPr>
                <w:rFonts w:asciiTheme="minorHAnsi" w:hAnsiTheme="minorHAnsi" w:cs="Arial"/>
                <w:bCs/>
                <w:sz w:val="20"/>
                <w:szCs w:val="20"/>
              </w:rPr>
            </w:pPr>
            <w:r w:rsidRPr="003E33C5">
              <w:rPr>
                <w:rFonts w:asciiTheme="minorHAnsi" w:hAnsiTheme="minorHAnsi" w:cs="Arial"/>
                <w:bCs/>
                <w:sz w:val="20"/>
                <w:szCs w:val="20"/>
              </w:rPr>
              <w:t xml:space="preserve">AM Team – študentská formula </w:t>
            </w:r>
          </w:p>
          <w:p w:rsidR="00524D22" w:rsidRPr="003E33C5" w:rsidRDefault="00524D22" w:rsidP="00D31559">
            <w:pPr>
              <w:pStyle w:val="Odsekzoznamu"/>
              <w:numPr>
                <w:ilvl w:val="0"/>
                <w:numId w:val="5"/>
              </w:numPr>
              <w:shd w:val="clear" w:color="auto" w:fill="FFFFFF"/>
              <w:spacing w:after="0" w:line="240" w:lineRule="auto"/>
              <w:ind w:left="426"/>
              <w:jc w:val="left"/>
              <w:rPr>
                <w:rFonts w:asciiTheme="minorHAnsi" w:hAnsiTheme="minorHAnsi" w:cs="Arial"/>
                <w:bCs/>
                <w:sz w:val="20"/>
                <w:szCs w:val="20"/>
              </w:rPr>
            </w:pPr>
            <w:r w:rsidRPr="003E33C5">
              <w:rPr>
                <w:rFonts w:asciiTheme="minorHAnsi" w:hAnsiTheme="minorHAnsi" w:cs="Arial"/>
                <w:bCs/>
                <w:sz w:val="20"/>
                <w:szCs w:val="20"/>
              </w:rPr>
              <w:t xml:space="preserve">FME </w:t>
            </w:r>
            <w:proofErr w:type="spellStart"/>
            <w:r w:rsidRPr="003E33C5">
              <w:rPr>
                <w:rFonts w:asciiTheme="minorHAnsi" w:hAnsiTheme="minorHAnsi" w:cs="Arial"/>
                <w:bCs/>
                <w:sz w:val="20"/>
                <w:szCs w:val="20"/>
              </w:rPr>
              <w:t>Rancing</w:t>
            </w:r>
            <w:proofErr w:type="spellEnd"/>
            <w:r w:rsidRPr="003E33C5">
              <w:rPr>
                <w:rFonts w:asciiTheme="minorHAnsi" w:hAnsiTheme="minorHAnsi" w:cs="Arial"/>
                <w:bCs/>
                <w:sz w:val="20"/>
                <w:szCs w:val="20"/>
              </w:rPr>
              <w:t xml:space="preserve"> Team</w:t>
            </w:r>
          </w:p>
          <w:p w:rsidR="00524D22" w:rsidRPr="003E33C5" w:rsidRDefault="00524D22" w:rsidP="00D31559">
            <w:pPr>
              <w:pStyle w:val="Odsekzoznamu"/>
              <w:numPr>
                <w:ilvl w:val="0"/>
                <w:numId w:val="5"/>
              </w:numPr>
              <w:shd w:val="clear" w:color="auto" w:fill="FFFFFF"/>
              <w:spacing w:after="0" w:line="240" w:lineRule="auto"/>
              <w:ind w:left="426"/>
              <w:jc w:val="left"/>
              <w:rPr>
                <w:rFonts w:asciiTheme="minorHAnsi" w:hAnsiTheme="minorHAnsi" w:cs="Arial"/>
                <w:bCs/>
                <w:sz w:val="20"/>
                <w:szCs w:val="20"/>
              </w:rPr>
            </w:pPr>
            <w:r w:rsidRPr="003E33C5">
              <w:rPr>
                <w:rFonts w:asciiTheme="minorHAnsi" w:hAnsiTheme="minorHAnsi" w:cs="Arial"/>
                <w:bCs/>
                <w:sz w:val="20"/>
                <w:szCs w:val="20"/>
              </w:rPr>
              <w:t xml:space="preserve">STUBA </w:t>
            </w:r>
            <w:proofErr w:type="spellStart"/>
            <w:r w:rsidRPr="003E33C5">
              <w:rPr>
                <w:rFonts w:asciiTheme="minorHAnsi" w:hAnsiTheme="minorHAnsi" w:cs="Arial"/>
                <w:bCs/>
                <w:sz w:val="20"/>
                <w:szCs w:val="20"/>
              </w:rPr>
              <w:t>Green</w:t>
            </w:r>
            <w:proofErr w:type="spellEnd"/>
            <w:r w:rsidRPr="003E33C5">
              <w:rPr>
                <w:rFonts w:asciiTheme="minorHAnsi" w:hAnsiTheme="minorHAnsi" w:cs="Arial"/>
                <w:bCs/>
                <w:sz w:val="20"/>
                <w:szCs w:val="20"/>
              </w:rPr>
              <w:t xml:space="preserve"> Team – študentská formula</w:t>
            </w:r>
          </w:p>
          <w:p w:rsidR="00524D22" w:rsidRPr="003E33C5" w:rsidRDefault="00524D22" w:rsidP="00D31559">
            <w:pPr>
              <w:pStyle w:val="Odsekzoznamu"/>
              <w:numPr>
                <w:ilvl w:val="0"/>
                <w:numId w:val="5"/>
              </w:numPr>
              <w:shd w:val="clear" w:color="auto" w:fill="FFFFFF"/>
              <w:spacing w:after="0" w:line="240" w:lineRule="auto"/>
              <w:ind w:left="426"/>
              <w:jc w:val="left"/>
              <w:rPr>
                <w:rFonts w:asciiTheme="minorHAnsi" w:hAnsiTheme="minorHAnsi" w:cs="Arial"/>
                <w:bCs/>
                <w:sz w:val="20"/>
                <w:szCs w:val="20"/>
              </w:rPr>
            </w:pPr>
            <w:r w:rsidRPr="003E33C5">
              <w:rPr>
                <w:rFonts w:asciiTheme="minorHAnsi" w:hAnsiTheme="minorHAnsi" w:cs="Arial"/>
                <w:bCs/>
                <w:sz w:val="20"/>
                <w:szCs w:val="20"/>
              </w:rPr>
              <w:lastRenderedPageBreak/>
              <w:t>AIESEC Bratislava</w:t>
            </w:r>
          </w:p>
          <w:p w:rsidR="00524D22" w:rsidRPr="003E33C5" w:rsidRDefault="00524D22" w:rsidP="00911364">
            <w:pPr>
              <w:shd w:val="clear" w:color="auto" w:fill="FFFFFF"/>
              <w:ind w:left="66"/>
              <w:rPr>
                <w:rFonts w:asciiTheme="minorHAnsi" w:hAnsiTheme="minorHAnsi" w:cs="Arial"/>
                <w:bCs/>
                <w:sz w:val="20"/>
                <w:szCs w:val="20"/>
              </w:rPr>
            </w:pPr>
          </w:p>
        </w:tc>
        <w:tc>
          <w:tcPr>
            <w:tcW w:w="4713" w:type="dxa"/>
            <w:tcBorders>
              <w:top w:val="single" w:sz="4" w:space="0" w:color="auto"/>
              <w:left w:val="single" w:sz="4" w:space="0" w:color="auto"/>
              <w:bottom w:val="single" w:sz="4" w:space="0" w:color="auto"/>
              <w:right w:val="single" w:sz="4" w:space="0" w:color="auto"/>
            </w:tcBorders>
            <w:hideMark/>
          </w:tcPr>
          <w:p w:rsidR="00524D22" w:rsidRPr="003E33C5" w:rsidRDefault="00524D22" w:rsidP="00D31559">
            <w:pPr>
              <w:pStyle w:val="Odsekzoznamu"/>
              <w:numPr>
                <w:ilvl w:val="0"/>
                <w:numId w:val="5"/>
              </w:numPr>
              <w:shd w:val="clear" w:color="auto" w:fill="FFFFFF"/>
              <w:spacing w:after="0" w:line="240" w:lineRule="auto"/>
              <w:ind w:left="356"/>
              <w:jc w:val="left"/>
              <w:rPr>
                <w:rFonts w:asciiTheme="minorHAnsi" w:hAnsiTheme="minorHAnsi" w:cs="Arial"/>
                <w:sz w:val="20"/>
                <w:szCs w:val="20"/>
              </w:rPr>
            </w:pPr>
            <w:r w:rsidRPr="003E33C5">
              <w:rPr>
                <w:rFonts w:asciiTheme="minorHAnsi" w:hAnsiTheme="minorHAnsi" w:cs="Arial"/>
                <w:bCs/>
                <w:sz w:val="20"/>
                <w:szCs w:val="20"/>
              </w:rPr>
              <w:lastRenderedPageBreak/>
              <w:t xml:space="preserve">BEST - </w:t>
            </w:r>
            <w:proofErr w:type="spellStart"/>
            <w:r w:rsidRPr="003E33C5">
              <w:rPr>
                <w:rFonts w:asciiTheme="minorHAnsi" w:hAnsiTheme="minorHAnsi" w:cs="Arial"/>
                <w:bCs/>
                <w:sz w:val="20"/>
                <w:szCs w:val="20"/>
              </w:rPr>
              <w:t>Board</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of</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European</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Students</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of</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Technology</w:t>
            </w:r>
            <w:proofErr w:type="spellEnd"/>
            <w:r w:rsidRPr="003E33C5">
              <w:rPr>
                <w:rFonts w:asciiTheme="minorHAnsi" w:hAnsiTheme="minorHAnsi" w:cs="Arial"/>
                <w:bCs/>
                <w:sz w:val="20"/>
                <w:szCs w:val="20"/>
              </w:rPr>
              <w:t xml:space="preserve"> </w:t>
            </w:r>
          </w:p>
          <w:p w:rsidR="00524D22" w:rsidRPr="003E33C5" w:rsidRDefault="00524D22" w:rsidP="00D31559">
            <w:pPr>
              <w:pStyle w:val="Odsekzoznamu"/>
              <w:numPr>
                <w:ilvl w:val="0"/>
                <w:numId w:val="5"/>
              </w:numPr>
              <w:shd w:val="clear" w:color="auto" w:fill="FFFFFF"/>
              <w:spacing w:after="0" w:line="240" w:lineRule="auto"/>
              <w:ind w:left="356"/>
              <w:jc w:val="left"/>
              <w:rPr>
                <w:rFonts w:asciiTheme="minorHAnsi" w:hAnsiTheme="minorHAnsi" w:cs="Arial"/>
                <w:sz w:val="20"/>
                <w:szCs w:val="20"/>
              </w:rPr>
            </w:pPr>
            <w:proofErr w:type="spellStart"/>
            <w:r w:rsidRPr="003E33C5">
              <w:rPr>
                <w:rFonts w:asciiTheme="minorHAnsi" w:hAnsiTheme="minorHAnsi" w:cs="Arial"/>
                <w:bCs/>
                <w:sz w:val="20"/>
                <w:szCs w:val="20"/>
              </w:rPr>
              <w:t>Elam</w:t>
            </w:r>
            <w:proofErr w:type="spellEnd"/>
          </w:p>
          <w:p w:rsidR="00524D22" w:rsidRPr="003E33C5" w:rsidRDefault="00524D22" w:rsidP="00D31559">
            <w:pPr>
              <w:pStyle w:val="Odsekzoznamu"/>
              <w:numPr>
                <w:ilvl w:val="0"/>
                <w:numId w:val="5"/>
              </w:numPr>
              <w:shd w:val="clear" w:color="auto" w:fill="FFFFFF"/>
              <w:spacing w:after="0" w:line="240" w:lineRule="auto"/>
              <w:ind w:left="356"/>
              <w:jc w:val="left"/>
              <w:rPr>
                <w:rFonts w:asciiTheme="minorHAnsi" w:hAnsiTheme="minorHAnsi" w:cs="Arial"/>
                <w:sz w:val="20"/>
                <w:szCs w:val="20"/>
              </w:rPr>
            </w:pPr>
            <w:r w:rsidRPr="003E33C5">
              <w:rPr>
                <w:rFonts w:asciiTheme="minorHAnsi" w:hAnsiTheme="minorHAnsi" w:cs="Arial"/>
                <w:bCs/>
                <w:sz w:val="20"/>
                <w:szCs w:val="20"/>
              </w:rPr>
              <w:t xml:space="preserve">IAESTE - </w:t>
            </w:r>
            <w:proofErr w:type="spellStart"/>
            <w:r w:rsidRPr="003E33C5">
              <w:rPr>
                <w:rFonts w:asciiTheme="minorHAnsi" w:hAnsiTheme="minorHAnsi" w:cs="Arial"/>
                <w:bCs/>
                <w:sz w:val="20"/>
                <w:szCs w:val="20"/>
              </w:rPr>
              <w:t>The</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International</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Association</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for</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the</w:t>
            </w:r>
            <w:proofErr w:type="spellEnd"/>
            <w:r w:rsidRPr="003E33C5">
              <w:rPr>
                <w:rFonts w:asciiTheme="minorHAnsi" w:hAnsiTheme="minorHAnsi" w:cs="Arial"/>
                <w:bCs/>
                <w:sz w:val="20"/>
                <w:szCs w:val="20"/>
              </w:rPr>
              <w:t xml:space="preserve"> Exchange </w:t>
            </w:r>
            <w:proofErr w:type="spellStart"/>
            <w:r w:rsidRPr="003E33C5">
              <w:rPr>
                <w:rFonts w:asciiTheme="minorHAnsi" w:hAnsiTheme="minorHAnsi" w:cs="Arial"/>
                <w:bCs/>
                <w:sz w:val="20"/>
                <w:szCs w:val="20"/>
              </w:rPr>
              <w:t>of</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Students</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for</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Technical</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Experience</w:t>
            </w:r>
            <w:proofErr w:type="spellEnd"/>
          </w:p>
          <w:p w:rsidR="00524D22" w:rsidRPr="003E33C5" w:rsidRDefault="00524D22" w:rsidP="00D31559">
            <w:pPr>
              <w:pStyle w:val="Odsekzoznamu"/>
              <w:numPr>
                <w:ilvl w:val="0"/>
                <w:numId w:val="5"/>
              </w:numPr>
              <w:shd w:val="clear" w:color="auto" w:fill="FFFFFF"/>
              <w:spacing w:after="0" w:line="240" w:lineRule="auto"/>
              <w:ind w:left="356"/>
              <w:jc w:val="left"/>
              <w:rPr>
                <w:rFonts w:asciiTheme="minorHAnsi" w:hAnsiTheme="minorHAnsi" w:cs="Arial"/>
                <w:sz w:val="20"/>
                <w:szCs w:val="20"/>
              </w:rPr>
            </w:pPr>
            <w:proofErr w:type="spellStart"/>
            <w:r w:rsidRPr="003E33C5">
              <w:rPr>
                <w:rFonts w:asciiTheme="minorHAnsi" w:hAnsiTheme="minorHAnsi" w:cs="Arial"/>
                <w:sz w:val="20"/>
                <w:szCs w:val="20"/>
              </w:rPr>
              <w:t>Manageria</w:t>
            </w:r>
            <w:proofErr w:type="spellEnd"/>
          </w:p>
          <w:p w:rsidR="00524D22" w:rsidRPr="003E33C5" w:rsidRDefault="00524D22" w:rsidP="00D31559">
            <w:pPr>
              <w:pStyle w:val="Odsekzoznamu"/>
              <w:numPr>
                <w:ilvl w:val="0"/>
                <w:numId w:val="5"/>
              </w:numPr>
              <w:shd w:val="clear" w:color="auto" w:fill="FFFFFF"/>
              <w:spacing w:after="0" w:line="240" w:lineRule="auto"/>
              <w:ind w:left="356"/>
              <w:jc w:val="left"/>
              <w:rPr>
                <w:rFonts w:asciiTheme="minorHAnsi" w:hAnsiTheme="minorHAnsi" w:cs="Arial"/>
                <w:sz w:val="20"/>
                <w:szCs w:val="20"/>
              </w:rPr>
            </w:pPr>
            <w:r w:rsidRPr="003E33C5">
              <w:rPr>
                <w:rFonts w:asciiTheme="minorHAnsi" w:hAnsiTheme="minorHAnsi" w:cs="Arial"/>
                <w:bCs/>
                <w:sz w:val="20"/>
                <w:szCs w:val="20"/>
              </w:rPr>
              <w:t>Študentská televízia mc2</w:t>
            </w:r>
          </w:p>
          <w:p w:rsidR="00524D22" w:rsidRPr="003E33C5" w:rsidRDefault="00524D22" w:rsidP="00D31559">
            <w:pPr>
              <w:pStyle w:val="Odsekzoznamu"/>
              <w:numPr>
                <w:ilvl w:val="0"/>
                <w:numId w:val="5"/>
              </w:numPr>
              <w:shd w:val="clear" w:color="auto" w:fill="FFFFFF"/>
              <w:spacing w:after="0" w:line="240" w:lineRule="auto"/>
              <w:ind w:left="356"/>
              <w:jc w:val="left"/>
              <w:rPr>
                <w:rFonts w:asciiTheme="minorHAnsi" w:hAnsiTheme="minorHAnsi" w:cs="Arial"/>
                <w:sz w:val="20"/>
                <w:szCs w:val="20"/>
              </w:rPr>
            </w:pPr>
            <w:r w:rsidRPr="003E33C5">
              <w:rPr>
                <w:rFonts w:asciiTheme="minorHAnsi" w:hAnsiTheme="minorHAnsi" w:cs="Arial"/>
                <w:bCs/>
                <w:sz w:val="20"/>
                <w:szCs w:val="20"/>
              </w:rPr>
              <w:t>Študentský časopis OKO</w:t>
            </w:r>
          </w:p>
          <w:p w:rsidR="00524D22" w:rsidRPr="003E33C5" w:rsidRDefault="00524D22" w:rsidP="00D31559">
            <w:pPr>
              <w:pStyle w:val="Odsekzoznamu"/>
              <w:numPr>
                <w:ilvl w:val="0"/>
                <w:numId w:val="5"/>
              </w:numPr>
              <w:shd w:val="clear" w:color="auto" w:fill="FFFFFF"/>
              <w:spacing w:after="0" w:line="240" w:lineRule="auto"/>
              <w:ind w:left="356"/>
              <w:jc w:val="left"/>
              <w:rPr>
                <w:rFonts w:asciiTheme="minorHAnsi" w:hAnsiTheme="minorHAnsi" w:cs="Arial"/>
                <w:sz w:val="20"/>
                <w:szCs w:val="20"/>
              </w:rPr>
            </w:pPr>
            <w:r w:rsidRPr="003E33C5">
              <w:rPr>
                <w:rFonts w:asciiTheme="minorHAnsi" w:hAnsiTheme="minorHAnsi" w:cs="Arial"/>
                <w:bCs/>
                <w:sz w:val="20"/>
                <w:szCs w:val="20"/>
              </w:rPr>
              <w:t xml:space="preserve">Omega - </w:t>
            </w:r>
            <w:proofErr w:type="spellStart"/>
            <w:r w:rsidRPr="003E33C5">
              <w:rPr>
                <w:rFonts w:asciiTheme="minorHAnsi" w:hAnsiTheme="minorHAnsi" w:cs="Arial"/>
                <w:bCs/>
                <w:sz w:val="20"/>
                <w:szCs w:val="20"/>
              </w:rPr>
              <w:t>Rádioklub</w:t>
            </w:r>
            <w:proofErr w:type="spellEnd"/>
            <w:r w:rsidRPr="003E33C5">
              <w:rPr>
                <w:rFonts w:asciiTheme="minorHAnsi" w:hAnsiTheme="minorHAnsi" w:cs="Arial"/>
                <w:bCs/>
                <w:sz w:val="20"/>
                <w:szCs w:val="20"/>
              </w:rPr>
              <w:t xml:space="preserve"> STU</w:t>
            </w:r>
          </w:p>
          <w:p w:rsidR="00524D22" w:rsidRPr="003E33C5" w:rsidRDefault="00524D22" w:rsidP="00D31559">
            <w:pPr>
              <w:pStyle w:val="Odsekzoznamu"/>
              <w:numPr>
                <w:ilvl w:val="0"/>
                <w:numId w:val="5"/>
              </w:numPr>
              <w:shd w:val="clear" w:color="auto" w:fill="FFFFFF"/>
              <w:spacing w:after="0" w:line="240" w:lineRule="auto"/>
              <w:ind w:left="356"/>
              <w:jc w:val="left"/>
              <w:rPr>
                <w:rFonts w:asciiTheme="minorHAnsi" w:hAnsiTheme="minorHAnsi" w:cs="Arial"/>
                <w:sz w:val="20"/>
                <w:szCs w:val="20"/>
              </w:rPr>
            </w:pPr>
            <w:r w:rsidRPr="003E33C5">
              <w:rPr>
                <w:rFonts w:asciiTheme="minorHAnsi" w:hAnsiTheme="minorHAnsi" w:cs="Arial"/>
                <w:bCs/>
                <w:sz w:val="20"/>
                <w:szCs w:val="20"/>
              </w:rPr>
              <w:t>RUŠ – Rada ubytovaných študentov</w:t>
            </w:r>
          </w:p>
          <w:p w:rsidR="00524D22" w:rsidRPr="003E33C5" w:rsidRDefault="00524D22" w:rsidP="00D31559">
            <w:pPr>
              <w:pStyle w:val="Odsekzoznamu"/>
              <w:numPr>
                <w:ilvl w:val="0"/>
                <w:numId w:val="5"/>
              </w:numPr>
              <w:shd w:val="clear" w:color="auto" w:fill="FFFFFF"/>
              <w:spacing w:after="0" w:line="240" w:lineRule="auto"/>
              <w:ind w:left="356"/>
              <w:jc w:val="left"/>
              <w:rPr>
                <w:rFonts w:asciiTheme="minorHAnsi" w:hAnsiTheme="minorHAnsi" w:cs="Arial"/>
                <w:sz w:val="20"/>
                <w:szCs w:val="20"/>
              </w:rPr>
            </w:pPr>
            <w:proofErr w:type="spellStart"/>
            <w:r w:rsidRPr="003E33C5">
              <w:rPr>
                <w:rFonts w:asciiTheme="minorHAnsi" w:hAnsiTheme="minorHAnsi" w:cs="Arial"/>
                <w:bCs/>
                <w:sz w:val="20"/>
                <w:szCs w:val="20"/>
              </w:rPr>
              <w:t>Chemnet</w:t>
            </w:r>
            <w:proofErr w:type="spellEnd"/>
          </w:p>
          <w:p w:rsidR="00524D22" w:rsidRPr="003E33C5" w:rsidRDefault="00524D22" w:rsidP="00D31559">
            <w:pPr>
              <w:pStyle w:val="Odsekzoznamu"/>
              <w:numPr>
                <w:ilvl w:val="0"/>
                <w:numId w:val="5"/>
              </w:numPr>
              <w:shd w:val="clear" w:color="auto" w:fill="FFFFFF"/>
              <w:spacing w:after="0" w:line="240" w:lineRule="auto"/>
              <w:ind w:left="356"/>
              <w:jc w:val="left"/>
              <w:rPr>
                <w:rFonts w:asciiTheme="minorHAnsi" w:hAnsiTheme="minorHAnsi" w:cs="Arial"/>
                <w:sz w:val="20"/>
                <w:szCs w:val="20"/>
              </w:rPr>
            </w:pPr>
            <w:r w:rsidRPr="003E33C5">
              <w:rPr>
                <w:rFonts w:asciiTheme="minorHAnsi" w:hAnsiTheme="minorHAnsi" w:cs="Arial"/>
                <w:bCs/>
                <w:sz w:val="20"/>
                <w:szCs w:val="20"/>
              </w:rPr>
              <w:t>Študentský radca FIIT</w:t>
            </w:r>
          </w:p>
          <w:p w:rsidR="00524D22" w:rsidRPr="003E33C5" w:rsidRDefault="00524D22" w:rsidP="00D31559">
            <w:pPr>
              <w:pStyle w:val="Odsekzoznamu"/>
              <w:numPr>
                <w:ilvl w:val="0"/>
                <w:numId w:val="5"/>
              </w:numPr>
              <w:shd w:val="clear" w:color="auto" w:fill="FFFFFF"/>
              <w:spacing w:after="0" w:line="240" w:lineRule="auto"/>
              <w:ind w:left="356"/>
              <w:jc w:val="left"/>
              <w:rPr>
                <w:rFonts w:asciiTheme="minorHAnsi" w:hAnsiTheme="minorHAnsi" w:cs="Arial"/>
                <w:sz w:val="20"/>
                <w:szCs w:val="20"/>
              </w:rPr>
            </w:pPr>
            <w:r w:rsidRPr="003E33C5">
              <w:rPr>
                <w:rFonts w:asciiTheme="minorHAnsi" w:hAnsiTheme="minorHAnsi" w:cs="Arial"/>
                <w:bCs/>
                <w:sz w:val="20"/>
                <w:szCs w:val="20"/>
              </w:rPr>
              <w:t>Internetové študentské rádio TLIS</w:t>
            </w:r>
          </w:p>
          <w:p w:rsidR="00524D22" w:rsidRPr="003E33C5" w:rsidRDefault="00524D22" w:rsidP="00D31559">
            <w:pPr>
              <w:pStyle w:val="Odsekzoznamu"/>
              <w:numPr>
                <w:ilvl w:val="0"/>
                <w:numId w:val="5"/>
              </w:numPr>
              <w:shd w:val="clear" w:color="auto" w:fill="FFFFFF"/>
              <w:spacing w:after="0" w:line="240" w:lineRule="auto"/>
              <w:ind w:left="356"/>
              <w:jc w:val="left"/>
              <w:rPr>
                <w:rFonts w:asciiTheme="minorHAnsi" w:hAnsiTheme="minorHAnsi" w:cs="Arial"/>
                <w:sz w:val="20"/>
                <w:szCs w:val="20"/>
              </w:rPr>
            </w:pPr>
            <w:r w:rsidRPr="003E33C5">
              <w:rPr>
                <w:rFonts w:asciiTheme="minorHAnsi" w:hAnsiTheme="minorHAnsi" w:cs="Arial"/>
                <w:bCs/>
                <w:sz w:val="20"/>
                <w:szCs w:val="20"/>
              </w:rPr>
              <w:t xml:space="preserve">YNET - </w:t>
            </w:r>
            <w:proofErr w:type="spellStart"/>
            <w:r w:rsidRPr="003E33C5">
              <w:rPr>
                <w:rFonts w:asciiTheme="minorHAnsi" w:hAnsiTheme="minorHAnsi" w:cs="Arial"/>
                <w:bCs/>
                <w:sz w:val="20"/>
                <w:szCs w:val="20"/>
              </w:rPr>
              <w:t>Youth</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hostel</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network</w:t>
            </w:r>
            <w:proofErr w:type="spellEnd"/>
          </w:p>
          <w:p w:rsidR="00524D22" w:rsidRPr="003E33C5" w:rsidRDefault="00524D22" w:rsidP="00D31559">
            <w:pPr>
              <w:pStyle w:val="Odsekzoznamu"/>
              <w:numPr>
                <w:ilvl w:val="0"/>
                <w:numId w:val="5"/>
              </w:numPr>
              <w:spacing w:after="0" w:line="240" w:lineRule="auto"/>
              <w:ind w:left="356"/>
              <w:jc w:val="left"/>
              <w:rPr>
                <w:rFonts w:asciiTheme="minorHAnsi" w:hAnsiTheme="minorHAnsi" w:cs="Arial"/>
                <w:bCs/>
                <w:sz w:val="20"/>
                <w:szCs w:val="20"/>
              </w:rPr>
            </w:pPr>
            <w:r w:rsidRPr="003E33C5">
              <w:rPr>
                <w:rFonts w:asciiTheme="minorHAnsi" w:hAnsiTheme="minorHAnsi" w:cs="Arial"/>
                <w:bCs/>
                <w:sz w:val="20"/>
                <w:szCs w:val="20"/>
              </w:rPr>
              <w:lastRenderedPageBreak/>
              <w:t xml:space="preserve">ESN STUBA - </w:t>
            </w:r>
            <w:proofErr w:type="spellStart"/>
            <w:r w:rsidRPr="003E33C5">
              <w:rPr>
                <w:rFonts w:asciiTheme="minorHAnsi" w:hAnsiTheme="minorHAnsi" w:cs="Arial"/>
                <w:bCs/>
                <w:sz w:val="20"/>
                <w:szCs w:val="20"/>
              </w:rPr>
              <w:t>Erasmus</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student</w:t>
            </w:r>
            <w:proofErr w:type="spellEnd"/>
            <w:r w:rsidRPr="003E33C5">
              <w:rPr>
                <w:rFonts w:asciiTheme="minorHAnsi" w:hAnsiTheme="minorHAnsi" w:cs="Arial"/>
                <w:bCs/>
                <w:sz w:val="20"/>
                <w:szCs w:val="20"/>
              </w:rPr>
              <w:t xml:space="preserve"> </w:t>
            </w:r>
            <w:proofErr w:type="spellStart"/>
            <w:r w:rsidRPr="003E33C5">
              <w:rPr>
                <w:rFonts w:asciiTheme="minorHAnsi" w:hAnsiTheme="minorHAnsi" w:cs="Arial"/>
                <w:bCs/>
                <w:sz w:val="20"/>
                <w:szCs w:val="20"/>
              </w:rPr>
              <w:t>network</w:t>
            </w:r>
            <w:proofErr w:type="spellEnd"/>
          </w:p>
          <w:p w:rsidR="00524D22" w:rsidRPr="003E33C5" w:rsidRDefault="00524D22" w:rsidP="00D31559">
            <w:pPr>
              <w:pStyle w:val="Odsekzoznamu"/>
              <w:numPr>
                <w:ilvl w:val="0"/>
                <w:numId w:val="5"/>
              </w:numPr>
              <w:spacing w:after="0" w:line="240" w:lineRule="auto"/>
              <w:ind w:left="356"/>
              <w:jc w:val="left"/>
              <w:rPr>
                <w:rFonts w:asciiTheme="minorHAnsi" w:hAnsiTheme="minorHAnsi" w:cs="Arial"/>
                <w:bCs/>
                <w:sz w:val="20"/>
                <w:szCs w:val="20"/>
              </w:rPr>
            </w:pPr>
            <w:proofErr w:type="spellStart"/>
            <w:r w:rsidRPr="003E33C5">
              <w:rPr>
                <w:rFonts w:asciiTheme="minorHAnsi" w:hAnsiTheme="minorHAnsi" w:cs="Arial"/>
                <w:bCs/>
                <w:sz w:val="20"/>
                <w:szCs w:val="20"/>
              </w:rPr>
              <w:t>Nexteria</w:t>
            </w:r>
            <w:proofErr w:type="spellEnd"/>
            <w:r w:rsidRPr="003E33C5">
              <w:rPr>
                <w:rFonts w:asciiTheme="minorHAnsi" w:hAnsiTheme="minorHAnsi" w:cs="Arial"/>
                <w:bCs/>
                <w:sz w:val="20"/>
                <w:szCs w:val="20"/>
              </w:rPr>
              <w:t xml:space="preserve"> </w:t>
            </w:r>
          </w:p>
          <w:p w:rsidR="00524D22" w:rsidRPr="003E33C5" w:rsidRDefault="00524D22" w:rsidP="00D31559">
            <w:pPr>
              <w:pStyle w:val="Odsekzoznamu"/>
              <w:numPr>
                <w:ilvl w:val="0"/>
                <w:numId w:val="5"/>
              </w:numPr>
              <w:spacing w:after="0" w:line="240" w:lineRule="auto"/>
              <w:ind w:left="356"/>
              <w:jc w:val="left"/>
              <w:rPr>
                <w:rFonts w:asciiTheme="minorHAnsi" w:hAnsiTheme="minorHAnsi" w:cs="Arial"/>
                <w:bCs/>
                <w:sz w:val="20"/>
                <w:szCs w:val="20"/>
              </w:rPr>
            </w:pPr>
            <w:r w:rsidRPr="003E33C5">
              <w:rPr>
                <w:rFonts w:asciiTheme="minorHAnsi" w:hAnsiTheme="minorHAnsi" w:cs="Arial"/>
                <w:bCs/>
                <w:sz w:val="20"/>
                <w:szCs w:val="20"/>
              </w:rPr>
              <w:t>AZU – Aktivita zvyšuje úspech</w:t>
            </w:r>
          </w:p>
        </w:tc>
      </w:tr>
    </w:tbl>
    <w:p w:rsidR="00524D22" w:rsidRPr="002D7A10" w:rsidRDefault="00524D22" w:rsidP="00524D22">
      <w:pPr>
        <w:rPr>
          <w:rFonts w:asciiTheme="minorHAnsi" w:hAnsiTheme="minorHAnsi" w:cs="Calibri"/>
        </w:rPr>
      </w:pPr>
    </w:p>
    <w:p w:rsidR="00B51749" w:rsidRPr="002D7A10" w:rsidRDefault="00B51749" w:rsidP="00B51749">
      <w:pPr>
        <w:rPr>
          <w:rFonts w:asciiTheme="minorHAnsi" w:hAnsiTheme="minorHAnsi" w:cs="Calibri"/>
        </w:rPr>
      </w:pPr>
    </w:p>
    <w:p w:rsidR="00495157" w:rsidRDefault="00495157">
      <w:pPr>
        <w:spacing w:after="200" w:line="276" w:lineRule="auto"/>
        <w:jc w:val="left"/>
        <w:rPr>
          <w:rFonts w:asciiTheme="minorHAnsi" w:hAnsiTheme="minorHAnsi"/>
          <w:b/>
          <w:bCs/>
          <w:color w:val="FF0000"/>
        </w:rPr>
      </w:pPr>
      <w:r>
        <w:rPr>
          <w:rFonts w:asciiTheme="minorHAnsi" w:hAnsiTheme="minorHAnsi"/>
          <w:b/>
          <w:bCs/>
          <w:color w:val="FF0000"/>
        </w:rPr>
        <w:br w:type="page"/>
      </w:r>
    </w:p>
    <w:p w:rsidR="00B51749" w:rsidRPr="002D7A10" w:rsidRDefault="00B51749" w:rsidP="00B51749">
      <w:pPr>
        <w:ind w:left="1080"/>
        <w:rPr>
          <w:rFonts w:asciiTheme="minorHAnsi" w:hAnsiTheme="minorHAnsi"/>
          <w:b/>
          <w:bCs/>
          <w:color w:val="FF0000"/>
        </w:rPr>
      </w:pPr>
    </w:p>
    <w:p w:rsidR="00B51749" w:rsidRPr="002D7A10" w:rsidRDefault="00B51749" w:rsidP="00B51749">
      <w:pPr>
        <w:pStyle w:val="Nadpis1"/>
        <w:rPr>
          <w:rFonts w:asciiTheme="minorHAnsi" w:hAnsiTheme="minorHAnsi"/>
          <w:color w:val="auto"/>
          <w:sz w:val="24"/>
          <w:szCs w:val="24"/>
        </w:rPr>
      </w:pPr>
      <w:bookmarkStart w:id="57" w:name="_Toc448261598"/>
      <w:r w:rsidRPr="002D7A10">
        <w:rPr>
          <w:rFonts w:asciiTheme="minorHAnsi" w:hAnsiTheme="minorHAnsi"/>
          <w:color w:val="auto"/>
          <w:sz w:val="24"/>
          <w:szCs w:val="24"/>
        </w:rPr>
        <w:t>Podporné činnosti vysokej školy</w:t>
      </w:r>
      <w:bookmarkStart w:id="58" w:name="_Toc349024715"/>
      <w:bookmarkEnd w:id="57"/>
    </w:p>
    <w:p w:rsidR="00B51749" w:rsidRPr="002D7A10" w:rsidRDefault="00B51749" w:rsidP="00B51749">
      <w:pPr>
        <w:pStyle w:val="Nadpis2"/>
        <w:rPr>
          <w:rFonts w:asciiTheme="minorHAnsi" w:hAnsiTheme="minorHAnsi"/>
          <w:color w:val="auto"/>
          <w:sz w:val="24"/>
          <w:szCs w:val="24"/>
        </w:rPr>
      </w:pPr>
      <w:bookmarkStart w:id="59" w:name="_Toc448261599"/>
      <w:r w:rsidRPr="002D7A10">
        <w:rPr>
          <w:rFonts w:asciiTheme="minorHAnsi" w:hAnsiTheme="minorHAnsi"/>
          <w:color w:val="auto"/>
          <w:sz w:val="24"/>
          <w:szCs w:val="24"/>
        </w:rPr>
        <w:t>Informačné a komunikačné technológie</w:t>
      </w:r>
      <w:bookmarkEnd w:id="58"/>
      <w:bookmarkEnd w:id="59"/>
    </w:p>
    <w:p w:rsidR="00B51749" w:rsidRPr="002D7A10" w:rsidRDefault="00B51749" w:rsidP="00B51749">
      <w:pPr>
        <w:rPr>
          <w:rFonts w:asciiTheme="minorHAnsi" w:hAnsiTheme="minorHAnsi"/>
          <w:lang w:eastAsia="cs-CZ"/>
        </w:rPr>
      </w:pPr>
    </w:p>
    <w:p w:rsidR="00B51749" w:rsidRPr="002D7A10" w:rsidRDefault="00B51749" w:rsidP="00B51749">
      <w:pPr>
        <w:rPr>
          <w:rFonts w:asciiTheme="minorHAnsi" w:hAnsiTheme="minorHAnsi"/>
        </w:rPr>
      </w:pPr>
      <w:r w:rsidRPr="002D7A10">
        <w:rPr>
          <w:rFonts w:asciiTheme="minorHAnsi" w:hAnsiTheme="minorHAnsi"/>
          <w:b/>
          <w:bCs/>
        </w:rPr>
        <w:t xml:space="preserve">Akademický informačný systém </w:t>
      </w:r>
    </w:p>
    <w:p w:rsidR="00B51749" w:rsidRPr="002D7A10" w:rsidRDefault="00B51749" w:rsidP="00B51749">
      <w:pPr>
        <w:rPr>
          <w:rFonts w:asciiTheme="minorHAnsi" w:hAnsiTheme="minorHAnsi"/>
        </w:rPr>
      </w:pPr>
      <w:r w:rsidRPr="002D7A10">
        <w:rPr>
          <w:rFonts w:asciiTheme="minorHAnsi" w:hAnsiTheme="minorHAnsi"/>
        </w:rPr>
        <w:t>Na STU je v prevádzke Akademický informačný systém</w:t>
      </w:r>
      <w:r w:rsidR="00E760D2" w:rsidRPr="002D7A10">
        <w:rPr>
          <w:rFonts w:asciiTheme="minorHAnsi" w:hAnsiTheme="minorHAnsi"/>
        </w:rPr>
        <w:t>. P</w:t>
      </w:r>
      <w:r w:rsidRPr="002D7A10">
        <w:rPr>
          <w:rFonts w:asciiTheme="minorHAnsi" w:hAnsiTheme="minorHAnsi"/>
        </w:rPr>
        <w:t xml:space="preserve">redstavuje komplexný informačný systém pre riadenie a správu hlavnej činnosti univerzity – pedagogickej a vedecko-výskumnej činnosti. </w:t>
      </w:r>
    </w:p>
    <w:p w:rsidR="00B51749" w:rsidRPr="002D7A10" w:rsidRDefault="00B51749" w:rsidP="00B51749">
      <w:pPr>
        <w:rPr>
          <w:rFonts w:asciiTheme="minorHAnsi" w:hAnsiTheme="minorHAnsi"/>
        </w:rPr>
      </w:pPr>
      <w:r w:rsidRPr="002D7A10">
        <w:rPr>
          <w:rFonts w:asciiTheme="minorHAnsi" w:hAnsiTheme="minorHAnsi"/>
          <w:b/>
          <w:bCs/>
        </w:rPr>
        <w:t>Preukaz študenta a učiteľa</w:t>
      </w:r>
    </w:p>
    <w:p w:rsidR="00B51749" w:rsidRPr="002D7A10" w:rsidRDefault="00B51749" w:rsidP="00B51749">
      <w:pPr>
        <w:rPr>
          <w:rFonts w:asciiTheme="minorHAnsi" w:hAnsiTheme="minorHAnsi"/>
        </w:rPr>
      </w:pPr>
      <w:r w:rsidRPr="002D7A10">
        <w:rPr>
          <w:rFonts w:asciiTheme="minorHAnsi" w:hAnsiTheme="minorHAnsi"/>
        </w:rPr>
        <w:t xml:space="preserve">Na STU sú zavedené preukazy študenta STU na báze </w:t>
      </w:r>
      <w:proofErr w:type="spellStart"/>
      <w:r w:rsidRPr="002D7A10">
        <w:rPr>
          <w:rFonts w:asciiTheme="minorHAnsi" w:hAnsiTheme="minorHAnsi"/>
        </w:rPr>
        <w:t>DesFIRE</w:t>
      </w:r>
      <w:proofErr w:type="spellEnd"/>
      <w:r w:rsidRPr="002D7A10">
        <w:rPr>
          <w:rFonts w:asciiTheme="minorHAnsi" w:hAnsiTheme="minorHAnsi"/>
        </w:rPr>
        <w:t xml:space="preserve"> ev1 (so zvýšeným zabezpečením údajov v čipe karty). Preukazy okrem aplikácií na STU slúžia ako preukazy </w:t>
      </w:r>
      <w:r w:rsidR="00787340" w:rsidRPr="002D7A10">
        <w:rPr>
          <w:rFonts w:asciiTheme="minorHAnsi" w:hAnsiTheme="minorHAnsi"/>
        </w:rPr>
        <w:t>na</w:t>
      </w:r>
      <w:r w:rsidRPr="002D7A10">
        <w:rPr>
          <w:rFonts w:asciiTheme="minorHAnsi" w:hAnsiTheme="minorHAnsi"/>
        </w:rPr>
        <w:t xml:space="preserve"> vstupy do knižníc, </w:t>
      </w:r>
      <w:r w:rsidR="00787340" w:rsidRPr="002D7A10">
        <w:rPr>
          <w:rFonts w:asciiTheme="minorHAnsi" w:hAnsiTheme="minorHAnsi"/>
        </w:rPr>
        <w:t>na</w:t>
      </w:r>
      <w:r w:rsidRPr="002D7A10">
        <w:rPr>
          <w:rFonts w:asciiTheme="minorHAnsi" w:hAnsiTheme="minorHAnsi"/>
        </w:rPr>
        <w:t xml:space="preserve"> zľavu na MHD, ŽSR, vo vybraných podnikoch SAD a v ďalších. STU vydáva aj medzinárodné učiteľské preukazy ITIC (podobne ako ISIC). </w:t>
      </w:r>
    </w:p>
    <w:p w:rsidR="00B51749" w:rsidRPr="002D7A10" w:rsidRDefault="00B51749" w:rsidP="00B51749">
      <w:pPr>
        <w:pStyle w:val="Podtitul"/>
        <w:jc w:val="left"/>
        <w:rPr>
          <w:rFonts w:asciiTheme="minorHAnsi" w:hAnsiTheme="minorHAnsi"/>
          <w:color w:val="auto"/>
        </w:rPr>
      </w:pPr>
      <w:r w:rsidRPr="002D7A10">
        <w:rPr>
          <w:rFonts w:asciiTheme="minorHAnsi" w:hAnsiTheme="minorHAnsi"/>
          <w:b/>
          <w:bCs/>
          <w:i w:val="0"/>
          <w:iCs w:val="0"/>
          <w:color w:val="auto"/>
        </w:rPr>
        <w:t>Jednotné elektronické prostredie</w:t>
      </w:r>
    </w:p>
    <w:p w:rsidR="00B51749" w:rsidRPr="002D7A10" w:rsidRDefault="00B51749" w:rsidP="00B51749">
      <w:pPr>
        <w:rPr>
          <w:rFonts w:asciiTheme="minorHAnsi" w:hAnsiTheme="minorHAnsi"/>
        </w:rPr>
      </w:pPr>
      <w:r w:rsidRPr="002D7A10">
        <w:rPr>
          <w:rFonts w:asciiTheme="minorHAnsi" w:hAnsiTheme="minorHAnsi"/>
        </w:rPr>
        <w:t xml:space="preserve">Na realizáciu jednotného elektronického prostredia boli inštalované dva zrkadlové servery a programové vybavenie umožňujúce spravovať 30 tis. poštových boxov. Študenti majú automaticky vygenerovanú adresu na komunikáciu v rámci univerzity prostredníctvom AIS a každý študent má právo vytvoriť si elektronickú adresu na serveri </w:t>
      </w:r>
      <w:proofErr w:type="spellStart"/>
      <w:r w:rsidRPr="002D7A10">
        <w:rPr>
          <w:rFonts w:asciiTheme="minorHAnsi" w:hAnsiTheme="minorHAnsi"/>
        </w:rPr>
        <w:t>Webmail</w:t>
      </w:r>
      <w:proofErr w:type="spellEnd"/>
      <w:r w:rsidRPr="002D7A10">
        <w:rPr>
          <w:rFonts w:asciiTheme="minorHAnsi" w:hAnsiTheme="minorHAnsi"/>
        </w:rPr>
        <w:t xml:space="preserve"> STU.</w:t>
      </w:r>
    </w:p>
    <w:p w:rsidR="00B51749" w:rsidRPr="002D7A10" w:rsidRDefault="00B51749" w:rsidP="00B51749">
      <w:pPr>
        <w:pStyle w:val="Nadpis8"/>
        <w:numPr>
          <w:ilvl w:val="0"/>
          <w:numId w:val="0"/>
        </w:numPr>
        <w:spacing w:before="0" w:after="0"/>
        <w:ind w:left="1440" w:hanging="1440"/>
        <w:jc w:val="left"/>
        <w:rPr>
          <w:rFonts w:asciiTheme="minorHAnsi" w:hAnsiTheme="minorHAnsi"/>
          <w:color w:val="auto"/>
        </w:rPr>
      </w:pPr>
      <w:r w:rsidRPr="002D7A10">
        <w:rPr>
          <w:rFonts w:asciiTheme="minorHAnsi" w:hAnsiTheme="minorHAnsi"/>
          <w:b/>
          <w:bCs/>
          <w:i w:val="0"/>
          <w:iCs w:val="0"/>
          <w:color w:val="auto"/>
        </w:rPr>
        <w:t>Knižničný informačný systém</w:t>
      </w:r>
    </w:p>
    <w:p w:rsidR="00B51749" w:rsidRPr="002D7A10" w:rsidRDefault="001B1C54" w:rsidP="00B51749">
      <w:pPr>
        <w:rPr>
          <w:rFonts w:asciiTheme="minorHAnsi" w:hAnsiTheme="minorHAnsi"/>
        </w:rPr>
      </w:pPr>
      <w:r>
        <w:rPr>
          <w:rFonts w:asciiTheme="minorHAnsi" w:hAnsiTheme="minorHAnsi"/>
        </w:rPr>
        <w:t>Systém OLIB (</w:t>
      </w:r>
      <w:r w:rsidR="00B51749" w:rsidRPr="002D7A10">
        <w:rPr>
          <w:rFonts w:asciiTheme="minorHAnsi" w:hAnsiTheme="minorHAnsi"/>
        </w:rPr>
        <w:t>inštalovaný na</w:t>
      </w:r>
      <w:r>
        <w:rPr>
          <w:rFonts w:asciiTheme="minorHAnsi" w:hAnsiTheme="minorHAnsi"/>
        </w:rPr>
        <w:t xml:space="preserve"> platforme UNIX – ORACLE v. 10i), bol </w:t>
      </w:r>
      <w:r w:rsidR="00B51749" w:rsidRPr="002D7A10">
        <w:rPr>
          <w:rFonts w:asciiTheme="minorHAnsi" w:hAnsiTheme="minorHAnsi"/>
        </w:rPr>
        <w:t xml:space="preserve"> </w:t>
      </w:r>
      <w:r>
        <w:rPr>
          <w:rFonts w:asciiTheme="minorHAnsi" w:hAnsiTheme="minorHAnsi"/>
        </w:rPr>
        <w:t xml:space="preserve">nahradený systémom </w:t>
      </w:r>
      <w:proofErr w:type="spellStart"/>
      <w:r>
        <w:rPr>
          <w:rFonts w:asciiTheme="minorHAnsi" w:hAnsiTheme="minorHAnsi"/>
        </w:rPr>
        <w:t>Advanced</w:t>
      </w:r>
      <w:proofErr w:type="spellEnd"/>
      <w:r>
        <w:rPr>
          <w:rFonts w:asciiTheme="minorHAnsi" w:hAnsiTheme="minorHAnsi"/>
        </w:rPr>
        <w:t xml:space="preserve"> </w:t>
      </w:r>
      <w:proofErr w:type="spellStart"/>
      <w:r>
        <w:rPr>
          <w:rFonts w:asciiTheme="minorHAnsi" w:hAnsiTheme="minorHAnsi"/>
        </w:rPr>
        <w:t>Rapid</w:t>
      </w:r>
      <w:proofErr w:type="spellEnd"/>
      <w:r>
        <w:rPr>
          <w:rFonts w:asciiTheme="minorHAnsi" w:hAnsiTheme="minorHAnsi"/>
        </w:rPr>
        <w:t xml:space="preserve"> </w:t>
      </w:r>
      <w:proofErr w:type="spellStart"/>
      <w:r>
        <w:rPr>
          <w:rFonts w:asciiTheme="minorHAnsi" w:hAnsiTheme="minorHAnsi"/>
        </w:rPr>
        <w:t>Library</w:t>
      </w:r>
      <w:proofErr w:type="spellEnd"/>
      <w:r>
        <w:rPr>
          <w:rFonts w:asciiTheme="minorHAnsi" w:hAnsiTheme="minorHAnsi"/>
        </w:rPr>
        <w:t>. Je postavený na viacvrstvovej architektúre typu</w:t>
      </w:r>
      <w:r w:rsidR="00987485">
        <w:rPr>
          <w:rFonts w:asciiTheme="minorHAnsi" w:hAnsiTheme="minorHAnsi"/>
        </w:rPr>
        <w:t xml:space="preserve"> </w:t>
      </w:r>
      <w:proofErr w:type="spellStart"/>
      <w:r w:rsidR="00987485">
        <w:rPr>
          <w:rFonts w:asciiTheme="minorHAnsi" w:hAnsiTheme="minorHAnsi"/>
        </w:rPr>
        <w:t>klient-server</w:t>
      </w:r>
      <w:proofErr w:type="spellEnd"/>
      <w:r w:rsidR="00987485">
        <w:rPr>
          <w:rFonts w:asciiTheme="minorHAnsi" w:hAnsiTheme="minorHAnsi"/>
        </w:rPr>
        <w:t>,</w:t>
      </w:r>
      <w:r>
        <w:rPr>
          <w:rFonts w:asciiTheme="minorHAnsi" w:hAnsiTheme="minorHAnsi"/>
        </w:rPr>
        <w:t> je modulárny a ľahko škálovateľný</w:t>
      </w:r>
      <w:r w:rsidR="00B51749" w:rsidRPr="002D7A10">
        <w:rPr>
          <w:rFonts w:asciiTheme="minorHAnsi" w:hAnsiTheme="minorHAnsi"/>
        </w:rPr>
        <w:t xml:space="preserve">. Systém je dostupný cez WEB STU a umožňuje získať informácie o publikáciách v knižniciach STU z každého počítača v sieti. Možné sú výpožičky kníh cez internet. Celkove je v systéme evidovaných vyše 395 028 ex. kníh a časopisov (85 856 titulov). CVT STU zabezpečuje napĺňanie Centrálneho registra publikačnej činnosti na vysokých školách, ktorý spravuje </w:t>
      </w:r>
      <w:proofErr w:type="spellStart"/>
      <w:r w:rsidR="00B51749" w:rsidRPr="002D7A10">
        <w:rPr>
          <w:rFonts w:asciiTheme="minorHAnsi" w:hAnsiTheme="minorHAnsi"/>
        </w:rPr>
        <w:t>MŠVVaŠ</w:t>
      </w:r>
      <w:proofErr w:type="spellEnd"/>
      <w:r w:rsidR="00B51749" w:rsidRPr="002D7A10">
        <w:rPr>
          <w:rFonts w:asciiTheme="minorHAnsi" w:hAnsiTheme="minorHAnsi"/>
        </w:rPr>
        <w:t xml:space="preserve"> SR.</w:t>
      </w:r>
    </w:p>
    <w:p w:rsidR="00B51749" w:rsidRPr="002D7A10" w:rsidRDefault="00B51749" w:rsidP="00B51749">
      <w:pPr>
        <w:rPr>
          <w:rFonts w:asciiTheme="minorHAnsi" w:hAnsiTheme="minorHAnsi"/>
          <w:b/>
        </w:rPr>
      </w:pPr>
      <w:r w:rsidRPr="002D7A10">
        <w:rPr>
          <w:rFonts w:asciiTheme="minorHAnsi" w:hAnsiTheme="minorHAnsi"/>
          <w:b/>
        </w:rPr>
        <w:t>Tlač diplomov</w:t>
      </w:r>
    </w:p>
    <w:p w:rsidR="00B51749" w:rsidRPr="002D7A10" w:rsidRDefault="00B51749" w:rsidP="00B51749">
      <w:pPr>
        <w:pStyle w:val="Zkladntext"/>
        <w:spacing w:line="240" w:lineRule="auto"/>
        <w:jc w:val="left"/>
        <w:rPr>
          <w:rFonts w:asciiTheme="minorHAnsi" w:hAnsiTheme="minorHAnsi"/>
          <w:color w:val="auto"/>
        </w:rPr>
      </w:pPr>
      <w:r w:rsidRPr="002D7A10">
        <w:rPr>
          <w:rFonts w:asciiTheme="minorHAnsi" w:hAnsiTheme="minorHAnsi"/>
          <w:color w:val="auto"/>
        </w:rPr>
        <w:t xml:space="preserve">Na STU sa tlačia diplomy bakalárskeho a inžinierskeho štúdia centrálne pre všetky fakulty priamo zo systému AIS. Pre zvýšenie bezpečnosti </w:t>
      </w:r>
      <w:r w:rsidR="00E760D2" w:rsidRPr="002D7A10">
        <w:rPr>
          <w:rFonts w:asciiTheme="minorHAnsi" w:hAnsiTheme="minorHAnsi"/>
          <w:color w:val="auto"/>
        </w:rPr>
        <w:t xml:space="preserve">sú súčasťou </w:t>
      </w:r>
      <w:r w:rsidRPr="002D7A10">
        <w:rPr>
          <w:rFonts w:asciiTheme="minorHAnsi" w:hAnsiTheme="minorHAnsi"/>
          <w:color w:val="auto"/>
        </w:rPr>
        <w:t>holografick</w:t>
      </w:r>
      <w:r w:rsidR="00E760D2" w:rsidRPr="002D7A10">
        <w:rPr>
          <w:rFonts w:asciiTheme="minorHAnsi" w:hAnsiTheme="minorHAnsi"/>
          <w:color w:val="auto"/>
        </w:rPr>
        <w:t xml:space="preserve">é </w:t>
      </w:r>
      <w:r w:rsidRPr="002D7A10">
        <w:rPr>
          <w:rFonts w:asciiTheme="minorHAnsi" w:hAnsiTheme="minorHAnsi"/>
          <w:color w:val="auto"/>
        </w:rPr>
        <w:t>značk</w:t>
      </w:r>
      <w:r w:rsidR="00E760D2" w:rsidRPr="002D7A10">
        <w:rPr>
          <w:rFonts w:asciiTheme="minorHAnsi" w:hAnsiTheme="minorHAnsi"/>
          <w:color w:val="auto"/>
        </w:rPr>
        <w:t>y</w:t>
      </w:r>
      <w:r w:rsidRPr="002D7A10">
        <w:rPr>
          <w:rFonts w:asciiTheme="minorHAnsi" w:hAnsiTheme="minorHAnsi"/>
          <w:color w:val="auto"/>
        </w:rPr>
        <w:t>.</w:t>
      </w:r>
    </w:p>
    <w:p w:rsidR="00B51749" w:rsidRPr="002D7A10" w:rsidRDefault="00B51749" w:rsidP="00B51749">
      <w:pPr>
        <w:rPr>
          <w:rFonts w:asciiTheme="minorHAnsi" w:hAnsiTheme="minorHAnsi"/>
        </w:rPr>
      </w:pPr>
      <w:r w:rsidRPr="002D7A10">
        <w:rPr>
          <w:rFonts w:asciiTheme="minorHAnsi" w:hAnsiTheme="minorHAnsi"/>
          <w:b/>
          <w:bCs/>
        </w:rPr>
        <w:t>Ekonomický informačný systém</w:t>
      </w:r>
    </w:p>
    <w:p w:rsidR="00B51749" w:rsidRPr="002D7A10" w:rsidRDefault="00B51749" w:rsidP="00B51749">
      <w:pPr>
        <w:rPr>
          <w:rFonts w:asciiTheme="minorHAnsi" w:hAnsiTheme="minorHAnsi"/>
        </w:rPr>
      </w:pPr>
      <w:r w:rsidRPr="002D7A10">
        <w:rPr>
          <w:rFonts w:asciiTheme="minorHAnsi" w:hAnsiTheme="minorHAnsi"/>
        </w:rPr>
        <w:t>Pozostáva z modulov: personalistika a mzdy, majetok, finančné účtovníctvo, rozpočet a výkazy, MTZ, elektronický systém obeh dokladov, samostatný informačný systém evidencie a správy prenájmu nehnuteľností, stravovací systém Kredit 8 a elektronický registratúrny systém.</w:t>
      </w:r>
    </w:p>
    <w:p w:rsidR="00B51749" w:rsidRPr="002D7A10" w:rsidRDefault="00B51749" w:rsidP="00B51749">
      <w:pPr>
        <w:rPr>
          <w:rFonts w:asciiTheme="minorHAnsi" w:hAnsiTheme="minorHAnsi"/>
        </w:rPr>
      </w:pPr>
      <w:r w:rsidRPr="002D7A10">
        <w:rPr>
          <w:rFonts w:asciiTheme="minorHAnsi" w:hAnsiTheme="minorHAnsi"/>
          <w:b/>
          <w:bCs/>
        </w:rPr>
        <w:t>Vysokovýkonné počítanie</w:t>
      </w:r>
    </w:p>
    <w:p w:rsidR="00B51749" w:rsidRPr="002D7A10" w:rsidRDefault="00B51749" w:rsidP="00B51749">
      <w:pPr>
        <w:rPr>
          <w:rFonts w:asciiTheme="minorHAnsi" w:hAnsiTheme="minorHAnsi"/>
        </w:rPr>
      </w:pPr>
      <w:r w:rsidRPr="002D7A10">
        <w:rPr>
          <w:rFonts w:asciiTheme="minorHAnsi" w:hAnsiTheme="minorHAnsi"/>
        </w:rPr>
        <w:t>Od júla 2012 CVT zabezpečuje prevádzku výpočtového </w:t>
      </w:r>
      <w:proofErr w:type="spellStart"/>
      <w:r w:rsidRPr="002D7A10">
        <w:rPr>
          <w:rFonts w:asciiTheme="minorHAnsi" w:hAnsiTheme="minorHAnsi"/>
        </w:rPr>
        <w:t>klastra</w:t>
      </w:r>
      <w:proofErr w:type="spellEnd"/>
      <w:r w:rsidRPr="002D7A10">
        <w:rPr>
          <w:rFonts w:asciiTheme="minorHAnsi" w:hAnsiTheme="minorHAnsi"/>
        </w:rPr>
        <w:t xml:space="preserve"> IBM </w:t>
      </w:r>
      <w:proofErr w:type="spellStart"/>
      <w:r w:rsidRPr="002D7A10">
        <w:rPr>
          <w:rFonts w:asciiTheme="minorHAnsi" w:hAnsiTheme="minorHAnsi"/>
        </w:rPr>
        <w:t>iDataPlex</w:t>
      </w:r>
      <w:proofErr w:type="spellEnd"/>
      <w:r w:rsidRPr="002D7A10">
        <w:rPr>
          <w:rFonts w:asciiTheme="minorHAnsi" w:hAnsiTheme="minorHAnsi"/>
        </w:rPr>
        <w:t xml:space="preserve"> s výpočtovým výkonom 6,76 TFLOPS (624 </w:t>
      </w:r>
      <w:proofErr w:type="spellStart"/>
      <w:r w:rsidRPr="002D7A10">
        <w:rPr>
          <w:rFonts w:asciiTheme="minorHAnsi" w:hAnsiTheme="minorHAnsi"/>
        </w:rPr>
        <w:t>cpu</w:t>
      </w:r>
      <w:proofErr w:type="spellEnd"/>
      <w:r w:rsidRPr="002D7A10">
        <w:rPr>
          <w:rFonts w:asciiTheme="minorHAnsi" w:hAnsiTheme="minorHAnsi"/>
        </w:rPr>
        <w:t xml:space="preserve"> + 3584 </w:t>
      </w:r>
      <w:proofErr w:type="spellStart"/>
      <w:r w:rsidRPr="002D7A10">
        <w:rPr>
          <w:rFonts w:asciiTheme="minorHAnsi" w:hAnsiTheme="minorHAnsi"/>
        </w:rPr>
        <w:t>cuda</w:t>
      </w:r>
      <w:proofErr w:type="spellEnd"/>
      <w:r w:rsidRPr="002D7A10">
        <w:rPr>
          <w:rFonts w:asciiTheme="minorHAnsi" w:hAnsiTheme="minorHAnsi"/>
        </w:rPr>
        <w:t xml:space="preserve"> jadier, 2,5 TB RAM). CVT je zároveň pracoviskom zabezpečujúcim kooperovaný prístup na ďalšie </w:t>
      </w:r>
      <w:proofErr w:type="spellStart"/>
      <w:r w:rsidRPr="002D7A10">
        <w:rPr>
          <w:rFonts w:asciiTheme="minorHAnsi" w:hAnsiTheme="minorHAnsi"/>
        </w:rPr>
        <w:t>superpočítače</w:t>
      </w:r>
      <w:proofErr w:type="spellEnd"/>
      <w:r w:rsidRPr="002D7A10">
        <w:rPr>
          <w:rFonts w:asciiTheme="minorHAnsi" w:hAnsiTheme="minorHAnsi"/>
        </w:rPr>
        <w:t xml:space="preserve"> v rámci projektu SIVVP. Hlavný partner projektu je Výpočtové </w:t>
      </w:r>
      <w:r w:rsidRPr="002D7A10">
        <w:rPr>
          <w:rFonts w:asciiTheme="minorHAnsi" w:hAnsiTheme="minorHAnsi"/>
        </w:rPr>
        <w:lastRenderedPageBreak/>
        <w:t xml:space="preserve">stredisko SAV, partneri sú Slovenská technická univerzita v Bratislave, Ústav informatiky SAV, Žilinská univerzita v Žiline, Technická univerzita v Košiciach, Univerzita Mateja Bela v Banskej Bystrici a Ústav experimentálnej fyziky SAV. Podrobnosti o projekte na </w:t>
      </w:r>
      <w:hyperlink r:id="rId56" w:history="1">
        <w:r w:rsidRPr="002D7A10">
          <w:rPr>
            <w:rStyle w:val="Hypertextovprepojenie"/>
            <w:rFonts w:asciiTheme="minorHAnsi" w:hAnsiTheme="minorHAnsi"/>
            <w:color w:val="auto"/>
          </w:rPr>
          <w:t>www.hpc.stuba.sk</w:t>
        </w:r>
      </w:hyperlink>
      <w:r w:rsidRPr="002D7A10">
        <w:rPr>
          <w:rFonts w:asciiTheme="minorHAnsi" w:hAnsiTheme="minorHAnsi"/>
        </w:rPr>
        <w:t>.</w:t>
      </w:r>
    </w:p>
    <w:p w:rsidR="00B51749" w:rsidRPr="002D7A10" w:rsidRDefault="00B51749" w:rsidP="00B51749">
      <w:pPr>
        <w:rPr>
          <w:rFonts w:asciiTheme="minorHAnsi" w:hAnsiTheme="minorHAnsi"/>
        </w:rPr>
      </w:pPr>
      <w:r w:rsidRPr="002D7A10">
        <w:rPr>
          <w:rFonts w:asciiTheme="minorHAnsi" w:hAnsiTheme="minorHAnsi"/>
          <w:b/>
          <w:bCs/>
        </w:rPr>
        <w:t xml:space="preserve">Komunikačná infraštruktúra </w:t>
      </w:r>
    </w:p>
    <w:p w:rsidR="00B51749" w:rsidRPr="002D7A10" w:rsidRDefault="00B51749" w:rsidP="00B51749">
      <w:pPr>
        <w:rPr>
          <w:rFonts w:asciiTheme="minorHAnsi" w:hAnsiTheme="minorHAnsi"/>
        </w:rPr>
      </w:pPr>
      <w:r w:rsidRPr="002D7A10">
        <w:rPr>
          <w:rFonts w:asciiTheme="minorHAnsi" w:hAnsiTheme="minorHAnsi"/>
        </w:rPr>
        <w:t xml:space="preserve">Na STU je v plnej 24-hodinovej prevádzke hlavný uzol siete SANET, do nej sa prepája sieť STUNET a iné akademické medzinárodné siete (ACONET, GEANT a CESNET). Do siete STUNET sú pripojené aj všetky študentské domovy STU. Na fakultách sú k dispozícii kiosky (45) s prístupom do AIS. Na STU je v 24-hodinovej prevádzke slovenské </w:t>
      </w:r>
      <w:proofErr w:type="spellStart"/>
      <w:r w:rsidRPr="002D7A10">
        <w:rPr>
          <w:rFonts w:asciiTheme="minorHAnsi" w:hAnsiTheme="minorHAnsi"/>
        </w:rPr>
        <w:t>peeringové</w:t>
      </w:r>
      <w:proofErr w:type="spellEnd"/>
      <w:r w:rsidRPr="002D7A10">
        <w:rPr>
          <w:rFonts w:asciiTheme="minorHAnsi" w:hAnsiTheme="minorHAnsi"/>
        </w:rPr>
        <w:t xml:space="preserve"> centrum – SIX (Slovak Internet </w:t>
      </w:r>
      <w:proofErr w:type="spellStart"/>
      <w:r w:rsidRPr="002D7A10">
        <w:rPr>
          <w:rFonts w:asciiTheme="minorHAnsi" w:hAnsiTheme="minorHAnsi"/>
        </w:rPr>
        <w:t>eXchange</w:t>
      </w:r>
      <w:proofErr w:type="spellEnd"/>
      <w:r w:rsidRPr="002D7A10">
        <w:rPr>
          <w:rFonts w:asciiTheme="minorHAnsi" w:hAnsiTheme="minorHAnsi"/>
        </w:rPr>
        <w:t xml:space="preserve">, ktoré predstavuje neutrálne miesto na výmenu sieťovej infraštruktúry poskytovateľov internetu na Slovensku. Do </w:t>
      </w:r>
      <w:proofErr w:type="spellStart"/>
      <w:r w:rsidRPr="002D7A10">
        <w:rPr>
          <w:rFonts w:asciiTheme="minorHAnsi" w:hAnsiTheme="minorHAnsi"/>
        </w:rPr>
        <w:t>SIXu</w:t>
      </w:r>
      <w:proofErr w:type="spellEnd"/>
      <w:r w:rsidRPr="002D7A10">
        <w:rPr>
          <w:rFonts w:asciiTheme="minorHAnsi" w:hAnsiTheme="minorHAnsi"/>
        </w:rPr>
        <w:t xml:space="preserve"> je zapojených v súčasnosti 26 prevádzkovateľov internetu. </w:t>
      </w:r>
    </w:p>
    <w:p w:rsidR="00B51749" w:rsidRPr="002D7A10" w:rsidRDefault="00B51749" w:rsidP="00B51749">
      <w:pPr>
        <w:rPr>
          <w:rFonts w:asciiTheme="minorHAnsi" w:hAnsiTheme="minorHAnsi"/>
          <w:b/>
        </w:rPr>
      </w:pPr>
      <w:r w:rsidRPr="002D7A10">
        <w:rPr>
          <w:rFonts w:asciiTheme="minorHAnsi" w:hAnsiTheme="minorHAnsi"/>
          <w:b/>
        </w:rPr>
        <w:t>Videokonferencie</w:t>
      </w:r>
    </w:p>
    <w:p w:rsidR="00B51749" w:rsidRPr="002D7A10" w:rsidRDefault="00B51749" w:rsidP="00B51749">
      <w:pPr>
        <w:rPr>
          <w:rFonts w:asciiTheme="minorHAnsi" w:hAnsiTheme="minorHAnsi"/>
          <w:b/>
        </w:rPr>
      </w:pPr>
      <w:r w:rsidRPr="002D7A10">
        <w:rPr>
          <w:rFonts w:asciiTheme="minorHAnsi" w:hAnsiTheme="minorHAnsi"/>
        </w:rPr>
        <w:t xml:space="preserve">Na rektoráte STU a na MTF v Trnave je k dispozícii aj zariadenie pre </w:t>
      </w:r>
      <w:proofErr w:type="spellStart"/>
      <w:r w:rsidRPr="002D7A10">
        <w:rPr>
          <w:rFonts w:asciiTheme="minorHAnsi" w:hAnsiTheme="minorHAnsi"/>
        </w:rPr>
        <w:t>telekonferencie</w:t>
      </w:r>
      <w:proofErr w:type="spellEnd"/>
      <w:r w:rsidRPr="002D7A10">
        <w:rPr>
          <w:rFonts w:asciiTheme="minorHAnsi" w:hAnsiTheme="minorHAnsi"/>
        </w:rPr>
        <w:t xml:space="preserve"> CISCO </w:t>
      </w:r>
      <w:proofErr w:type="spellStart"/>
      <w:r w:rsidRPr="002D7A10">
        <w:rPr>
          <w:rFonts w:asciiTheme="minorHAnsi" w:hAnsiTheme="minorHAnsi"/>
        </w:rPr>
        <w:t>Telepresence</w:t>
      </w:r>
      <w:proofErr w:type="spellEnd"/>
      <w:r w:rsidRPr="002D7A10">
        <w:rPr>
          <w:rFonts w:asciiTheme="minorHAnsi" w:hAnsiTheme="minorHAnsi"/>
        </w:rPr>
        <w:t xml:space="preserve">, ktoré umožňuje </w:t>
      </w:r>
      <w:proofErr w:type="spellStart"/>
      <w:r w:rsidRPr="002D7A10">
        <w:rPr>
          <w:rFonts w:asciiTheme="minorHAnsi" w:hAnsiTheme="minorHAnsi"/>
        </w:rPr>
        <w:t>video</w:t>
      </w:r>
      <w:r w:rsidR="009E604E" w:rsidRPr="002D7A10">
        <w:rPr>
          <w:rFonts w:asciiTheme="minorHAnsi" w:hAnsiTheme="minorHAnsi"/>
        </w:rPr>
        <w:softHyphen/>
      </w:r>
      <w:r w:rsidRPr="002D7A10">
        <w:rPr>
          <w:rFonts w:asciiTheme="minorHAnsi" w:hAnsiTheme="minorHAnsi"/>
        </w:rPr>
        <w:t>konferenčné</w:t>
      </w:r>
      <w:proofErr w:type="spellEnd"/>
      <w:r w:rsidRPr="002D7A10">
        <w:rPr>
          <w:rFonts w:asciiTheme="minorHAnsi" w:hAnsiTheme="minorHAnsi"/>
        </w:rPr>
        <w:t xml:space="preserve"> prepojenie so slovenskými, európskymi i zámorskými univerzitami i komerčnými pracoviskami. </w:t>
      </w:r>
    </w:p>
    <w:p w:rsidR="00B51749" w:rsidRPr="002D7A10" w:rsidRDefault="00B51749" w:rsidP="00B51749">
      <w:pPr>
        <w:rPr>
          <w:rFonts w:asciiTheme="minorHAnsi" w:hAnsiTheme="minorHAnsi"/>
          <w:color w:val="FF0000"/>
        </w:rPr>
      </w:pPr>
    </w:p>
    <w:p w:rsidR="00B51749" w:rsidRPr="002D7A10" w:rsidRDefault="00B51749" w:rsidP="00B51749">
      <w:pPr>
        <w:pStyle w:val="Nadpis2"/>
        <w:rPr>
          <w:rFonts w:asciiTheme="minorHAnsi" w:hAnsiTheme="minorHAnsi"/>
          <w:color w:val="auto"/>
          <w:sz w:val="24"/>
          <w:szCs w:val="24"/>
        </w:rPr>
      </w:pPr>
      <w:bookmarkStart w:id="60" w:name="_Toc448261600"/>
      <w:r w:rsidRPr="002D7A10">
        <w:rPr>
          <w:rFonts w:asciiTheme="minorHAnsi" w:hAnsiTheme="minorHAnsi"/>
          <w:color w:val="auto"/>
          <w:sz w:val="24"/>
          <w:szCs w:val="24"/>
        </w:rPr>
        <w:t>Vysokoškolský umelecký súbor Technik STU</w:t>
      </w:r>
      <w:bookmarkEnd w:id="60"/>
    </w:p>
    <w:p w:rsidR="00B51749" w:rsidRPr="002D7A10" w:rsidRDefault="00B51749" w:rsidP="00DC7369">
      <w:pPr>
        <w:rPr>
          <w:rFonts w:asciiTheme="minorHAnsi" w:hAnsiTheme="minorHAnsi"/>
          <w:color w:val="FF0000"/>
          <w:lang w:eastAsia="cs-CZ"/>
        </w:rPr>
      </w:pPr>
    </w:p>
    <w:p w:rsidR="00A7353D" w:rsidRPr="002D7A10" w:rsidRDefault="00A7353D" w:rsidP="00DC7369">
      <w:pPr>
        <w:rPr>
          <w:rFonts w:asciiTheme="minorHAnsi" w:hAnsiTheme="minorHAnsi"/>
        </w:rPr>
      </w:pPr>
      <w:r w:rsidRPr="002D7A10">
        <w:rPr>
          <w:rFonts w:asciiTheme="minorHAnsi" w:hAnsiTheme="minorHAnsi"/>
        </w:rPr>
        <w:t>VUS TECHNIK v období od 1. 1. 2015 do 31. 12. 2015 pracoval v</w:t>
      </w:r>
      <w:r w:rsidR="00477430" w:rsidRPr="002D7A10">
        <w:rPr>
          <w:rFonts w:asciiTheme="minorHAnsi" w:hAnsiTheme="minorHAnsi"/>
        </w:rPr>
        <w:t> </w:t>
      </w:r>
      <w:r w:rsidRPr="002D7A10">
        <w:rPr>
          <w:rFonts w:asciiTheme="minorHAnsi" w:hAnsiTheme="minorHAnsi"/>
        </w:rPr>
        <w:t>zložení</w:t>
      </w:r>
      <w:r w:rsidR="00477430" w:rsidRPr="002D7A10">
        <w:rPr>
          <w:rFonts w:asciiTheme="minorHAnsi" w:hAnsiTheme="minorHAnsi"/>
        </w:rPr>
        <w:t>:</w:t>
      </w:r>
    </w:p>
    <w:p w:rsidR="00A7353D" w:rsidRPr="002D7A10" w:rsidRDefault="00477430" w:rsidP="00DC7369">
      <w:pPr>
        <w:rPr>
          <w:rFonts w:asciiTheme="minorHAnsi" w:hAnsiTheme="minorHAnsi"/>
        </w:rPr>
      </w:pPr>
      <w:proofErr w:type="spellStart"/>
      <w:r w:rsidRPr="002D7A10">
        <w:rPr>
          <w:rFonts w:asciiTheme="minorHAnsi" w:hAnsiTheme="minorHAnsi"/>
        </w:rPr>
        <w:t>Mgr.art</w:t>
      </w:r>
      <w:proofErr w:type="spellEnd"/>
      <w:r w:rsidRPr="002D7A10">
        <w:rPr>
          <w:rFonts w:asciiTheme="minorHAnsi" w:hAnsiTheme="minorHAnsi"/>
        </w:rPr>
        <w:t xml:space="preserve">. Ľubica </w:t>
      </w:r>
      <w:proofErr w:type="spellStart"/>
      <w:r w:rsidRPr="002D7A10">
        <w:rPr>
          <w:rFonts w:asciiTheme="minorHAnsi" w:hAnsiTheme="minorHAnsi"/>
        </w:rPr>
        <w:t>Mešková</w:t>
      </w:r>
      <w:proofErr w:type="spellEnd"/>
      <w:r w:rsidRPr="002D7A10">
        <w:rPr>
          <w:rFonts w:asciiTheme="minorHAnsi" w:hAnsiTheme="minorHAnsi"/>
        </w:rPr>
        <w:t xml:space="preserve"> </w:t>
      </w:r>
      <w:r w:rsidRPr="002D7A10">
        <w:rPr>
          <w:rFonts w:asciiTheme="minorHAnsi" w:hAnsiTheme="minorHAnsi"/>
        </w:rPr>
        <w:tab/>
      </w:r>
      <w:r w:rsidRPr="002D7A10">
        <w:rPr>
          <w:rFonts w:asciiTheme="minorHAnsi" w:hAnsiTheme="minorHAnsi"/>
        </w:rPr>
        <w:tab/>
      </w:r>
      <w:r w:rsidR="0037480B" w:rsidRPr="002D7A10">
        <w:rPr>
          <w:rFonts w:asciiTheme="minorHAnsi" w:hAnsiTheme="minorHAnsi"/>
        </w:rPr>
        <w:tab/>
      </w:r>
      <w:r w:rsidR="00A7353D" w:rsidRPr="002D7A10">
        <w:rPr>
          <w:rFonts w:asciiTheme="minorHAnsi" w:hAnsiTheme="minorHAnsi"/>
        </w:rPr>
        <w:t xml:space="preserve">riaditeľka  súboru </w:t>
      </w:r>
    </w:p>
    <w:p w:rsidR="00A7353D" w:rsidRPr="002D7A10" w:rsidRDefault="00A7353D" w:rsidP="00DC7369">
      <w:pPr>
        <w:rPr>
          <w:rFonts w:asciiTheme="minorHAnsi" w:hAnsiTheme="minorHAnsi"/>
        </w:rPr>
      </w:pPr>
      <w:r w:rsidRPr="002D7A10">
        <w:rPr>
          <w:rFonts w:asciiTheme="minorHAnsi" w:hAnsiTheme="minorHAnsi"/>
        </w:rPr>
        <w:t xml:space="preserve">Ing. Lucia Otrubová </w:t>
      </w:r>
      <w:r w:rsidRPr="002D7A10">
        <w:rPr>
          <w:rFonts w:asciiTheme="minorHAnsi" w:hAnsiTheme="minorHAnsi"/>
        </w:rPr>
        <w:tab/>
      </w:r>
      <w:r w:rsidRPr="002D7A10">
        <w:rPr>
          <w:rFonts w:asciiTheme="minorHAnsi" w:hAnsiTheme="minorHAnsi"/>
        </w:rPr>
        <w:tab/>
      </w:r>
      <w:r w:rsidRPr="002D7A10">
        <w:rPr>
          <w:rFonts w:asciiTheme="minorHAnsi" w:hAnsiTheme="minorHAnsi"/>
        </w:rPr>
        <w:tab/>
      </w:r>
      <w:r w:rsidR="0037480B" w:rsidRPr="002D7A10">
        <w:rPr>
          <w:rFonts w:asciiTheme="minorHAnsi" w:hAnsiTheme="minorHAnsi"/>
        </w:rPr>
        <w:tab/>
      </w:r>
      <w:r w:rsidRPr="002D7A10">
        <w:rPr>
          <w:rFonts w:asciiTheme="minorHAnsi" w:hAnsiTheme="minorHAnsi"/>
        </w:rPr>
        <w:t xml:space="preserve">tajomníčka súboru </w:t>
      </w:r>
    </w:p>
    <w:p w:rsidR="00A7353D" w:rsidRPr="002D7A10" w:rsidRDefault="0037480B" w:rsidP="00DC7369">
      <w:pPr>
        <w:ind w:left="4245" w:hanging="4245"/>
        <w:rPr>
          <w:rFonts w:asciiTheme="minorHAnsi" w:hAnsiTheme="minorHAnsi"/>
        </w:rPr>
      </w:pPr>
      <w:r w:rsidRPr="002D7A10">
        <w:rPr>
          <w:rFonts w:asciiTheme="minorHAnsi" w:hAnsiTheme="minorHAnsi"/>
        </w:rPr>
        <w:t xml:space="preserve">Bc. Igor </w:t>
      </w:r>
      <w:proofErr w:type="spellStart"/>
      <w:r w:rsidRPr="002D7A10">
        <w:rPr>
          <w:rFonts w:asciiTheme="minorHAnsi" w:hAnsiTheme="minorHAnsi"/>
        </w:rPr>
        <w:t>Hajdučík</w:t>
      </w:r>
      <w:proofErr w:type="spellEnd"/>
      <w:r w:rsidR="00477430" w:rsidRPr="002D7A10">
        <w:rPr>
          <w:rFonts w:asciiTheme="minorHAnsi" w:hAnsiTheme="minorHAnsi"/>
        </w:rPr>
        <w:tab/>
      </w:r>
      <w:r w:rsidR="00A7353D" w:rsidRPr="002D7A10">
        <w:rPr>
          <w:rFonts w:asciiTheme="minorHAnsi" w:hAnsiTheme="minorHAnsi"/>
        </w:rPr>
        <w:t xml:space="preserve">umelecký vedúci Folklórneho súboru </w:t>
      </w:r>
    </w:p>
    <w:p w:rsidR="00A7353D" w:rsidRPr="002D7A10" w:rsidRDefault="00477430" w:rsidP="00DC7369">
      <w:pPr>
        <w:ind w:left="4245" w:hanging="4245"/>
        <w:rPr>
          <w:rFonts w:asciiTheme="minorHAnsi" w:hAnsiTheme="minorHAnsi"/>
        </w:rPr>
      </w:pPr>
      <w:r w:rsidRPr="002D7A10">
        <w:rPr>
          <w:rFonts w:asciiTheme="minorHAnsi" w:hAnsiTheme="minorHAnsi"/>
        </w:rPr>
        <w:t xml:space="preserve">Radovan Voloch </w:t>
      </w:r>
      <w:r w:rsidRPr="002D7A10">
        <w:rPr>
          <w:rFonts w:asciiTheme="minorHAnsi" w:hAnsiTheme="minorHAnsi"/>
        </w:rPr>
        <w:tab/>
      </w:r>
      <w:r w:rsidRPr="002D7A10">
        <w:rPr>
          <w:rFonts w:asciiTheme="minorHAnsi" w:hAnsiTheme="minorHAnsi"/>
        </w:rPr>
        <w:tab/>
      </w:r>
      <w:r w:rsidR="00A7353D" w:rsidRPr="002D7A10">
        <w:rPr>
          <w:rFonts w:asciiTheme="minorHAnsi" w:hAnsiTheme="minorHAnsi"/>
        </w:rPr>
        <w:t xml:space="preserve">organizačný vedúci Folklórneho súboru </w:t>
      </w:r>
    </w:p>
    <w:p w:rsidR="00A7353D" w:rsidRPr="002D7A10" w:rsidRDefault="00A7353D" w:rsidP="00DC7369">
      <w:pPr>
        <w:rPr>
          <w:rFonts w:asciiTheme="minorHAnsi" w:hAnsiTheme="minorHAnsi"/>
        </w:rPr>
      </w:pPr>
      <w:r w:rsidRPr="002D7A10">
        <w:rPr>
          <w:rFonts w:asciiTheme="minorHAnsi" w:hAnsiTheme="minorHAnsi"/>
        </w:rPr>
        <w:t xml:space="preserve">Denisa </w:t>
      </w:r>
      <w:proofErr w:type="spellStart"/>
      <w:r w:rsidRPr="002D7A10">
        <w:rPr>
          <w:rFonts w:asciiTheme="minorHAnsi" w:hAnsiTheme="minorHAnsi"/>
        </w:rPr>
        <w:t>Cicáková</w:t>
      </w:r>
      <w:proofErr w:type="spellEnd"/>
      <w:r w:rsidRPr="002D7A10">
        <w:rPr>
          <w:rFonts w:asciiTheme="minorHAnsi" w:hAnsiTheme="minorHAnsi"/>
        </w:rPr>
        <w:tab/>
      </w:r>
      <w:r w:rsidRPr="002D7A10">
        <w:rPr>
          <w:rFonts w:asciiTheme="minorHAnsi" w:hAnsiTheme="minorHAnsi"/>
        </w:rPr>
        <w:tab/>
      </w:r>
      <w:r w:rsidRPr="002D7A10">
        <w:rPr>
          <w:rFonts w:asciiTheme="minorHAnsi" w:hAnsiTheme="minorHAnsi"/>
        </w:rPr>
        <w:tab/>
      </w:r>
      <w:r w:rsidRPr="002D7A10">
        <w:rPr>
          <w:rFonts w:asciiTheme="minorHAnsi" w:hAnsiTheme="minorHAnsi"/>
        </w:rPr>
        <w:tab/>
      </w:r>
      <w:proofErr w:type="spellStart"/>
      <w:r w:rsidRPr="002D7A10">
        <w:rPr>
          <w:rFonts w:asciiTheme="minorHAnsi" w:hAnsiTheme="minorHAnsi"/>
        </w:rPr>
        <w:t>krojárka</w:t>
      </w:r>
      <w:proofErr w:type="spellEnd"/>
      <w:r w:rsidRPr="002D7A10">
        <w:rPr>
          <w:rFonts w:asciiTheme="minorHAnsi" w:hAnsiTheme="minorHAnsi"/>
        </w:rPr>
        <w:t xml:space="preserve"> Folklórneho súboru</w:t>
      </w:r>
    </w:p>
    <w:p w:rsidR="00A7353D" w:rsidRPr="002D7A10" w:rsidRDefault="00A7353D" w:rsidP="00DC7369">
      <w:pPr>
        <w:rPr>
          <w:rFonts w:asciiTheme="minorHAnsi" w:hAnsiTheme="minorHAnsi"/>
        </w:rPr>
      </w:pPr>
      <w:r w:rsidRPr="002D7A10">
        <w:rPr>
          <w:rFonts w:asciiTheme="minorHAnsi" w:hAnsiTheme="minorHAnsi"/>
        </w:rPr>
        <w:t xml:space="preserve">Mgr. Jozef Hudák </w:t>
      </w:r>
      <w:r w:rsidRPr="002D7A10">
        <w:rPr>
          <w:rFonts w:asciiTheme="minorHAnsi" w:hAnsiTheme="minorHAnsi"/>
        </w:rPr>
        <w:tab/>
      </w:r>
      <w:r w:rsidRPr="002D7A10">
        <w:rPr>
          <w:rFonts w:asciiTheme="minorHAnsi" w:hAnsiTheme="minorHAnsi"/>
        </w:rPr>
        <w:tab/>
      </w:r>
      <w:r w:rsidRPr="002D7A10">
        <w:rPr>
          <w:rFonts w:asciiTheme="minorHAnsi" w:hAnsiTheme="minorHAnsi"/>
        </w:rPr>
        <w:tab/>
      </w:r>
      <w:r w:rsidRPr="002D7A10">
        <w:rPr>
          <w:rFonts w:asciiTheme="minorHAnsi" w:hAnsiTheme="minorHAnsi"/>
        </w:rPr>
        <w:tab/>
        <w:t xml:space="preserve">primáš ľudovej hudby </w:t>
      </w:r>
    </w:p>
    <w:p w:rsidR="00A7353D" w:rsidRPr="002D7A10" w:rsidRDefault="00A7353D" w:rsidP="00DC7369">
      <w:pPr>
        <w:rPr>
          <w:rFonts w:asciiTheme="minorHAnsi" w:hAnsiTheme="minorHAnsi"/>
        </w:rPr>
      </w:pPr>
      <w:r w:rsidRPr="002D7A10">
        <w:rPr>
          <w:rFonts w:asciiTheme="minorHAnsi" w:hAnsiTheme="minorHAnsi"/>
        </w:rPr>
        <w:t xml:space="preserve">Štefan </w:t>
      </w:r>
      <w:proofErr w:type="spellStart"/>
      <w:r w:rsidRPr="002D7A10">
        <w:rPr>
          <w:rFonts w:asciiTheme="minorHAnsi" w:hAnsiTheme="minorHAnsi"/>
        </w:rPr>
        <w:t>Molota</w:t>
      </w:r>
      <w:proofErr w:type="spellEnd"/>
      <w:r w:rsidRPr="002D7A10">
        <w:rPr>
          <w:rFonts w:asciiTheme="minorHAnsi" w:hAnsiTheme="minorHAnsi"/>
        </w:rPr>
        <w:tab/>
      </w:r>
      <w:r w:rsidRPr="002D7A10">
        <w:rPr>
          <w:rFonts w:asciiTheme="minorHAnsi" w:hAnsiTheme="minorHAnsi"/>
        </w:rPr>
        <w:tab/>
      </w:r>
      <w:r w:rsidRPr="002D7A10">
        <w:rPr>
          <w:rFonts w:asciiTheme="minorHAnsi" w:hAnsiTheme="minorHAnsi"/>
        </w:rPr>
        <w:tab/>
      </w:r>
      <w:r w:rsidRPr="002D7A10">
        <w:rPr>
          <w:rFonts w:asciiTheme="minorHAnsi" w:hAnsiTheme="minorHAnsi"/>
        </w:rPr>
        <w:tab/>
      </w:r>
      <w:r w:rsidR="0037480B" w:rsidRPr="002D7A10">
        <w:rPr>
          <w:rFonts w:asciiTheme="minorHAnsi" w:hAnsiTheme="minorHAnsi"/>
        </w:rPr>
        <w:tab/>
      </w:r>
      <w:r w:rsidRPr="002D7A10">
        <w:rPr>
          <w:rFonts w:asciiTheme="minorHAnsi" w:hAnsiTheme="minorHAnsi"/>
        </w:rPr>
        <w:t>vedúci ľudovej hudby</w:t>
      </w:r>
      <w:r w:rsidRPr="002D7A10">
        <w:rPr>
          <w:rFonts w:asciiTheme="minorHAnsi" w:hAnsiTheme="minorHAnsi"/>
        </w:rPr>
        <w:tab/>
      </w:r>
    </w:p>
    <w:p w:rsidR="00A7353D" w:rsidRPr="002D7A10" w:rsidRDefault="00477430" w:rsidP="00DC7369">
      <w:pPr>
        <w:ind w:left="4245" w:hanging="4245"/>
        <w:rPr>
          <w:rFonts w:asciiTheme="minorHAnsi" w:hAnsiTheme="minorHAnsi"/>
        </w:rPr>
      </w:pPr>
      <w:r w:rsidRPr="002D7A10">
        <w:rPr>
          <w:rFonts w:asciiTheme="minorHAnsi" w:hAnsiTheme="minorHAnsi"/>
        </w:rPr>
        <w:t>Ing. Lucia Turiničová</w:t>
      </w:r>
      <w:r w:rsidRPr="002D7A10">
        <w:rPr>
          <w:rFonts w:asciiTheme="minorHAnsi" w:hAnsiTheme="minorHAnsi"/>
        </w:rPr>
        <w:tab/>
      </w:r>
      <w:r w:rsidRPr="002D7A10">
        <w:rPr>
          <w:rFonts w:asciiTheme="minorHAnsi" w:hAnsiTheme="minorHAnsi"/>
        </w:rPr>
        <w:tab/>
      </w:r>
      <w:r w:rsidR="00A7353D" w:rsidRPr="002D7A10">
        <w:rPr>
          <w:rFonts w:asciiTheme="minorHAnsi" w:hAnsiTheme="minorHAnsi"/>
        </w:rPr>
        <w:t>vedúca dievčenskej speváckej skupiny</w:t>
      </w:r>
    </w:p>
    <w:p w:rsidR="00A7353D" w:rsidRPr="002D7A10" w:rsidRDefault="00A7353D" w:rsidP="00DC7369">
      <w:pPr>
        <w:rPr>
          <w:rFonts w:asciiTheme="minorHAnsi" w:hAnsiTheme="minorHAnsi"/>
        </w:rPr>
      </w:pPr>
      <w:proofErr w:type="spellStart"/>
      <w:r w:rsidRPr="002D7A10">
        <w:rPr>
          <w:rFonts w:asciiTheme="minorHAnsi" w:hAnsiTheme="minorHAnsi"/>
        </w:rPr>
        <w:t>Mgr.art</w:t>
      </w:r>
      <w:proofErr w:type="spellEnd"/>
      <w:r w:rsidRPr="002D7A10">
        <w:rPr>
          <w:rFonts w:asciiTheme="minorHAnsi" w:hAnsiTheme="minorHAnsi"/>
        </w:rPr>
        <w:t>. Mirko Krajči</w:t>
      </w:r>
      <w:r w:rsidRPr="002D7A10">
        <w:rPr>
          <w:rFonts w:asciiTheme="minorHAnsi" w:hAnsiTheme="minorHAnsi"/>
        </w:rPr>
        <w:tab/>
      </w:r>
      <w:r w:rsidRPr="002D7A10">
        <w:rPr>
          <w:rFonts w:asciiTheme="minorHAnsi" w:hAnsiTheme="minorHAnsi"/>
        </w:rPr>
        <w:tab/>
      </w:r>
      <w:r w:rsidRPr="002D7A10">
        <w:rPr>
          <w:rFonts w:asciiTheme="minorHAnsi" w:hAnsiTheme="minorHAnsi"/>
        </w:rPr>
        <w:tab/>
      </w:r>
      <w:r w:rsidR="00FC30E5">
        <w:rPr>
          <w:rFonts w:asciiTheme="minorHAnsi" w:hAnsiTheme="minorHAnsi"/>
        </w:rPr>
        <w:tab/>
      </w:r>
      <w:r w:rsidRPr="002D7A10">
        <w:rPr>
          <w:rFonts w:asciiTheme="minorHAnsi" w:hAnsiTheme="minorHAnsi"/>
        </w:rPr>
        <w:t>dirigent  Komorného orchestra</w:t>
      </w:r>
    </w:p>
    <w:p w:rsidR="00A7353D" w:rsidRPr="002D7A10" w:rsidRDefault="00A7353D" w:rsidP="00DC7369">
      <w:pPr>
        <w:rPr>
          <w:rFonts w:asciiTheme="minorHAnsi" w:hAnsiTheme="minorHAnsi"/>
        </w:rPr>
      </w:pPr>
      <w:r w:rsidRPr="002D7A10">
        <w:rPr>
          <w:rFonts w:asciiTheme="minorHAnsi" w:hAnsiTheme="minorHAnsi"/>
        </w:rPr>
        <w:t>František Török (2008)</w:t>
      </w:r>
      <w:r w:rsidRPr="002D7A10">
        <w:rPr>
          <w:rFonts w:asciiTheme="minorHAnsi" w:hAnsiTheme="minorHAnsi"/>
        </w:rPr>
        <w:tab/>
      </w:r>
      <w:r w:rsidRPr="002D7A10">
        <w:rPr>
          <w:rFonts w:asciiTheme="minorHAnsi" w:hAnsiTheme="minorHAnsi"/>
        </w:rPr>
        <w:tab/>
      </w:r>
      <w:r w:rsidRPr="002D7A10">
        <w:rPr>
          <w:rFonts w:asciiTheme="minorHAnsi" w:hAnsiTheme="minorHAnsi"/>
        </w:rPr>
        <w:tab/>
        <w:t>prvé husle  Komorného súboru</w:t>
      </w:r>
    </w:p>
    <w:p w:rsidR="00A7353D" w:rsidRPr="002D7A10" w:rsidRDefault="00A7353D" w:rsidP="00DC7369">
      <w:pPr>
        <w:rPr>
          <w:rFonts w:asciiTheme="minorHAnsi" w:hAnsiTheme="minorHAnsi"/>
        </w:rPr>
      </w:pPr>
      <w:r w:rsidRPr="002D7A10">
        <w:rPr>
          <w:rFonts w:asciiTheme="minorHAnsi" w:hAnsiTheme="minorHAnsi"/>
        </w:rPr>
        <w:t xml:space="preserve">Andrea Pavlovičová              </w:t>
      </w:r>
      <w:r w:rsidR="00477430" w:rsidRPr="002D7A10">
        <w:rPr>
          <w:rFonts w:asciiTheme="minorHAnsi" w:hAnsiTheme="minorHAnsi"/>
        </w:rPr>
        <w:t xml:space="preserve">               </w:t>
      </w:r>
      <w:r w:rsidR="0037480B" w:rsidRPr="002D7A10">
        <w:rPr>
          <w:rFonts w:asciiTheme="minorHAnsi" w:hAnsiTheme="minorHAnsi"/>
        </w:rPr>
        <w:tab/>
      </w:r>
      <w:r w:rsidR="00FC30E5">
        <w:rPr>
          <w:rFonts w:asciiTheme="minorHAnsi" w:hAnsiTheme="minorHAnsi"/>
        </w:rPr>
        <w:tab/>
      </w:r>
      <w:r w:rsidRPr="002D7A10">
        <w:rPr>
          <w:rFonts w:asciiTheme="minorHAnsi" w:hAnsiTheme="minorHAnsi"/>
        </w:rPr>
        <w:t xml:space="preserve">koncertná majsterka </w:t>
      </w:r>
    </w:p>
    <w:p w:rsidR="00A7353D" w:rsidRPr="002D7A10" w:rsidRDefault="00477430" w:rsidP="00DC7369">
      <w:pPr>
        <w:rPr>
          <w:rFonts w:asciiTheme="minorHAnsi" w:hAnsiTheme="minorHAnsi"/>
        </w:rPr>
      </w:pPr>
      <w:r w:rsidRPr="002D7A10">
        <w:rPr>
          <w:rFonts w:asciiTheme="minorHAnsi" w:hAnsiTheme="minorHAnsi"/>
        </w:rPr>
        <w:t xml:space="preserve">Andrea </w:t>
      </w:r>
      <w:proofErr w:type="spellStart"/>
      <w:r w:rsidRPr="002D7A10">
        <w:rPr>
          <w:rFonts w:asciiTheme="minorHAnsi" w:hAnsiTheme="minorHAnsi"/>
        </w:rPr>
        <w:t>Pietrová</w:t>
      </w:r>
      <w:proofErr w:type="spellEnd"/>
      <w:r w:rsidRPr="002D7A10">
        <w:rPr>
          <w:rFonts w:asciiTheme="minorHAnsi" w:hAnsiTheme="minorHAnsi"/>
        </w:rPr>
        <w:tab/>
      </w:r>
      <w:r w:rsidRPr="002D7A10">
        <w:rPr>
          <w:rFonts w:asciiTheme="minorHAnsi" w:hAnsiTheme="minorHAnsi"/>
        </w:rPr>
        <w:tab/>
      </w:r>
      <w:r w:rsidRPr="002D7A10">
        <w:rPr>
          <w:rFonts w:asciiTheme="minorHAnsi" w:hAnsiTheme="minorHAnsi"/>
        </w:rPr>
        <w:tab/>
        <w:t xml:space="preserve">           </w:t>
      </w:r>
      <w:r w:rsidR="00A7353D" w:rsidRPr="002D7A10">
        <w:rPr>
          <w:rFonts w:asciiTheme="minorHAnsi" w:hAnsiTheme="minorHAnsi"/>
        </w:rPr>
        <w:t xml:space="preserve"> </w:t>
      </w:r>
      <w:r w:rsidR="0037480B" w:rsidRPr="002D7A10">
        <w:rPr>
          <w:rFonts w:asciiTheme="minorHAnsi" w:hAnsiTheme="minorHAnsi"/>
        </w:rPr>
        <w:t xml:space="preserve"> </w:t>
      </w:r>
      <w:r w:rsidR="00A7353D" w:rsidRPr="002D7A10">
        <w:rPr>
          <w:rFonts w:asciiTheme="minorHAnsi" w:hAnsiTheme="minorHAnsi"/>
        </w:rPr>
        <w:t xml:space="preserve">organizačná vedúca KO </w:t>
      </w:r>
    </w:p>
    <w:p w:rsidR="00A7353D" w:rsidRPr="002D7A10" w:rsidRDefault="00A7353D" w:rsidP="00DC7369">
      <w:pPr>
        <w:rPr>
          <w:rFonts w:asciiTheme="minorHAnsi" w:hAnsiTheme="minorHAnsi"/>
        </w:rPr>
      </w:pPr>
      <w:proofErr w:type="spellStart"/>
      <w:r w:rsidRPr="002D7A10">
        <w:rPr>
          <w:rFonts w:asciiTheme="minorHAnsi" w:hAnsiTheme="minorHAnsi"/>
        </w:rPr>
        <w:t>Bibiana</w:t>
      </w:r>
      <w:proofErr w:type="spellEnd"/>
      <w:r w:rsidRPr="002D7A10">
        <w:rPr>
          <w:rFonts w:asciiTheme="minorHAnsi" w:hAnsiTheme="minorHAnsi"/>
        </w:rPr>
        <w:t xml:space="preserve"> </w:t>
      </w:r>
      <w:proofErr w:type="spellStart"/>
      <w:r w:rsidRPr="002D7A10">
        <w:rPr>
          <w:rFonts w:asciiTheme="minorHAnsi" w:hAnsiTheme="minorHAnsi"/>
        </w:rPr>
        <w:t>Rybarová</w:t>
      </w:r>
      <w:proofErr w:type="spellEnd"/>
      <w:r w:rsidRPr="002D7A10">
        <w:rPr>
          <w:rFonts w:asciiTheme="minorHAnsi" w:hAnsiTheme="minorHAnsi"/>
        </w:rPr>
        <w:t xml:space="preserve">               </w:t>
      </w:r>
      <w:r w:rsidR="00477430" w:rsidRPr="002D7A10">
        <w:rPr>
          <w:rFonts w:asciiTheme="minorHAnsi" w:hAnsiTheme="minorHAnsi"/>
        </w:rPr>
        <w:t xml:space="preserve">                   </w:t>
      </w:r>
      <w:r w:rsidR="0037480B" w:rsidRPr="002D7A10">
        <w:rPr>
          <w:rFonts w:asciiTheme="minorHAnsi" w:hAnsiTheme="minorHAnsi"/>
        </w:rPr>
        <w:tab/>
      </w:r>
      <w:r w:rsidR="00FC30E5">
        <w:rPr>
          <w:rFonts w:asciiTheme="minorHAnsi" w:hAnsiTheme="minorHAnsi"/>
        </w:rPr>
        <w:tab/>
      </w:r>
      <w:r w:rsidRPr="002D7A10">
        <w:rPr>
          <w:rFonts w:asciiTheme="minorHAnsi" w:hAnsiTheme="minorHAnsi"/>
        </w:rPr>
        <w:t>organizačná vedúca KO</w:t>
      </w:r>
    </w:p>
    <w:p w:rsidR="00A7353D" w:rsidRPr="002D7A10" w:rsidRDefault="00A7353D" w:rsidP="00DC7369">
      <w:pPr>
        <w:rPr>
          <w:rFonts w:asciiTheme="minorHAnsi" w:hAnsiTheme="minorHAnsi"/>
        </w:rPr>
      </w:pPr>
      <w:r w:rsidRPr="002D7A10">
        <w:rPr>
          <w:rFonts w:asciiTheme="minorHAnsi" w:hAnsiTheme="minorHAnsi"/>
        </w:rPr>
        <w:t xml:space="preserve">Mgr. Petra </w:t>
      </w:r>
      <w:proofErr w:type="spellStart"/>
      <w:r w:rsidRPr="002D7A10">
        <w:rPr>
          <w:rFonts w:asciiTheme="minorHAnsi" w:hAnsiTheme="minorHAnsi"/>
        </w:rPr>
        <w:t>Torkošová</w:t>
      </w:r>
      <w:proofErr w:type="spellEnd"/>
      <w:r w:rsidRPr="002D7A10">
        <w:rPr>
          <w:rFonts w:asciiTheme="minorHAnsi" w:hAnsiTheme="minorHAnsi"/>
        </w:rPr>
        <w:tab/>
      </w:r>
      <w:r w:rsidRPr="002D7A10">
        <w:rPr>
          <w:rFonts w:asciiTheme="minorHAnsi" w:hAnsiTheme="minorHAnsi"/>
        </w:rPr>
        <w:tab/>
      </w:r>
      <w:r w:rsidRPr="002D7A10">
        <w:rPr>
          <w:rFonts w:asciiTheme="minorHAnsi" w:hAnsiTheme="minorHAnsi"/>
        </w:rPr>
        <w:tab/>
      </w:r>
      <w:r w:rsidR="00FC30E5">
        <w:rPr>
          <w:rFonts w:asciiTheme="minorHAnsi" w:hAnsiTheme="minorHAnsi"/>
        </w:rPr>
        <w:tab/>
      </w:r>
      <w:r w:rsidRPr="002D7A10">
        <w:rPr>
          <w:rFonts w:asciiTheme="minorHAnsi" w:hAnsiTheme="minorHAnsi"/>
        </w:rPr>
        <w:t xml:space="preserve">dirigentka Speváckeho zboru </w:t>
      </w:r>
    </w:p>
    <w:p w:rsidR="00A7353D" w:rsidRPr="002D7A10" w:rsidRDefault="00A7353D" w:rsidP="00DC7369">
      <w:pPr>
        <w:rPr>
          <w:rFonts w:asciiTheme="minorHAnsi" w:hAnsiTheme="minorHAnsi"/>
        </w:rPr>
      </w:pPr>
      <w:r w:rsidRPr="002D7A10">
        <w:rPr>
          <w:rFonts w:asciiTheme="minorHAnsi" w:hAnsiTheme="minorHAnsi"/>
        </w:rPr>
        <w:t xml:space="preserve">Ing. Ján </w:t>
      </w:r>
      <w:proofErr w:type="spellStart"/>
      <w:r w:rsidRPr="002D7A10">
        <w:rPr>
          <w:rFonts w:asciiTheme="minorHAnsi" w:hAnsiTheme="minorHAnsi"/>
        </w:rPr>
        <w:t>Pallo</w:t>
      </w:r>
      <w:proofErr w:type="spellEnd"/>
      <w:r w:rsidRPr="002D7A10">
        <w:rPr>
          <w:rFonts w:asciiTheme="minorHAnsi" w:hAnsiTheme="minorHAnsi"/>
        </w:rPr>
        <w:t xml:space="preserve"> </w:t>
      </w:r>
      <w:r w:rsidRPr="002D7A10">
        <w:rPr>
          <w:rFonts w:asciiTheme="minorHAnsi" w:hAnsiTheme="minorHAnsi"/>
        </w:rPr>
        <w:tab/>
      </w:r>
      <w:r w:rsidRPr="002D7A10">
        <w:rPr>
          <w:rFonts w:asciiTheme="minorHAnsi" w:hAnsiTheme="minorHAnsi"/>
        </w:rPr>
        <w:tab/>
      </w:r>
      <w:r w:rsidRPr="002D7A10">
        <w:rPr>
          <w:rFonts w:asciiTheme="minorHAnsi" w:hAnsiTheme="minorHAnsi"/>
        </w:rPr>
        <w:tab/>
      </w:r>
      <w:r w:rsidRPr="002D7A10">
        <w:rPr>
          <w:rFonts w:asciiTheme="minorHAnsi" w:hAnsiTheme="minorHAnsi"/>
        </w:rPr>
        <w:tab/>
      </w:r>
      <w:r w:rsidR="0037480B" w:rsidRPr="002D7A10">
        <w:rPr>
          <w:rFonts w:asciiTheme="minorHAnsi" w:hAnsiTheme="minorHAnsi"/>
        </w:rPr>
        <w:tab/>
      </w:r>
      <w:r w:rsidRPr="002D7A10">
        <w:rPr>
          <w:rFonts w:asciiTheme="minorHAnsi" w:hAnsiTheme="minorHAnsi"/>
        </w:rPr>
        <w:t xml:space="preserve">organizačný vedúci SZ </w:t>
      </w:r>
    </w:p>
    <w:p w:rsidR="00A7353D" w:rsidRPr="002D7A10" w:rsidRDefault="00DC7369" w:rsidP="00DC7369">
      <w:pPr>
        <w:rPr>
          <w:rFonts w:asciiTheme="minorHAnsi" w:hAnsiTheme="minorHAnsi"/>
        </w:rPr>
      </w:pPr>
      <w:r>
        <w:rPr>
          <w:rFonts w:asciiTheme="minorHAnsi" w:hAnsiTheme="minorHAnsi"/>
        </w:rPr>
        <w:t xml:space="preserve"> </w:t>
      </w:r>
    </w:p>
    <w:p w:rsidR="00783A11" w:rsidRPr="00B13FD5" w:rsidRDefault="00B13FD5" w:rsidP="00DC7369">
      <w:pPr>
        <w:rPr>
          <w:rFonts w:asciiTheme="minorHAnsi" w:hAnsiTheme="minorHAnsi"/>
          <w:b/>
        </w:rPr>
      </w:pPr>
      <w:r>
        <w:rPr>
          <w:rFonts w:asciiTheme="minorHAnsi" w:hAnsiTheme="minorHAnsi"/>
          <w:b/>
        </w:rPr>
        <w:t>Folklórny súbor</w:t>
      </w:r>
    </w:p>
    <w:p w:rsidR="00A7353D" w:rsidRPr="002D7A10" w:rsidRDefault="00A7353D" w:rsidP="00DC7369">
      <w:pPr>
        <w:rPr>
          <w:rFonts w:asciiTheme="minorHAnsi" w:hAnsiTheme="minorHAnsi"/>
        </w:rPr>
      </w:pPr>
      <w:r w:rsidRPr="002D7A10">
        <w:rPr>
          <w:rFonts w:asciiTheme="minorHAnsi" w:hAnsiTheme="minorHAnsi"/>
        </w:rPr>
        <w:t>V roku 2015 FS Technik  abs</w:t>
      </w:r>
      <w:r w:rsidR="00DF500A" w:rsidRPr="002D7A10">
        <w:rPr>
          <w:rFonts w:asciiTheme="minorHAnsi" w:hAnsiTheme="minorHAnsi"/>
        </w:rPr>
        <w:t xml:space="preserve">olvoval 32 domácich vystúpení. Išlo o významné </w:t>
      </w:r>
      <w:r w:rsidRPr="002D7A10">
        <w:rPr>
          <w:rFonts w:asciiTheme="minorHAnsi" w:hAnsiTheme="minorHAnsi"/>
        </w:rPr>
        <w:t xml:space="preserve">folklórne festivaly </w:t>
      </w:r>
      <w:r w:rsidR="00DF500A" w:rsidRPr="002D7A10">
        <w:rPr>
          <w:rFonts w:asciiTheme="minorHAnsi" w:hAnsiTheme="minorHAnsi"/>
        </w:rPr>
        <w:t xml:space="preserve">ako </w:t>
      </w:r>
      <w:proofErr w:type="spellStart"/>
      <w:r w:rsidRPr="002D7A10">
        <w:rPr>
          <w:rFonts w:asciiTheme="minorHAnsi" w:hAnsiTheme="minorHAnsi"/>
        </w:rPr>
        <w:t>Podjavorinské</w:t>
      </w:r>
      <w:proofErr w:type="spellEnd"/>
      <w:r w:rsidRPr="002D7A10">
        <w:rPr>
          <w:rFonts w:asciiTheme="minorHAnsi" w:hAnsiTheme="minorHAnsi"/>
        </w:rPr>
        <w:t xml:space="preserve"> folklórne slávnosti 2015, MFF Strážnica 2015, Východná 2015, Akademický Zvolen 2015, Mariková 2015, Prenčov 2015, Dni majstrov 2015, Strážnické vinobranie 2015, Slávnosti jablka – </w:t>
      </w:r>
      <w:proofErr w:type="spellStart"/>
      <w:r w:rsidRPr="002D7A10">
        <w:rPr>
          <w:rFonts w:asciiTheme="minorHAnsi" w:hAnsiTheme="minorHAnsi"/>
        </w:rPr>
        <w:t>Sychrov</w:t>
      </w:r>
      <w:proofErr w:type="spellEnd"/>
      <w:r w:rsidRPr="002D7A10">
        <w:rPr>
          <w:rFonts w:asciiTheme="minorHAnsi" w:hAnsiTheme="minorHAnsi"/>
        </w:rPr>
        <w:t xml:space="preserve"> 2015, MFF </w:t>
      </w:r>
      <w:proofErr w:type="spellStart"/>
      <w:r w:rsidRPr="002D7A10">
        <w:rPr>
          <w:rFonts w:asciiTheme="minorHAnsi" w:hAnsiTheme="minorHAnsi"/>
        </w:rPr>
        <w:t>Lebork</w:t>
      </w:r>
      <w:proofErr w:type="spellEnd"/>
      <w:r w:rsidRPr="002D7A10">
        <w:rPr>
          <w:rFonts w:asciiTheme="minorHAnsi" w:hAnsiTheme="minorHAnsi"/>
        </w:rPr>
        <w:t xml:space="preserve"> </w:t>
      </w:r>
      <w:r w:rsidR="00DF500A" w:rsidRPr="002D7A10">
        <w:rPr>
          <w:rFonts w:asciiTheme="minorHAnsi" w:hAnsiTheme="minorHAnsi"/>
        </w:rPr>
        <w:t>či</w:t>
      </w:r>
      <w:r w:rsidRPr="002D7A10">
        <w:rPr>
          <w:rFonts w:asciiTheme="minorHAnsi" w:hAnsiTheme="minorHAnsi"/>
        </w:rPr>
        <w:t> MF</w:t>
      </w:r>
      <w:r w:rsidR="00DF500A" w:rsidRPr="002D7A10">
        <w:rPr>
          <w:rFonts w:asciiTheme="minorHAnsi" w:hAnsiTheme="minorHAnsi"/>
        </w:rPr>
        <w:t xml:space="preserve">F </w:t>
      </w:r>
      <w:proofErr w:type="spellStart"/>
      <w:r w:rsidR="00DF500A" w:rsidRPr="002D7A10">
        <w:rPr>
          <w:rFonts w:asciiTheme="minorHAnsi" w:hAnsiTheme="minorHAnsi"/>
        </w:rPr>
        <w:t>Podlaskie</w:t>
      </w:r>
      <w:proofErr w:type="spellEnd"/>
      <w:r w:rsidR="00DF500A" w:rsidRPr="002D7A10">
        <w:rPr>
          <w:rFonts w:asciiTheme="minorHAnsi" w:hAnsiTheme="minorHAnsi"/>
        </w:rPr>
        <w:t xml:space="preserve"> z </w:t>
      </w:r>
      <w:proofErr w:type="spellStart"/>
      <w:r w:rsidR="00DF500A" w:rsidRPr="002D7A10">
        <w:rPr>
          <w:rFonts w:asciiTheme="minorHAnsi" w:hAnsiTheme="minorHAnsi"/>
        </w:rPr>
        <w:t>Podkania</w:t>
      </w:r>
      <w:proofErr w:type="spellEnd"/>
      <w:r w:rsidR="00DF500A" w:rsidRPr="002D7A10">
        <w:rPr>
          <w:rFonts w:asciiTheme="minorHAnsi" w:hAnsiTheme="minorHAnsi"/>
        </w:rPr>
        <w:t xml:space="preserve"> - Poľsko</w:t>
      </w:r>
      <w:r w:rsidRPr="002D7A10">
        <w:rPr>
          <w:rFonts w:asciiTheme="minorHAnsi" w:hAnsiTheme="minorHAnsi"/>
        </w:rPr>
        <w:t xml:space="preserve">. </w:t>
      </w:r>
    </w:p>
    <w:p w:rsidR="00A7353D" w:rsidRPr="002D7A10" w:rsidRDefault="00A7353D" w:rsidP="00DC7369">
      <w:pPr>
        <w:rPr>
          <w:rFonts w:asciiTheme="minorHAnsi" w:hAnsiTheme="minorHAnsi"/>
          <w:b/>
        </w:rPr>
      </w:pPr>
      <w:r w:rsidRPr="002D7A10">
        <w:rPr>
          <w:rFonts w:asciiTheme="minorHAnsi" w:hAnsiTheme="minorHAnsi"/>
          <w:b/>
        </w:rPr>
        <w:t xml:space="preserve">V júni 2015 uviedol </w:t>
      </w:r>
      <w:r w:rsidR="005C4B78" w:rsidRPr="002D7A10">
        <w:rPr>
          <w:rFonts w:asciiTheme="minorHAnsi" w:hAnsiTheme="minorHAnsi"/>
          <w:b/>
        </w:rPr>
        <w:t xml:space="preserve">FS </w:t>
      </w:r>
      <w:r w:rsidRPr="002D7A10">
        <w:rPr>
          <w:rFonts w:asciiTheme="minorHAnsi" w:hAnsiTheme="minorHAnsi"/>
          <w:b/>
        </w:rPr>
        <w:t>pre</w:t>
      </w:r>
      <w:r w:rsidR="00783A11" w:rsidRPr="002D7A10">
        <w:rPr>
          <w:rFonts w:asciiTheme="minorHAnsi" w:hAnsiTheme="minorHAnsi"/>
          <w:b/>
        </w:rPr>
        <w:t>miéru programu Z Mesta na Miesta</w:t>
      </w:r>
      <w:r w:rsidRPr="002D7A10">
        <w:rPr>
          <w:rFonts w:asciiTheme="minorHAnsi" w:hAnsiTheme="minorHAnsi"/>
          <w:b/>
        </w:rPr>
        <w:t>.</w:t>
      </w:r>
    </w:p>
    <w:p w:rsidR="00A7353D" w:rsidRDefault="00A7353D" w:rsidP="00DC7369">
      <w:pPr>
        <w:rPr>
          <w:rFonts w:asciiTheme="minorHAnsi" w:hAnsiTheme="minorHAnsi"/>
        </w:rPr>
      </w:pPr>
      <w:r w:rsidRPr="002D7A10">
        <w:rPr>
          <w:rFonts w:asciiTheme="minorHAnsi" w:hAnsiTheme="minorHAnsi"/>
        </w:rPr>
        <w:lastRenderedPageBreak/>
        <w:t>Počas roku 2015 pracovalo v </w:t>
      </w:r>
      <w:r w:rsidR="003444F9" w:rsidRPr="002D7A10">
        <w:rPr>
          <w:rFonts w:asciiTheme="minorHAnsi" w:hAnsiTheme="minorHAnsi"/>
        </w:rPr>
        <w:t>súbore celkovo 63 členov</w:t>
      </w:r>
      <w:r w:rsidRPr="002D7A10">
        <w:rPr>
          <w:rFonts w:asciiTheme="minorHAnsi" w:hAnsiTheme="minorHAnsi"/>
        </w:rPr>
        <w:t xml:space="preserve">. Na konkurze </w:t>
      </w:r>
      <w:r w:rsidR="00B13FD5">
        <w:rPr>
          <w:rFonts w:asciiTheme="minorHAnsi" w:hAnsiTheme="minorHAnsi"/>
        </w:rPr>
        <w:t>bolo prijatých 8 nových členov.</w:t>
      </w:r>
    </w:p>
    <w:p w:rsidR="00B13FD5" w:rsidRPr="002D7A10" w:rsidRDefault="00B13FD5" w:rsidP="00DC7369">
      <w:pPr>
        <w:rPr>
          <w:rFonts w:asciiTheme="minorHAnsi" w:hAnsiTheme="minorHAnsi"/>
        </w:rPr>
      </w:pPr>
    </w:p>
    <w:p w:rsidR="00A7353D" w:rsidRPr="002D7A10" w:rsidRDefault="00A7353D" w:rsidP="00DC7369">
      <w:pPr>
        <w:pStyle w:val="Nadpis1"/>
        <w:numPr>
          <w:ilvl w:val="0"/>
          <w:numId w:val="0"/>
        </w:numPr>
        <w:spacing w:before="0" w:after="0"/>
        <w:ind w:left="432" w:hanging="432"/>
        <w:jc w:val="both"/>
        <w:rPr>
          <w:rFonts w:asciiTheme="minorHAnsi" w:hAnsiTheme="minorHAnsi"/>
          <w:sz w:val="24"/>
          <w:szCs w:val="24"/>
        </w:rPr>
      </w:pPr>
      <w:bookmarkStart w:id="61" w:name="_Toc448261601"/>
      <w:r w:rsidRPr="002D7A10">
        <w:rPr>
          <w:rFonts w:asciiTheme="minorHAnsi" w:hAnsiTheme="minorHAnsi"/>
          <w:sz w:val="24"/>
          <w:szCs w:val="24"/>
        </w:rPr>
        <w:t>Spevácky zbor</w:t>
      </w:r>
      <w:bookmarkEnd w:id="61"/>
    </w:p>
    <w:p w:rsidR="00A7353D" w:rsidRPr="002D7A10" w:rsidRDefault="00A7353D" w:rsidP="00DC7369">
      <w:pPr>
        <w:rPr>
          <w:rFonts w:asciiTheme="minorHAnsi" w:hAnsiTheme="minorHAnsi"/>
        </w:rPr>
      </w:pPr>
      <w:r w:rsidRPr="002D7A10">
        <w:rPr>
          <w:rFonts w:asciiTheme="minorHAnsi" w:hAnsiTheme="minorHAnsi"/>
        </w:rPr>
        <w:t>V roku 2015 spevácky zbor absolvoval vystúpenia pre študentov a</w:t>
      </w:r>
      <w:r w:rsidR="003444F9" w:rsidRPr="002D7A10">
        <w:rPr>
          <w:rFonts w:asciiTheme="minorHAnsi" w:hAnsiTheme="minorHAnsi"/>
        </w:rPr>
        <w:t> </w:t>
      </w:r>
      <w:r w:rsidRPr="002D7A10">
        <w:rPr>
          <w:rFonts w:asciiTheme="minorHAnsi" w:hAnsiTheme="minorHAnsi"/>
        </w:rPr>
        <w:t>zamestnancov</w:t>
      </w:r>
      <w:r w:rsidR="003444F9" w:rsidRPr="002D7A10">
        <w:rPr>
          <w:rFonts w:asciiTheme="minorHAnsi" w:hAnsiTheme="minorHAnsi"/>
        </w:rPr>
        <w:t xml:space="preserve"> STU</w:t>
      </w:r>
      <w:r w:rsidRPr="002D7A10">
        <w:rPr>
          <w:rFonts w:asciiTheme="minorHAnsi" w:hAnsiTheme="minorHAnsi"/>
        </w:rPr>
        <w:t>, realizoval sériu vokálno-inštrumentálnych projektov, zorganizoval viacero koncertných vystúpení a zúčastnil sa podujat</w:t>
      </w:r>
      <w:r w:rsidR="003444F9" w:rsidRPr="002D7A10">
        <w:rPr>
          <w:rFonts w:asciiTheme="minorHAnsi" w:hAnsiTheme="minorHAnsi"/>
        </w:rPr>
        <w:t xml:space="preserve">iach </w:t>
      </w:r>
      <w:r w:rsidRPr="002D7A10">
        <w:rPr>
          <w:rFonts w:asciiTheme="minorHAnsi" w:hAnsiTheme="minorHAnsi"/>
        </w:rPr>
        <w:t>medzinárodného významu.</w:t>
      </w:r>
    </w:p>
    <w:p w:rsidR="00A7353D" w:rsidRPr="002D7A10" w:rsidRDefault="00A7353D" w:rsidP="00DC7369">
      <w:pPr>
        <w:rPr>
          <w:rFonts w:asciiTheme="minorHAnsi" w:hAnsiTheme="minorHAnsi"/>
        </w:rPr>
      </w:pPr>
      <w:r w:rsidRPr="002D7A10">
        <w:rPr>
          <w:rFonts w:asciiTheme="minorHAnsi" w:hAnsiTheme="minorHAnsi"/>
        </w:rPr>
        <w:t xml:space="preserve">Zúčastnil sa na Slovakia </w:t>
      </w:r>
      <w:proofErr w:type="spellStart"/>
      <w:r w:rsidRPr="002D7A10">
        <w:rPr>
          <w:rFonts w:asciiTheme="minorHAnsi" w:hAnsiTheme="minorHAnsi"/>
        </w:rPr>
        <w:t>Cantat</w:t>
      </w:r>
      <w:proofErr w:type="spellEnd"/>
      <w:r w:rsidRPr="002D7A10">
        <w:rPr>
          <w:rFonts w:asciiTheme="minorHAnsi" w:hAnsiTheme="minorHAnsi"/>
        </w:rPr>
        <w:t xml:space="preserve">  2015 -  kde získal 1x zl</w:t>
      </w:r>
      <w:r w:rsidR="003444F9" w:rsidRPr="002D7A10">
        <w:rPr>
          <w:rFonts w:asciiTheme="minorHAnsi" w:hAnsiTheme="minorHAnsi"/>
        </w:rPr>
        <w:t>até pásmo a 2x strieborné pásmo. N</w:t>
      </w:r>
      <w:r w:rsidRPr="002D7A10">
        <w:rPr>
          <w:rFonts w:asciiTheme="minorHAnsi" w:hAnsiTheme="minorHAnsi"/>
        </w:rPr>
        <w:t>a medzinárodnom súťažnom festivale zborov v Taliansku -</w:t>
      </w:r>
      <w:proofErr w:type="spellStart"/>
      <w:r w:rsidRPr="002D7A10">
        <w:rPr>
          <w:rFonts w:asciiTheme="minorHAnsi" w:hAnsiTheme="minorHAnsi"/>
        </w:rPr>
        <w:t>Seghizzi</w:t>
      </w:r>
      <w:proofErr w:type="spellEnd"/>
      <w:r w:rsidRPr="002D7A10">
        <w:rPr>
          <w:rFonts w:asciiTheme="minorHAnsi" w:hAnsiTheme="minorHAnsi"/>
        </w:rPr>
        <w:t xml:space="preserve">, </w:t>
      </w:r>
      <w:proofErr w:type="spellStart"/>
      <w:r w:rsidRPr="002D7A10">
        <w:rPr>
          <w:rFonts w:asciiTheme="minorHAnsi" w:hAnsiTheme="minorHAnsi"/>
        </w:rPr>
        <w:t>Gorizia</w:t>
      </w:r>
      <w:proofErr w:type="spellEnd"/>
      <w:r w:rsidR="003444F9" w:rsidRPr="002D7A10">
        <w:rPr>
          <w:rFonts w:asciiTheme="minorHAnsi" w:hAnsiTheme="minorHAnsi"/>
        </w:rPr>
        <w:t xml:space="preserve"> za</w:t>
      </w:r>
      <w:r w:rsidRPr="002D7A10">
        <w:rPr>
          <w:rFonts w:asciiTheme="minorHAnsi" w:hAnsiTheme="minorHAnsi"/>
        </w:rPr>
        <w:t xml:space="preserve"> prezentáciu skladieb slovenských autorov </w:t>
      </w:r>
      <w:r w:rsidR="003444F9" w:rsidRPr="002D7A10">
        <w:rPr>
          <w:rFonts w:asciiTheme="minorHAnsi" w:hAnsiTheme="minorHAnsi"/>
        </w:rPr>
        <w:t>získal</w:t>
      </w:r>
      <w:r w:rsidRPr="002D7A10">
        <w:rPr>
          <w:rFonts w:asciiTheme="minorHAnsi" w:hAnsiTheme="minorHAnsi"/>
        </w:rPr>
        <w:t xml:space="preserve"> 4. </w:t>
      </w:r>
      <w:r w:rsidR="003444F9" w:rsidRPr="002D7A10">
        <w:rPr>
          <w:rFonts w:asciiTheme="minorHAnsi" w:hAnsiTheme="minorHAnsi"/>
        </w:rPr>
        <w:t>M</w:t>
      </w:r>
      <w:r w:rsidRPr="002D7A10">
        <w:rPr>
          <w:rFonts w:asciiTheme="minorHAnsi" w:hAnsiTheme="minorHAnsi"/>
        </w:rPr>
        <w:t>iesto</w:t>
      </w:r>
      <w:r w:rsidR="003444F9" w:rsidRPr="002D7A10">
        <w:rPr>
          <w:rFonts w:asciiTheme="minorHAnsi" w:hAnsiTheme="minorHAnsi"/>
        </w:rPr>
        <w:t>. Zúčastnil sa</w:t>
      </w:r>
      <w:r w:rsidRPr="002D7A10">
        <w:rPr>
          <w:rFonts w:asciiTheme="minorHAnsi" w:hAnsiTheme="minorHAnsi"/>
        </w:rPr>
        <w:t xml:space="preserve"> na projekte 4 medzinárodných zborov</w:t>
      </w:r>
      <w:r w:rsidR="003444F9" w:rsidRPr="002D7A10">
        <w:rPr>
          <w:rFonts w:asciiTheme="minorHAnsi" w:hAnsiTheme="minorHAnsi"/>
        </w:rPr>
        <w:t xml:space="preserve"> </w:t>
      </w:r>
      <w:r w:rsidRPr="002D7A10">
        <w:rPr>
          <w:rFonts w:asciiTheme="minorHAnsi" w:hAnsiTheme="minorHAnsi"/>
        </w:rPr>
        <w:t xml:space="preserve">v spolupráci s Bruno </w:t>
      </w:r>
      <w:proofErr w:type="spellStart"/>
      <w:r w:rsidRPr="002D7A10">
        <w:rPr>
          <w:rFonts w:asciiTheme="minorHAnsi" w:hAnsiTheme="minorHAnsi"/>
        </w:rPr>
        <w:t>Walter</w:t>
      </w:r>
      <w:proofErr w:type="spellEnd"/>
      <w:r w:rsidRPr="002D7A10">
        <w:rPr>
          <w:rFonts w:asciiTheme="minorHAnsi" w:hAnsiTheme="minorHAnsi"/>
        </w:rPr>
        <w:t xml:space="preserve"> </w:t>
      </w:r>
      <w:proofErr w:type="spellStart"/>
      <w:r w:rsidRPr="002D7A10">
        <w:rPr>
          <w:rFonts w:asciiTheme="minorHAnsi" w:hAnsiTheme="minorHAnsi"/>
        </w:rPr>
        <w:t>Symphony</w:t>
      </w:r>
      <w:proofErr w:type="spellEnd"/>
      <w:r w:rsidRPr="002D7A10">
        <w:rPr>
          <w:rFonts w:asciiTheme="minorHAnsi" w:hAnsiTheme="minorHAnsi"/>
        </w:rPr>
        <w:t xml:space="preserve"> Orchestra</w:t>
      </w:r>
      <w:r w:rsidR="003444F9" w:rsidRPr="002D7A10">
        <w:rPr>
          <w:rFonts w:asciiTheme="minorHAnsi" w:hAnsiTheme="minorHAnsi"/>
        </w:rPr>
        <w:t xml:space="preserve">: </w:t>
      </w:r>
      <w:r w:rsidRPr="002D7A10">
        <w:rPr>
          <w:rFonts w:asciiTheme="minorHAnsi" w:hAnsiTheme="minorHAnsi"/>
        </w:rPr>
        <w:t>Európsk</w:t>
      </w:r>
      <w:r w:rsidR="003444F9" w:rsidRPr="002D7A10">
        <w:rPr>
          <w:rFonts w:asciiTheme="minorHAnsi" w:hAnsiTheme="minorHAnsi"/>
        </w:rPr>
        <w:t>eho</w:t>
      </w:r>
      <w:r w:rsidRPr="002D7A10">
        <w:rPr>
          <w:rFonts w:asciiTheme="minorHAnsi" w:hAnsiTheme="minorHAnsi"/>
        </w:rPr>
        <w:t xml:space="preserve"> univerzitn</w:t>
      </w:r>
      <w:r w:rsidR="003444F9" w:rsidRPr="002D7A10">
        <w:rPr>
          <w:rFonts w:asciiTheme="minorHAnsi" w:hAnsiTheme="minorHAnsi"/>
        </w:rPr>
        <w:t>ého</w:t>
      </w:r>
      <w:r w:rsidRPr="002D7A10">
        <w:rPr>
          <w:rFonts w:asciiTheme="minorHAnsi" w:hAnsiTheme="minorHAnsi"/>
        </w:rPr>
        <w:t xml:space="preserve"> zbor</w:t>
      </w:r>
      <w:r w:rsidR="003444F9" w:rsidRPr="002D7A10">
        <w:rPr>
          <w:rFonts w:asciiTheme="minorHAnsi" w:hAnsiTheme="minorHAnsi"/>
        </w:rPr>
        <w:t xml:space="preserve">u - </w:t>
      </w:r>
      <w:r w:rsidRPr="002D7A10">
        <w:rPr>
          <w:rFonts w:asciiTheme="minorHAnsi" w:hAnsiTheme="minorHAnsi"/>
        </w:rPr>
        <w:t xml:space="preserve"> zostavený z členov Speváckeho zboru Technik STU v</w:t>
      </w:r>
      <w:r w:rsidR="003444F9" w:rsidRPr="002D7A10">
        <w:rPr>
          <w:rFonts w:asciiTheme="minorHAnsi" w:hAnsiTheme="minorHAnsi"/>
        </w:rPr>
        <w:t> </w:t>
      </w:r>
      <w:r w:rsidRPr="002D7A10">
        <w:rPr>
          <w:rFonts w:asciiTheme="minorHAnsi" w:hAnsiTheme="minorHAnsi"/>
        </w:rPr>
        <w:t>Bratislave</w:t>
      </w:r>
      <w:r w:rsidR="003444F9" w:rsidRPr="002D7A10">
        <w:rPr>
          <w:rFonts w:asciiTheme="minorHAnsi" w:hAnsiTheme="minorHAnsi"/>
        </w:rPr>
        <w:t>,</w:t>
      </w:r>
      <w:r w:rsidRPr="002D7A10">
        <w:rPr>
          <w:rFonts w:asciiTheme="minorHAnsi" w:hAnsiTheme="minorHAnsi"/>
        </w:rPr>
        <w:t xml:space="preserve"> </w:t>
      </w:r>
      <w:proofErr w:type="spellStart"/>
      <w:r w:rsidRPr="002D7A10">
        <w:rPr>
          <w:rFonts w:asciiTheme="minorHAnsi" w:hAnsiTheme="minorHAnsi"/>
        </w:rPr>
        <w:t>Wiener</w:t>
      </w:r>
      <w:proofErr w:type="spellEnd"/>
      <w:r w:rsidRPr="002D7A10">
        <w:rPr>
          <w:rFonts w:asciiTheme="minorHAnsi" w:hAnsiTheme="minorHAnsi"/>
        </w:rPr>
        <w:t xml:space="preserve"> </w:t>
      </w:r>
      <w:proofErr w:type="spellStart"/>
      <w:r w:rsidRPr="002D7A10">
        <w:rPr>
          <w:rFonts w:asciiTheme="minorHAnsi" w:hAnsiTheme="minorHAnsi"/>
        </w:rPr>
        <w:t>Singakademie</w:t>
      </w:r>
      <w:proofErr w:type="spellEnd"/>
      <w:r w:rsidRPr="002D7A10">
        <w:rPr>
          <w:rFonts w:asciiTheme="minorHAnsi" w:hAnsiTheme="minorHAnsi"/>
        </w:rPr>
        <w:t xml:space="preserve"> z Viedne, Zbor univerzity z Luxemburgu, </w:t>
      </w:r>
      <w:proofErr w:type="spellStart"/>
      <w:r w:rsidRPr="002D7A10">
        <w:rPr>
          <w:rFonts w:asciiTheme="minorHAnsi" w:hAnsiTheme="minorHAnsi"/>
        </w:rPr>
        <w:t>Vass</w:t>
      </w:r>
      <w:proofErr w:type="spellEnd"/>
      <w:r w:rsidRPr="002D7A10">
        <w:rPr>
          <w:rFonts w:asciiTheme="minorHAnsi" w:hAnsiTheme="minorHAnsi"/>
        </w:rPr>
        <w:t xml:space="preserve"> </w:t>
      </w:r>
      <w:proofErr w:type="spellStart"/>
      <w:r w:rsidRPr="002D7A10">
        <w:rPr>
          <w:rFonts w:asciiTheme="minorHAnsi" w:hAnsiTheme="minorHAnsi"/>
        </w:rPr>
        <w:t>Lajos</w:t>
      </w:r>
      <w:proofErr w:type="spellEnd"/>
      <w:r w:rsidRPr="002D7A10">
        <w:rPr>
          <w:rFonts w:asciiTheme="minorHAnsi" w:hAnsiTheme="minorHAnsi"/>
        </w:rPr>
        <w:t xml:space="preserve"> </w:t>
      </w:r>
      <w:proofErr w:type="spellStart"/>
      <w:r w:rsidRPr="002D7A10">
        <w:rPr>
          <w:rFonts w:asciiTheme="minorHAnsi" w:hAnsiTheme="minorHAnsi"/>
        </w:rPr>
        <w:t>Kamarakórus</w:t>
      </w:r>
      <w:proofErr w:type="spellEnd"/>
      <w:r w:rsidRPr="002D7A10">
        <w:rPr>
          <w:rFonts w:asciiTheme="minorHAnsi" w:hAnsiTheme="minorHAnsi"/>
        </w:rPr>
        <w:t xml:space="preserve"> z Budapešti a </w:t>
      </w:r>
      <w:proofErr w:type="spellStart"/>
      <w:r w:rsidRPr="002D7A10">
        <w:rPr>
          <w:rFonts w:asciiTheme="minorHAnsi" w:hAnsiTheme="minorHAnsi"/>
        </w:rPr>
        <w:t>Pro</w:t>
      </w:r>
      <w:proofErr w:type="spellEnd"/>
      <w:r w:rsidRPr="002D7A10">
        <w:rPr>
          <w:rFonts w:asciiTheme="minorHAnsi" w:hAnsiTheme="minorHAnsi"/>
        </w:rPr>
        <w:t xml:space="preserve"> </w:t>
      </w:r>
      <w:proofErr w:type="spellStart"/>
      <w:r w:rsidRPr="002D7A10">
        <w:rPr>
          <w:rFonts w:asciiTheme="minorHAnsi" w:hAnsiTheme="minorHAnsi"/>
        </w:rPr>
        <w:t>musica</w:t>
      </w:r>
      <w:proofErr w:type="spellEnd"/>
      <w:r w:rsidRPr="002D7A10">
        <w:rPr>
          <w:rFonts w:asciiTheme="minorHAnsi" w:hAnsiTheme="minorHAnsi"/>
        </w:rPr>
        <w:t xml:space="preserve"> z Vilniusu. Ku koncu roka sa zúčastnil na umeleckom projekte Slovenské uspávanky v réžii Štefana </w:t>
      </w:r>
      <w:proofErr w:type="spellStart"/>
      <w:r w:rsidRPr="002D7A10">
        <w:rPr>
          <w:rFonts w:asciiTheme="minorHAnsi" w:hAnsiTheme="minorHAnsi"/>
        </w:rPr>
        <w:t>Molotu</w:t>
      </w:r>
      <w:proofErr w:type="spellEnd"/>
      <w:r w:rsidR="003444F9" w:rsidRPr="002D7A10">
        <w:rPr>
          <w:rFonts w:asciiTheme="minorHAnsi" w:hAnsiTheme="minorHAnsi"/>
        </w:rPr>
        <w:t>.</w:t>
      </w:r>
    </w:p>
    <w:p w:rsidR="00A7353D" w:rsidRPr="002D7A10" w:rsidRDefault="00A7353D" w:rsidP="00DC7369">
      <w:pPr>
        <w:autoSpaceDE w:val="0"/>
        <w:autoSpaceDN w:val="0"/>
        <w:adjustRightInd w:val="0"/>
        <w:rPr>
          <w:rFonts w:asciiTheme="minorHAnsi" w:hAnsiTheme="minorHAnsi"/>
        </w:rPr>
      </w:pPr>
      <w:r w:rsidRPr="002D7A10">
        <w:rPr>
          <w:rFonts w:asciiTheme="minorHAnsi" w:hAnsiTheme="minorHAnsi"/>
        </w:rPr>
        <w:t>Počas roku 2013  pracov</w:t>
      </w:r>
      <w:r w:rsidR="00B13FD5">
        <w:rPr>
          <w:rFonts w:asciiTheme="minorHAnsi" w:hAnsiTheme="minorHAnsi"/>
        </w:rPr>
        <w:t>alo v zbore  celkovo 52 členov.</w:t>
      </w:r>
    </w:p>
    <w:p w:rsidR="00A7353D" w:rsidRPr="002D7A10" w:rsidRDefault="00DC7369" w:rsidP="00DC7369">
      <w:pPr>
        <w:pStyle w:val="Nadpis1"/>
        <w:numPr>
          <w:ilvl w:val="0"/>
          <w:numId w:val="0"/>
        </w:numPr>
        <w:spacing w:after="0"/>
        <w:jc w:val="both"/>
        <w:rPr>
          <w:rFonts w:asciiTheme="minorHAnsi" w:hAnsiTheme="minorHAnsi"/>
          <w:sz w:val="24"/>
          <w:szCs w:val="24"/>
        </w:rPr>
      </w:pPr>
      <w:bookmarkStart w:id="62" w:name="_Toc448261602"/>
      <w:r>
        <w:rPr>
          <w:rFonts w:asciiTheme="minorHAnsi" w:hAnsiTheme="minorHAnsi"/>
          <w:sz w:val="24"/>
          <w:szCs w:val="24"/>
        </w:rPr>
        <w:t>Kom</w:t>
      </w:r>
      <w:r w:rsidR="00A7353D" w:rsidRPr="002D7A10">
        <w:rPr>
          <w:rFonts w:asciiTheme="minorHAnsi" w:hAnsiTheme="minorHAnsi"/>
          <w:sz w:val="24"/>
          <w:szCs w:val="24"/>
        </w:rPr>
        <w:t>orný orchester</w:t>
      </w:r>
      <w:bookmarkEnd w:id="62"/>
    </w:p>
    <w:p w:rsidR="00A7353D" w:rsidRDefault="00A7353D" w:rsidP="00DC7369">
      <w:pPr>
        <w:rPr>
          <w:rFonts w:asciiTheme="minorHAnsi" w:hAnsiTheme="minorHAnsi"/>
        </w:rPr>
      </w:pPr>
      <w:r w:rsidRPr="002D7A10">
        <w:rPr>
          <w:rFonts w:asciiTheme="minorHAnsi" w:hAnsiTheme="minorHAnsi"/>
        </w:rPr>
        <w:t>Pre sezónu 2015/</w:t>
      </w:r>
      <w:r w:rsidR="003444F9" w:rsidRPr="002D7A10">
        <w:rPr>
          <w:rFonts w:asciiTheme="minorHAnsi" w:hAnsiTheme="minorHAnsi"/>
        </w:rPr>
        <w:t xml:space="preserve">2016 </w:t>
      </w:r>
      <w:r w:rsidRPr="002D7A10">
        <w:rPr>
          <w:rFonts w:asciiTheme="minorHAnsi" w:hAnsiTheme="minorHAnsi"/>
        </w:rPr>
        <w:t>nacvičoval orchester viaceré nové diela. Spolupracoval s Asociáciou organizácií zdravotne postihnutých občan</w:t>
      </w:r>
      <w:r w:rsidR="003444F9" w:rsidRPr="002D7A10">
        <w:rPr>
          <w:rFonts w:asciiTheme="minorHAnsi" w:hAnsiTheme="minorHAnsi"/>
        </w:rPr>
        <w:t>ov SR a TK „</w:t>
      </w:r>
      <w:proofErr w:type="spellStart"/>
      <w:r w:rsidR="003444F9" w:rsidRPr="002D7A10">
        <w:rPr>
          <w:rFonts w:asciiTheme="minorHAnsi" w:hAnsiTheme="minorHAnsi"/>
        </w:rPr>
        <w:t>Danube</w:t>
      </w:r>
      <w:proofErr w:type="spellEnd"/>
      <w:r w:rsidR="003444F9" w:rsidRPr="002D7A10">
        <w:rPr>
          <w:rFonts w:asciiTheme="minorHAnsi" w:hAnsiTheme="minorHAnsi"/>
        </w:rPr>
        <w:t>“ Bratislava  pri príprave</w:t>
      </w:r>
      <w:r w:rsidRPr="002D7A10">
        <w:rPr>
          <w:rFonts w:asciiTheme="minorHAnsi" w:hAnsiTheme="minorHAnsi"/>
        </w:rPr>
        <w:t xml:space="preserve"> benefičn</w:t>
      </w:r>
      <w:r w:rsidR="003444F9" w:rsidRPr="002D7A10">
        <w:rPr>
          <w:rFonts w:asciiTheme="minorHAnsi" w:hAnsiTheme="minorHAnsi"/>
        </w:rPr>
        <w:t>ého</w:t>
      </w:r>
      <w:r w:rsidRPr="002D7A10">
        <w:rPr>
          <w:rFonts w:asciiTheme="minorHAnsi" w:hAnsiTheme="minorHAnsi"/>
        </w:rPr>
        <w:t xml:space="preserve"> koncert</w:t>
      </w:r>
      <w:r w:rsidR="003444F9" w:rsidRPr="002D7A10">
        <w:rPr>
          <w:rFonts w:asciiTheme="minorHAnsi" w:hAnsiTheme="minorHAnsi"/>
        </w:rPr>
        <w:t>u v</w:t>
      </w:r>
      <w:r w:rsidRPr="002D7A10">
        <w:rPr>
          <w:rFonts w:asciiTheme="minorHAnsi" w:hAnsiTheme="minorHAnsi"/>
        </w:rPr>
        <w:t xml:space="preserve"> Moyzesov</w:t>
      </w:r>
      <w:r w:rsidR="003444F9" w:rsidRPr="002D7A10">
        <w:rPr>
          <w:rFonts w:asciiTheme="minorHAnsi" w:hAnsiTheme="minorHAnsi"/>
        </w:rPr>
        <w:t>ej</w:t>
      </w:r>
      <w:r w:rsidRPr="002D7A10">
        <w:rPr>
          <w:rFonts w:asciiTheme="minorHAnsi" w:hAnsiTheme="minorHAnsi"/>
        </w:rPr>
        <w:t xml:space="preserve"> sie</w:t>
      </w:r>
      <w:r w:rsidR="003444F9" w:rsidRPr="002D7A10">
        <w:rPr>
          <w:rFonts w:asciiTheme="minorHAnsi" w:hAnsiTheme="minorHAnsi"/>
        </w:rPr>
        <w:t>ni v Bratislave</w:t>
      </w:r>
      <w:r w:rsidRPr="002D7A10">
        <w:rPr>
          <w:rFonts w:asciiTheme="minorHAnsi" w:hAnsiTheme="minorHAnsi"/>
        </w:rPr>
        <w:t xml:space="preserve">. Zúčastnil sa na medzinárodnej flautovej súťaži – </w:t>
      </w:r>
      <w:proofErr w:type="spellStart"/>
      <w:r w:rsidRPr="002D7A10">
        <w:rPr>
          <w:rFonts w:asciiTheme="minorHAnsi" w:hAnsiTheme="minorHAnsi"/>
        </w:rPr>
        <w:t>Flautiáda</w:t>
      </w:r>
      <w:proofErr w:type="spellEnd"/>
      <w:r w:rsidRPr="002D7A10">
        <w:rPr>
          <w:rFonts w:asciiTheme="minorHAnsi" w:hAnsiTheme="minorHAnsi"/>
        </w:rPr>
        <w:t xml:space="preserve"> 2015 </w:t>
      </w:r>
      <w:r w:rsidR="003444F9" w:rsidRPr="002D7A10">
        <w:rPr>
          <w:rFonts w:asciiTheme="minorHAnsi" w:hAnsiTheme="minorHAnsi"/>
        </w:rPr>
        <w:t xml:space="preserve">v </w:t>
      </w:r>
      <w:r w:rsidRPr="002D7A10">
        <w:rPr>
          <w:rFonts w:asciiTheme="minorHAnsi" w:hAnsiTheme="minorHAnsi"/>
        </w:rPr>
        <w:t>Zrkadlov</w:t>
      </w:r>
      <w:r w:rsidR="003444F9" w:rsidRPr="002D7A10">
        <w:rPr>
          <w:rFonts w:asciiTheme="minorHAnsi" w:hAnsiTheme="minorHAnsi"/>
        </w:rPr>
        <w:t>ej</w:t>
      </w:r>
      <w:r w:rsidRPr="002D7A10">
        <w:rPr>
          <w:rFonts w:asciiTheme="minorHAnsi" w:hAnsiTheme="minorHAnsi"/>
        </w:rPr>
        <w:t xml:space="preserve"> sie</w:t>
      </w:r>
      <w:r w:rsidR="003444F9" w:rsidRPr="002D7A10">
        <w:rPr>
          <w:rFonts w:asciiTheme="minorHAnsi" w:hAnsiTheme="minorHAnsi"/>
        </w:rPr>
        <w:t>ni</w:t>
      </w:r>
      <w:r w:rsidRPr="002D7A10">
        <w:rPr>
          <w:rFonts w:asciiTheme="minorHAnsi" w:hAnsiTheme="minorHAnsi"/>
        </w:rPr>
        <w:t xml:space="preserve"> Primaciálneho paláca v Bratislave. Pripravil slávnostný koncert  </w:t>
      </w:r>
      <w:r w:rsidR="003444F9" w:rsidRPr="002D7A10">
        <w:rPr>
          <w:rFonts w:asciiTheme="minorHAnsi" w:hAnsiTheme="minorHAnsi"/>
        </w:rPr>
        <w:t>pri príležitosti 50. výročia</w:t>
      </w:r>
      <w:r w:rsidRPr="002D7A10">
        <w:rPr>
          <w:rFonts w:asciiTheme="minorHAnsi" w:hAnsiTheme="minorHAnsi"/>
        </w:rPr>
        <w:t xml:space="preserve"> samostatného účinkovani</w:t>
      </w:r>
      <w:r w:rsidR="003444F9" w:rsidRPr="002D7A10">
        <w:rPr>
          <w:rFonts w:asciiTheme="minorHAnsi" w:hAnsiTheme="minorHAnsi"/>
        </w:rPr>
        <w:t xml:space="preserve">a komorného orchestra. </w:t>
      </w:r>
      <w:r w:rsidRPr="002D7A10">
        <w:rPr>
          <w:rFonts w:asciiTheme="minorHAnsi" w:hAnsiTheme="minorHAnsi"/>
        </w:rPr>
        <w:t>Počas roku 201</w:t>
      </w:r>
      <w:r w:rsidR="00B13FD5">
        <w:rPr>
          <w:rFonts w:asciiTheme="minorHAnsi" w:hAnsiTheme="minorHAnsi"/>
        </w:rPr>
        <w:t>3 pracovalo v súbore 28 členov.</w:t>
      </w:r>
    </w:p>
    <w:p w:rsidR="00B13FD5" w:rsidRPr="002D7A10" w:rsidRDefault="00B13FD5" w:rsidP="00DC7369">
      <w:pPr>
        <w:rPr>
          <w:rFonts w:asciiTheme="minorHAnsi" w:hAnsiTheme="minorHAnsi"/>
        </w:rPr>
      </w:pPr>
    </w:p>
    <w:p w:rsidR="003444F9" w:rsidRPr="002D7A10" w:rsidRDefault="003444F9" w:rsidP="00DC7369">
      <w:pPr>
        <w:pStyle w:val="Zkladntext"/>
        <w:spacing w:line="240" w:lineRule="auto"/>
        <w:rPr>
          <w:rFonts w:asciiTheme="minorHAnsi" w:hAnsiTheme="minorHAnsi"/>
          <w:color w:val="auto"/>
        </w:rPr>
      </w:pPr>
      <w:r w:rsidRPr="002D7A10">
        <w:rPr>
          <w:rFonts w:asciiTheme="minorHAnsi" w:hAnsiTheme="minorHAnsi"/>
          <w:color w:val="auto"/>
        </w:rPr>
        <w:t xml:space="preserve">Rozhodujúcou náplňou činnosti súboru bolo udržať dosiahnutú umeleckú úroveň  a získať nových členov a udržať si priazeň publika. </w:t>
      </w:r>
    </w:p>
    <w:p w:rsidR="00A7353D" w:rsidRPr="002D7A10" w:rsidRDefault="00A7353D" w:rsidP="00DC7369">
      <w:pPr>
        <w:rPr>
          <w:rFonts w:asciiTheme="minorHAnsi" w:hAnsiTheme="minorHAnsi"/>
        </w:rPr>
      </w:pPr>
      <w:r w:rsidRPr="002D7A10">
        <w:rPr>
          <w:rFonts w:asciiTheme="minorHAnsi" w:hAnsiTheme="minorHAnsi"/>
        </w:rPr>
        <w:t>V súčasnom období sa členská základňa pohybuje</w:t>
      </w:r>
    </w:p>
    <w:p w:rsidR="00A7353D" w:rsidRPr="002D7A10" w:rsidRDefault="00A7353D" w:rsidP="00DC7369">
      <w:pPr>
        <w:jc w:val="left"/>
        <w:rPr>
          <w:rFonts w:asciiTheme="minorHAnsi" w:hAnsiTheme="minorHAnsi"/>
        </w:rPr>
      </w:pPr>
    </w:p>
    <w:p w:rsidR="00A7353D" w:rsidRPr="002D7A10" w:rsidRDefault="00A7353D" w:rsidP="00DC7369">
      <w:pPr>
        <w:ind w:left="1276"/>
        <w:jc w:val="left"/>
        <w:rPr>
          <w:rFonts w:asciiTheme="minorHAnsi" w:hAnsiTheme="minorHAnsi"/>
        </w:rPr>
      </w:pPr>
      <w:r w:rsidRPr="002D7A10">
        <w:rPr>
          <w:rFonts w:asciiTheme="minorHAnsi" w:hAnsiTheme="minorHAnsi"/>
        </w:rPr>
        <w:t>FS</w:t>
      </w:r>
      <w:r w:rsidRPr="002D7A10">
        <w:rPr>
          <w:rFonts w:asciiTheme="minorHAnsi" w:hAnsiTheme="minorHAnsi"/>
        </w:rPr>
        <w:tab/>
      </w:r>
      <w:r w:rsidRPr="002D7A10">
        <w:rPr>
          <w:rFonts w:asciiTheme="minorHAnsi" w:hAnsiTheme="minorHAnsi"/>
        </w:rPr>
        <w:tab/>
        <w:t xml:space="preserve">  63</w:t>
      </w:r>
    </w:p>
    <w:p w:rsidR="00A7353D" w:rsidRPr="002D7A10" w:rsidRDefault="00A7353D" w:rsidP="00DC7369">
      <w:pPr>
        <w:ind w:left="1276"/>
        <w:jc w:val="left"/>
        <w:rPr>
          <w:rFonts w:asciiTheme="minorHAnsi" w:hAnsiTheme="minorHAnsi"/>
        </w:rPr>
      </w:pPr>
      <w:r w:rsidRPr="002D7A10">
        <w:rPr>
          <w:rFonts w:asciiTheme="minorHAnsi" w:hAnsiTheme="minorHAnsi"/>
        </w:rPr>
        <w:t>KO</w:t>
      </w:r>
      <w:r w:rsidRPr="002D7A10">
        <w:rPr>
          <w:rFonts w:asciiTheme="minorHAnsi" w:hAnsiTheme="minorHAnsi"/>
        </w:rPr>
        <w:tab/>
      </w:r>
      <w:r w:rsidRPr="002D7A10">
        <w:rPr>
          <w:rFonts w:asciiTheme="minorHAnsi" w:hAnsiTheme="minorHAnsi"/>
        </w:rPr>
        <w:tab/>
        <w:t xml:space="preserve">  28</w:t>
      </w:r>
    </w:p>
    <w:p w:rsidR="00A7353D" w:rsidRPr="002D7A10" w:rsidRDefault="00A7353D" w:rsidP="00DC7369">
      <w:pPr>
        <w:ind w:left="1276"/>
        <w:jc w:val="left"/>
        <w:rPr>
          <w:rFonts w:asciiTheme="minorHAnsi" w:hAnsiTheme="minorHAnsi"/>
        </w:rPr>
      </w:pPr>
      <w:r w:rsidRPr="002D7A10">
        <w:rPr>
          <w:rFonts w:asciiTheme="minorHAnsi" w:hAnsiTheme="minorHAnsi"/>
        </w:rPr>
        <w:t>SZ</w:t>
      </w:r>
      <w:r w:rsidRPr="002D7A10">
        <w:rPr>
          <w:rFonts w:asciiTheme="minorHAnsi" w:hAnsiTheme="minorHAnsi"/>
        </w:rPr>
        <w:tab/>
      </w:r>
      <w:r w:rsidRPr="002D7A10">
        <w:rPr>
          <w:rFonts w:asciiTheme="minorHAnsi" w:hAnsiTheme="minorHAnsi"/>
        </w:rPr>
        <w:tab/>
        <w:t xml:space="preserve">  52</w:t>
      </w:r>
    </w:p>
    <w:p w:rsidR="00A7353D" w:rsidRPr="002D7A10" w:rsidRDefault="003444F9" w:rsidP="00DC7369">
      <w:pPr>
        <w:ind w:left="1276"/>
        <w:jc w:val="left"/>
        <w:rPr>
          <w:rFonts w:asciiTheme="minorHAnsi" w:hAnsiTheme="minorHAnsi"/>
          <w:u w:val="single"/>
        </w:rPr>
      </w:pPr>
      <w:r w:rsidRPr="002D7A10">
        <w:rPr>
          <w:rFonts w:asciiTheme="minorHAnsi" w:hAnsiTheme="minorHAnsi"/>
          <w:u w:val="single"/>
        </w:rPr>
        <w:t xml:space="preserve">Vedenie          </w:t>
      </w:r>
      <w:r w:rsidR="00B13FD5">
        <w:rPr>
          <w:rFonts w:asciiTheme="minorHAnsi" w:hAnsiTheme="minorHAnsi"/>
          <w:u w:val="single"/>
        </w:rPr>
        <w:tab/>
      </w:r>
      <w:r w:rsidRPr="002D7A10">
        <w:rPr>
          <w:rFonts w:asciiTheme="minorHAnsi" w:hAnsiTheme="minorHAnsi"/>
          <w:u w:val="single"/>
        </w:rPr>
        <w:t xml:space="preserve">   </w:t>
      </w:r>
      <w:r w:rsidR="00A7353D" w:rsidRPr="002D7A10">
        <w:rPr>
          <w:rFonts w:asciiTheme="minorHAnsi" w:hAnsiTheme="minorHAnsi"/>
          <w:u w:val="single"/>
        </w:rPr>
        <w:t xml:space="preserve"> 1</w:t>
      </w:r>
    </w:p>
    <w:p w:rsidR="00A7353D" w:rsidRPr="002D7A10" w:rsidRDefault="003444F9" w:rsidP="00DC7369">
      <w:pPr>
        <w:ind w:left="1276"/>
        <w:jc w:val="left"/>
        <w:rPr>
          <w:rFonts w:asciiTheme="minorHAnsi" w:hAnsiTheme="minorHAnsi"/>
          <w:b/>
          <w:bCs/>
        </w:rPr>
      </w:pPr>
      <w:r w:rsidRPr="002D7A10">
        <w:rPr>
          <w:rFonts w:asciiTheme="minorHAnsi" w:hAnsiTheme="minorHAnsi"/>
          <w:b/>
          <w:bCs/>
        </w:rPr>
        <w:t>celkovo</w:t>
      </w:r>
      <w:r w:rsidRPr="002D7A10">
        <w:rPr>
          <w:rFonts w:asciiTheme="minorHAnsi" w:hAnsiTheme="minorHAnsi"/>
          <w:b/>
          <w:bCs/>
        </w:rPr>
        <w:tab/>
      </w:r>
      <w:r w:rsidR="00B13FD5">
        <w:rPr>
          <w:rFonts w:asciiTheme="minorHAnsi" w:hAnsiTheme="minorHAnsi"/>
          <w:b/>
          <w:bCs/>
        </w:rPr>
        <w:tab/>
      </w:r>
      <w:r w:rsidR="00A7353D" w:rsidRPr="002D7A10">
        <w:rPr>
          <w:rFonts w:asciiTheme="minorHAnsi" w:hAnsiTheme="minorHAnsi"/>
          <w:b/>
          <w:bCs/>
        </w:rPr>
        <w:t xml:space="preserve">144                                 </w:t>
      </w:r>
    </w:p>
    <w:p w:rsidR="00B51749" w:rsidRPr="002D7A10" w:rsidRDefault="00B51749" w:rsidP="00DC7369">
      <w:pPr>
        <w:rPr>
          <w:rFonts w:asciiTheme="minorHAnsi" w:hAnsiTheme="minorHAnsi"/>
        </w:rPr>
      </w:pPr>
    </w:p>
    <w:p w:rsidR="00B51749" w:rsidRPr="002D7A10" w:rsidRDefault="00B51749" w:rsidP="00DC7369">
      <w:pPr>
        <w:pStyle w:val="Zkladntext"/>
        <w:spacing w:line="240" w:lineRule="auto"/>
        <w:rPr>
          <w:rFonts w:asciiTheme="minorHAnsi" w:hAnsiTheme="minorHAnsi"/>
        </w:rPr>
      </w:pPr>
    </w:p>
    <w:p w:rsidR="00B51749" w:rsidRPr="002D7A10" w:rsidRDefault="00B51749" w:rsidP="00B51749">
      <w:pPr>
        <w:pStyle w:val="Nadpis2"/>
        <w:rPr>
          <w:rFonts w:asciiTheme="minorHAnsi" w:hAnsiTheme="minorHAnsi"/>
          <w:color w:val="auto"/>
          <w:sz w:val="24"/>
          <w:szCs w:val="24"/>
        </w:rPr>
      </w:pPr>
      <w:bookmarkStart w:id="63" w:name="_Toc448261603"/>
      <w:r w:rsidRPr="002D7A10">
        <w:rPr>
          <w:rFonts w:asciiTheme="minorHAnsi" w:hAnsiTheme="minorHAnsi"/>
          <w:color w:val="auto"/>
          <w:sz w:val="24"/>
          <w:szCs w:val="24"/>
        </w:rPr>
        <w:t>Centrum akademického športu STU</w:t>
      </w:r>
      <w:bookmarkEnd w:id="63"/>
    </w:p>
    <w:p w:rsidR="00B51749" w:rsidRPr="002D7A10" w:rsidRDefault="00B51749" w:rsidP="00B51749">
      <w:pPr>
        <w:rPr>
          <w:rFonts w:asciiTheme="minorHAnsi" w:hAnsiTheme="minorHAnsi"/>
          <w:color w:val="FF0000"/>
          <w:lang w:eastAsia="cs-CZ"/>
        </w:rPr>
      </w:pPr>
    </w:p>
    <w:p w:rsidR="00CC517A" w:rsidRPr="002D7A10" w:rsidRDefault="00CC517A" w:rsidP="00CC517A">
      <w:pPr>
        <w:rPr>
          <w:rFonts w:asciiTheme="minorHAnsi" w:hAnsiTheme="minorHAnsi"/>
        </w:rPr>
      </w:pPr>
      <w:r w:rsidRPr="002D7A10">
        <w:rPr>
          <w:rFonts w:asciiTheme="minorHAnsi" w:hAnsiTheme="minorHAnsi"/>
        </w:rPr>
        <w:t xml:space="preserve">Nezastupiteľné miesto v rámci športového vyžitia študentov má Účelové zariadenie Centrum akademického športu STU. Hlavným poslaním centra je poskytovanie všeobecne prospešných služieb v oblasti rozvoja športovo-kultúrnych hodnôt. </w:t>
      </w:r>
    </w:p>
    <w:p w:rsidR="00CC517A" w:rsidRPr="002D7A10" w:rsidRDefault="00CC517A" w:rsidP="00CC517A">
      <w:pPr>
        <w:rPr>
          <w:rFonts w:asciiTheme="minorHAnsi" w:hAnsiTheme="minorHAnsi"/>
          <w:color w:val="000000" w:themeColor="text1"/>
          <w:shd w:val="clear" w:color="auto" w:fill="FFFFFF"/>
        </w:rPr>
      </w:pPr>
      <w:r w:rsidRPr="002D7A10">
        <w:rPr>
          <w:rFonts w:asciiTheme="minorHAnsi" w:hAnsiTheme="minorHAnsi"/>
          <w:color w:val="000000" w:themeColor="text1"/>
        </w:rPr>
        <w:lastRenderedPageBreak/>
        <w:t xml:space="preserve">V roku 2015 centrum z </w:t>
      </w:r>
      <w:r w:rsidRPr="002D7A10">
        <w:rPr>
          <w:rFonts w:asciiTheme="minorHAnsi" w:hAnsiTheme="minorHAnsi"/>
          <w:color w:val="000000" w:themeColor="text1"/>
          <w:shd w:val="clear" w:color="auto" w:fill="FFFFFF"/>
        </w:rPr>
        <w:t xml:space="preserve">dotácie </w:t>
      </w:r>
      <w:proofErr w:type="spellStart"/>
      <w:r w:rsidRPr="002D7A10">
        <w:rPr>
          <w:rFonts w:asciiTheme="minorHAnsi" w:hAnsiTheme="minorHAnsi"/>
          <w:color w:val="000000" w:themeColor="text1"/>
          <w:shd w:val="clear" w:color="auto" w:fill="FFFFFF"/>
        </w:rPr>
        <w:t>MŠVVaŠ</w:t>
      </w:r>
      <w:proofErr w:type="spellEnd"/>
      <w:r w:rsidRPr="002D7A10">
        <w:rPr>
          <w:rFonts w:asciiTheme="minorHAnsi" w:hAnsiTheme="minorHAnsi"/>
          <w:color w:val="000000" w:themeColor="text1"/>
          <w:shd w:val="clear" w:color="auto" w:fill="FFFFFF"/>
        </w:rPr>
        <w:t xml:space="preserve"> SR zrekonštruovalo  tribúnu multifunkčného ihriska v sume 35 tisíc eur. </w:t>
      </w:r>
    </w:p>
    <w:p w:rsidR="00CC517A" w:rsidRPr="002D7A10" w:rsidRDefault="00CC517A" w:rsidP="00CC517A">
      <w:pPr>
        <w:rPr>
          <w:rFonts w:asciiTheme="minorHAnsi" w:hAnsiTheme="minorHAnsi"/>
          <w:color w:val="000000" w:themeColor="text1"/>
          <w:highlight w:val="yellow"/>
          <w:shd w:val="clear" w:color="auto" w:fill="FFFFFF"/>
        </w:rPr>
      </w:pPr>
    </w:p>
    <w:p w:rsidR="00CC517A" w:rsidRPr="002D7A10" w:rsidRDefault="00CC517A" w:rsidP="00CC517A">
      <w:pPr>
        <w:rPr>
          <w:rFonts w:asciiTheme="minorHAnsi" w:hAnsiTheme="minorHAnsi"/>
        </w:rPr>
      </w:pPr>
      <w:r w:rsidRPr="002D7A10">
        <w:rPr>
          <w:rStyle w:val="apple-converted-space"/>
          <w:rFonts w:asciiTheme="minorHAnsi" w:hAnsiTheme="minorHAnsi"/>
          <w:shd w:val="clear" w:color="auto" w:fill="FFFFFF"/>
        </w:rPr>
        <w:t xml:space="preserve">V priebehu roka sa Centrum akademického športu zapojilo do systému Klubová karta poskytnutím športovísk pre </w:t>
      </w:r>
      <w:proofErr w:type="spellStart"/>
      <w:r w:rsidRPr="002D7A10">
        <w:rPr>
          <w:rStyle w:val="apple-converted-space"/>
          <w:rFonts w:asciiTheme="minorHAnsi" w:hAnsiTheme="minorHAnsi"/>
          <w:shd w:val="clear" w:color="auto" w:fill="FFFFFF"/>
        </w:rPr>
        <w:t>voľnočasové</w:t>
      </w:r>
      <w:proofErr w:type="spellEnd"/>
      <w:r w:rsidRPr="002D7A10">
        <w:rPr>
          <w:rStyle w:val="apple-converted-space"/>
          <w:rFonts w:asciiTheme="minorHAnsi" w:hAnsiTheme="minorHAnsi"/>
          <w:shd w:val="clear" w:color="auto" w:fill="FFFFFF"/>
        </w:rPr>
        <w:t xml:space="preserve"> športové aktivity študentov STU. Systém Klubová karta, resp. </w:t>
      </w:r>
      <w:proofErr w:type="spellStart"/>
      <w:r w:rsidRPr="002D7A10">
        <w:rPr>
          <w:rFonts w:asciiTheme="minorHAnsi" w:hAnsiTheme="minorHAnsi" w:cs="Courier New"/>
        </w:rPr>
        <w:t>Karta.stuba.sk</w:t>
      </w:r>
      <w:proofErr w:type="spellEnd"/>
      <w:r w:rsidRPr="002D7A10">
        <w:rPr>
          <w:rFonts w:asciiTheme="minorHAnsi" w:hAnsiTheme="minorHAnsi" w:cs="Courier New"/>
        </w:rPr>
        <w:t xml:space="preserve"> je centrálny systém rezervácie športovísk študentmi </w:t>
      </w:r>
      <w:proofErr w:type="spellStart"/>
      <w:r w:rsidRPr="002D7A10">
        <w:rPr>
          <w:rFonts w:asciiTheme="minorHAnsi" w:hAnsiTheme="minorHAnsi" w:cs="Courier New"/>
        </w:rPr>
        <w:t>online</w:t>
      </w:r>
      <w:proofErr w:type="spellEnd"/>
      <w:r w:rsidRPr="002D7A10">
        <w:rPr>
          <w:rFonts w:asciiTheme="minorHAnsi" w:hAnsiTheme="minorHAnsi" w:cs="Courier New"/>
        </w:rPr>
        <w:t>.</w:t>
      </w:r>
      <w:r w:rsidR="00970B34" w:rsidRPr="002D7A10">
        <w:rPr>
          <w:rFonts w:asciiTheme="minorHAnsi" w:hAnsiTheme="minorHAnsi" w:cs="Courier New"/>
        </w:rPr>
        <w:t xml:space="preserve"> Systém spustila univerzita v roku 2014.</w:t>
      </w:r>
    </w:p>
    <w:p w:rsidR="00CC517A" w:rsidRPr="002D7A10" w:rsidRDefault="00970B34" w:rsidP="00CC517A">
      <w:pPr>
        <w:rPr>
          <w:rFonts w:asciiTheme="minorHAnsi" w:hAnsiTheme="minorHAnsi"/>
        </w:rPr>
      </w:pPr>
      <w:r w:rsidRPr="002D7A10">
        <w:rPr>
          <w:rFonts w:asciiTheme="minorHAnsi" w:hAnsiTheme="minorHAnsi"/>
        </w:rPr>
        <w:t xml:space="preserve"> </w:t>
      </w:r>
    </w:p>
    <w:p w:rsidR="00970B34" w:rsidRPr="002D7A10" w:rsidRDefault="00CC517A" w:rsidP="00CC517A">
      <w:pPr>
        <w:rPr>
          <w:rFonts w:asciiTheme="minorHAnsi" w:hAnsiTheme="minorHAnsi"/>
          <w:shd w:val="clear" w:color="auto" w:fill="FFFFFF"/>
        </w:rPr>
      </w:pPr>
      <w:r w:rsidRPr="002D7A10">
        <w:rPr>
          <w:rFonts w:asciiTheme="minorHAnsi" w:hAnsiTheme="minorHAnsi"/>
          <w:shd w:val="clear" w:color="auto" w:fill="FFFFFF"/>
        </w:rPr>
        <w:t xml:space="preserve"> Centrum akademického športu sa </w:t>
      </w:r>
      <w:r w:rsidR="00970B34" w:rsidRPr="002D7A10">
        <w:rPr>
          <w:rFonts w:asciiTheme="minorHAnsi" w:hAnsiTheme="minorHAnsi"/>
          <w:shd w:val="clear" w:color="auto" w:fill="FFFFFF"/>
        </w:rPr>
        <w:t xml:space="preserve">v roku 2015 </w:t>
      </w:r>
      <w:r w:rsidRPr="002D7A10">
        <w:rPr>
          <w:rFonts w:asciiTheme="minorHAnsi" w:hAnsiTheme="minorHAnsi"/>
          <w:shd w:val="clear" w:color="auto" w:fill="FFFFFF"/>
        </w:rPr>
        <w:t>organizačne podieľalo na via</w:t>
      </w:r>
      <w:r w:rsidR="00970B34" w:rsidRPr="002D7A10">
        <w:rPr>
          <w:rFonts w:asciiTheme="minorHAnsi" w:hAnsiTheme="minorHAnsi"/>
          <w:shd w:val="clear" w:color="auto" w:fill="FFFFFF"/>
        </w:rPr>
        <w:t xml:space="preserve">cerých  športových podujatiach - </w:t>
      </w:r>
      <w:r w:rsidRPr="002D7A10">
        <w:rPr>
          <w:rFonts w:asciiTheme="minorHAnsi" w:hAnsiTheme="minorHAnsi"/>
          <w:shd w:val="clear" w:color="auto" w:fill="FFFFFF"/>
        </w:rPr>
        <w:t>Univerzitnej regaty</w:t>
      </w:r>
      <w:r w:rsidR="00970B34" w:rsidRPr="002D7A10">
        <w:rPr>
          <w:rFonts w:asciiTheme="minorHAnsi" w:hAnsiTheme="minorHAnsi"/>
          <w:shd w:val="clear" w:color="auto" w:fill="FFFFFF"/>
        </w:rPr>
        <w:t xml:space="preserve"> či Majstrovstiev STU študentov a zamestnancov 2015s disciplínami ako volejbal, basketbal, futbal, </w:t>
      </w:r>
      <w:proofErr w:type="spellStart"/>
      <w:r w:rsidR="00970B34" w:rsidRPr="002D7A10">
        <w:rPr>
          <w:rFonts w:asciiTheme="minorHAnsi" w:hAnsiTheme="minorHAnsi"/>
          <w:shd w:val="clear" w:color="auto" w:fill="FFFFFF"/>
        </w:rPr>
        <w:t>florbal</w:t>
      </w:r>
      <w:proofErr w:type="spellEnd"/>
      <w:r w:rsidR="00970B34" w:rsidRPr="002D7A10">
        <w:rPr>
          <w:rFonts w:asciiTheme="minorHAnsi" w:hAnsiTheme="minorHAnsi"/>
          <w:shd w:val="clear" w:color="auto" w:fill="FFFFFF"/>
        </w:rPr>
        <w:t>, plávanie, tenis, stolný tenis a šach</w:t>
      </w:r>
      <w:r w:rsidRPr="002D7A10">
        <w:rPr>
          <w:rFonts w:asciiTheme="minorHAnsi" w:hAnsiTheme="minorHAnsi"/>
          <w:shd w:val="clear" w:color="auto" w:fill="FFFFFF"/>
        </w:rPr>
        <w:t xml:space="preserve">. </w:t>
      </w:r>
    </w:p>
    <w:p w:rsidR="00CC517A" w:rsidRPr="002D7A10" w:rsidRDefault="00CC517A" w:rsidP="00CC517A">
      <w:pPr>
        <w:rPr>
          <w:rFonts w:asciiTheme="minorHAnsi" w:hAnsiTheme="minorHAnsi"/>
          <w:shd w:val="clear" w:color="auto" w:fill="FFFFFF"/>
        </w:rPr>
      </w:pPr>
      <w:r w:rsidRPr="002D7A10">
        <w:rPr>
          <w:rFonts w:asciiTheme="minorHAnsi" w:hAnsiTheme="minorHAnsi"/>
          <w:shd w:val="clear" w:color="auto" w:fill="FFFFFF"/>
        </w:rPr>
        <w:t xml:space="preserve">Na športoviskách </w:t>
      </w:r>
      <w:r w:rsidR="00970B34" w:rsidRPr="002D7A10">
        <w:rPr>
          <w:rFonts w:asciiTheme="minorHAnsi" w:hAnsiTheme="minorHAnsi"/>
          <w:shd w:val="clear" w:color="auto" w:fill="FFFFFF"/>
        </w:rPr>
        <w:t xml:space="preserve">centra </w:t>
      </w:r>
      <w:r w:rsidRPr="002D7A10">
        <w:rPr>
          <w:rFonts w:asciiTheme="minorHAnsi" w:hAnsiTheme="minorHAnsi"/>
          <w:shd w:val="clear" w:color="auto" w:fill="FFFFFF"/>
        </w:rPr>
        <w:t xml:space="preserve">sa konali viaceré významné športové akcie: Memoriál T. </w:t>
      </w:r>
      <w:proofErr w:type="spellStart"/>
      <w:r w:rsidRPr="002D7A10">
        <w:rPr>
          <w:rFonts w:asciiTheme="minorHAnsi" w:hAnsiTheme="minorHAnsi"/>
          <w:shd w:val="clear" w:color="auto" w:fill="FFFFFF"/>
        </w:rPr>
        <w:t>Babjaka</w:t>
      </w:r>
      <w:proofErr w:type="spellEnd"/>
      <w:r w:rsidRPr="002D7A10">
        <w:rPr>
          <w:rFonts w:asciiTheme="minorHAnsi" w:hAnsiTheme="minorHAnsi"/>
          <w:shd w:val="clear" w:color="auto" w:fill="FFFFFF"/>
        </w:rPr>
        <w:t xml:space="preserve"> a Turnaj 4 miest (Bratislava, Budapešť, Viedeň, Praha), ktoré dlhodobo úspešne organizuje atletický oddiel Slávia STU, futbalový turnaj proti rasizmu a športové dni rôznych základných a stredných škôl.</w:t>
      </w:r>
    </w:p>
    <w:p w:rsidR="009F5D48" w:rsidRDefault="009F5D48">
      <w:pPr>
        <w:spacing w:after="200" w:line="276" w:lineRule="auto"/>
        <w:jc w:val="left"/>
        <w:rPr>
          <w:rFonts w:asciiTheme="minorHAnsi" w:hAnsiTheme="minorHAnsi"/>
          <w:shd w:val="clear" w:color="auto" w:fill="FFFFFF"/>
        </w:rPr>
      </w:pPr>
      <w:r>
        <w:rPr>
          <w:rFonts w:asciiTheme="minorHAnsi" w:hAnsiTheme="minorHAnsi"/>
          <w:shd w:val="clear" w:color="auto" w:fill="FFFFFF"/>
        </w:rPr>
        <w:br w:type="page"/>
      </w:r>
    </w:p>
    <w:p w:rsidR="00B51749" w:rsidRPr="002D7A10" w:rsidRDefault="00B51749" w:rsidP="00B51749">
      <w:pPr>
        <w:rPr>
          <w:rFonts w:asciiTheme="minorHAnsi" w:hAnsiTheme="minorHAnsi" w:cs="Courier New"/>
          <w:color w:val="FF0000"/>
          <w:shd w:val="clear" w:color="auto" w:fill="FFFFFF"/>
        </w:rPr>
      </w:pPr>
    </w:p>
    <w:p w:rsidR="00B51749" w:rsidRPr="002D7A10" w:rsidRDefault="00B51749" w:rsidP="00B51749">
      <w:pPr>
        <w:pStyle w:val="Nadpis1"/>
        <w:rPr>
          <w:rFonts w:asciiTheme="minorHAnsi" w:hAnsiTheme="minorHAnsi"/>
          <w:color w:val="auto"/>
          <w:sz w:val="24"/>
          <w:szCs w:val="24"/>
        </w:rPr>
      </w:pPr>
      <w:bookmarkStart w:id="64" w:name="_Toc448261604"/>
      <w:r w:rsidRPr="002D7A10">
        <w:rPr>
          <w:rFonts w:asciiTheme="minorHAnsi" w:hAnsiTheme="minorHAnsi"/>
          <w:color w:val="auto"/>
          <w:sz w:val="24"/>
          <w:szCs w:val="24"/>
        </w:rPr>
        <w:t>Rozvoj vysokej školy</w:t>
      </w:r>
      <w:bookmarkEnd w:id="64"/>
    </w:p>
    <w:p w:rsidR="00B51749" w:rsidRPr="002D7A10" w:rsidRDefault="00B51749" w:rsidP="00B51749">
      <w:pPr>
        <w:rPr>
          <w:rFonts w:asciiTheme="minorHAnsi" w:hAnsiTheme="minorHAnsi"/>
          <w:color w:val="FF0000"/>
        </w:rPr>
      </w:pPr>
    </w:p>
    <w:p w:rsidR="008336FD" w:rsidRPr="002D7A10" w:rsidRDefault="00B51749" w:rsidP="00B51749">
      <w:pPr>
        <w:rPr>
          <w:rFonts w:asciiTheme="minorHAnsi" w:hAnsiTheme="minorHAnsi"/>
        </w:rPr>
      </w:pPr>
      <w:r w:rsidRPr="002D7A10">
        <w:rPr>
          <w:rFonts w:asciiTheme="minorHAnsi" w:hAnsiTheme="minorHAnsi"/>
        </w:rPr>
        <w:t xml:space="preserve">Slovenská technická univerzita </w:t>
      </w:r>
      <w:r w:rsidR="008336FD" w:rsidRPr="002D7A10">
        <w:rPr>
          <w:rFonts w:asciiTheme="minorHAnsi" w:hAnsiTheme="minorHAnsi"/>
        </w:rPr>
        <w:t xml:space="preserve">dokončila v roku 2015 významné rozvojové projekty - </w:t>
      </w:r>
      <w:r w:rsidRPr="002D7A10">
        <w:rPr>
          <w:rFonts w:asciiTheme="minorHAnsi" w:hAnsiTheme="minorHAnsi"/>
        </w:rPr>
        <w:t xml:space="preserve"> </w:t>
      </w:r>
      <w:r w:rsidRPr="002D7A10">
        <w:rPr>
          <w:rFonts w:asciiTheme="minorHAnsi" w:hAnsiTheme="minorHAnsi"/>
          <w:b/>
        </w:rPr>
        <w:t xml:space="preserve">Univerzitného vedeckého parku </w:t>
      </w:r>
      <w:proofErr w:type="spellStart"/>
      <w:r w:rsidRPr="002D7A10">
        <w:rPr>
          <w:rFonts w:asciiTheme="minorHAnsi" w:hAnsiTheme="minorHAnsi"/>
          <w:b/>
        </w:rPr>
        <w:t>Science</w:t>
      </w:r>
      <w:proofErr w:type="spellEnd"/>
      <w:r w:rsidRPr="002D7A10">
        <w:rPr>
          <w:rFonts w:asciiTheme="minorHAnsi" w:hAnsiTheme="minorHAnsi"/>
          <w:b/>
        </w:rPr>
        <w:t xml:space="preserve"> City v Bratislave a Univerzitného vedeckého parku </w:t>
      </w:r>
      <w:proofErr w:type="spellStart"/>
      <w:r w:rsidRPr="002D7A10">
        <w:rPr>
          <w:rFonts w:asciiTheme="minorHAnsi" w:hAnsiTheme="minorHAnsi"/>
          <w:b/>
        </w:rPr>
        <w:t>Cambo</w:t>
      </w:r>
      <w:proofErr w:type="spellEnd"/>
      <w:r w:rsidRPr="002D7A10">
        <w:rPr>
          <w:rFonts w:asciiTheme="minorHAnsi" w:hAnsiTheme="minorHAnsi"/>
          <w:b/>
        </w:rPr>
        <w:t xml:space="preserve"> v Trnave.</w:t>
      </w:r>
      <w:r w:rsidRPr="002D7A10">
        <w:rPr>
          <w:rFonts w:asciiTheme="minorHAnsi" w:hAnsiTheme="minorHAnsi"/>
        </w:rPr>
        <w:t xml:space="preserve"> </w:t>
      </w:r>
    </w:p>
    <w:p w:rsidR="008336FD" w:rsidRPr="002D7A10" w:rsidRDefault="008336FD" w:rsidP="00B51749">
      <w:pPr>
        <w:rPr>
          <w:rFonts w:asciiTheme="minorHAnsi" w:hAnsiTheme="minorHAnsi"/>
        </w:rPr>
      </w:pPr>
    </w:p>
    <w:p w:rsidR="000A5681" w:rsidRPr="002D7A10" w:rsidRDefault="000A5681" w:rsidP="000A5681">
      <w:pPr>
        <w:rPr>
          <w:rFonts w:asciiTheme="minorHAnsi" w:hAnsiTheme="minorHAnsi"/>
        </w:rPr>
      </w:pPr>
      <w:r w:rsidRPr="002D7A10">
        <w:rPr>
          <w:rFonts w:asciiTheme="minorHAnsi" w:hAnsiTheme="minorHAnsi"/>
        </w:rPr>
        <w:t xml:space="preserve">V rámci projektov univerzita vybudovala </w:t>
      </w:r>
      <w:r w:rsidRPr="002D7A10">
        <w:rPr>
          <w:rFonts w:asciiTheme="minorHAnsi" w:hAnsiTheme="minorHAnsi"/>
          <w:b/>
        </w:rPr>
        <w:t xml:space="preserve">nové vedecké laboratória, ktoré zariadila špičkovými prístrojmi. </w:t>
      </w:r>
      <w:r w:rsidRPr="002D7A10">
        <w:rPr>
          <w:rFonts w:asciiTheme="minorHAnsi" w:hAnsiTheme="minorHAnsi"/>
        </w:rPr>
        <w:t xml:space="preserve">Niektoré pracoviská na STU sú tak dnes unikátne v európskom rozmere, čo umožňuje </w:t>
      </w:r>
      <w:r w:rsidRPr="002D7A10">
        <w:rPr>
          <w:rFonts w:asciiTheme="minorHAnsi" w:hAnsiTheme="minorHAnsi"/>
          <w:bCs/>
        </w:rPr>
        <w:t>zintenzívniť spoluprácu domácich výskumných tímov s medzinárodnými tímami</w:t>
      </w:r>
      <w:r w:rsidRPr="002D7A10">
        <w:rPr>
          <w:rFonts w:asciiTheme="minorHAnsi" w:hAnsiTheme="minorHAnsi"/>
        </w:rPr>
        <w:t xml:space="preserve">. </w:t>
      </w:r>
    </w:p>
    <w:p w:rsidR="000A5681" w:rsidRPr="002D7A10" w:rsidRDefault="000A5681" w:rsidP="000A5681">
      <w:pPr>
        <w:rPr>
          <w:rFonts w:asciiTheme="minorHAnsi" w:hAnsiTheme="minorHAnsi" w:cs="Arial"/>
        </w:rPr>
      </w:pPr>
      <w:r w:rsidRPr="002D7A10">
        <w:rPr>
          <w:rFonts w:asciiTheme="minorHAnsi" w:hAnsiTheme="minorHAnsi"/>
        </w:rPr>
        <w:t xml:space="preserve">Na </w:t>
      </w:r>
      <w:proofErr w:type="spellStart"/>
      <w:r w:rsidRPr="002D7A10">
        <w:rPr>
          <w:rFonts w:asciiTheme="minorHAnsi" w:hAnsiTheme="minorHAnsi"/>
        </w:rPr>
        <w:t>Materiálovotechnologickej</w:t>
      </w:r>
      <w:proofErr w:type="spellEnd"/>
      <w:r w:rsidRPr="002D7A10">
        <w:rPr>
          <w:rFonts w:asciiTheme="minorHAnsi" w:hAnsiTheme="minorHAnsi"/>
        </w:rPr>
        <w:t xml:space="preserve"> fakulte STU so sídlom v Trnave pribudli </w:t>
      </w:r>
      <w:r w:rsidRPr="002D7A10">
        <w:rPr>
          <w:rFonts w:asciiTheme="minorHAnsi" w:hAnsiTheme="minorHAnsi" w:cs="Arial"/>
          <w:b/>
        </w:rPr>
        <w:t xml:space="preserve">dva nové pavilóny s laboratóriami: Slovenské </w:t>
      </w:r>
      <w:proofErr w:type="spellStart"/>
      <w:r w:rsidRPr="002D7A10">
        <w:rPr>
          <w:rFonts w:asciiTheme="minorHAnsi" w:hAnsiTheme="minorHAnsi" w:cs="Arial"/>
          <w:b/>
        </w:rPr>
        <w:t>ionové</w:t>
      </w:r>
      <w:proofErr w:type="spellEnd"/>
      <w:r w:rsidRPr="002D7A10">
        <w:rPr>
          <w:rFonts w:asciiTheme="minorHAnsi" w:hAnsiTheme="minorHAnsi" w:cs="Arial"/>
          <w:b/>
        </w:rPr>
        <w:t xml:space="preserve"> centrum </w:t>
      </w:r>
      <w:proofErr w:type="spellStart"/>
      <w:r w:rsidRPr="002D7A10">
        <w:rPr>
          <w:rFonts w:asciiTheme="minorHAnsi" w:hAnsiTheme="minorHAnsi" w:cs="Arial"/>
          <w:b/>
        </w:rPr>
        <w:t>SlovakION</w:t>
      </w:r>
      <w:proofErr w:type="spellEnd"/>
      <w:r w:rsidRPr="002D7A10">
        <w:rPr>
          <w:rFonts w:asciiTheme="minorHAnsi" w:hAnsiTheme="minorHAnsi" w:cs="Arial"/>
          <w:b/>
        </w:rPr>
        <w:t xml:space="preserve"> a Výskumné pracovisko automatizácie a informatizácie výrobných procesov</w:t>
      </w:r>
      <w:r w:rsidRPr="002D7A10">
        <w:rPr>
          <w:rFonts w:asciiTheme="minorHAnsi" w:hAnsiTheme="minorHAnsi" w:cs="Arial"/>
        </w:rPr>
        <w:t xml:space="preserve"> Projekt Slovenského </w:t>
      </w:r>
      <w:proofErr w:type="spellStart"/>
      <w:r w:rsidRPr="002D7A10">
        <w:rPr>
          <w:rFonts w:asciiTheme="minorHAnsi" w:hAnsiTheme="minorHAnsi" w:cs="Arial"/>
        </w:rPr>
        <w:t>ionového</w:t>
      </w:r>
      <w:proofErr w:type="spellEnd"/>
      <w:r w:rsidRPr="002D7A10">
        <w:rPr>
          <w:rFonts w:asciiTheme="minorHAnsi" w:hAnsiTheme="minorHAnsi" w:cs="Arial"/>
        </w:rPr>
        <w:t xml:space="preserve"> centra získal už začiatkom rok 2015 podporu v schéme </w:t>
      </w:r>
      <w:proofErr w:type="spellStart"/>
      <w:r w:rsidRPr="002D7A10">
        <w:rPr>
          <w:rFonts w:asciiTheme="minorHAnsi" w:hAnsiTheme="minorHAnsi"/>
        </w:rPr>
        <w:t>Teaming</w:t>
      </w:r>
      <w:proofErr w:type="spellEnd"/>
      <w:r w:rsidRPr="002D7A10">
        <w:rPr>
          <w:rFonts w:asciiTheme="minorHAnsi" w:hAnsiTheme="minorHAnsi"/>
        </w:rPr>
        <w:t xml:space="preserve"> </w:t>
      </w:r>
      <w:proofErr w:type="spellStart"/>
      <w:r w:rsidRPr="002D7A10">
        <w:rPr>
          <w:rFonts w:asciiTheme="minorHAnsi" w:hAnsiTheme="minorHAnsi"/>
        </w:rPr>
        <w:t>for</w:t>
      </w:r>
      <w:proofErr w:type="spellEnd"/>
      <w:r w:rsidRPr="002D7A10">
        <w:rPr>
          <w:rFonts w:asciiTheme="minorHAnsi" w:hAnsiTheme="minorHAnsi"/>
        </w:rPr>
        <w:t xml:space="preserve"> Excellence</w:t>
      </w:r>
      <w:r w:rsidRPr="002D7A10">
        <w:rPr>
          <w:rFonts w:asciiTheme="minorHAnsi" w:hAnsiTheme="minorHAnsi" w:cs="Arial"/>
        </w:rPr>
        <w:t xml:space="preserve">. Európska komisia ho hodnotila ako 8. najlepší  v konkurencii 162 projektov z pätnástich krajín Európskej únie. </w:t>
      </w:r>
    </w:p>
    <w:p w:rsidR="000A5681" w:rsidRPr="002D7A10" w:rsidRDefault="000A5681" w:rsidP="000A5681">
      <w:pPr>
        <w:rPr>
          <w:rFonts w:asciiTheme="minorHAnsi" w:hAnsiTheme="minorHAnsi" w:cs="Arial"/>
        </w:rPr>
      </w:pPr>
    </w:p>
    <w:p w:rsidR="000A5681" w:rsidRPr="002D7A10" w:rsidRDefault="000A5681" w:rsidP="000A5681">
      <w:pPr>
        <w:rPr>
          <w:rFonts w:asciiTheme="minorHAnsi" w:hAnsiTheme="minorHAnsi"/>
        </w:rPr>
      </w:pPr>
      <w:r w:rsidRPr="002D7A10">
        <w:rPr>
          <w:rFonts w:asciiTheme="minorHAnsi" w:hAnsiTheme="minorHAnsi" w:cs="Arial"/>
        </w:rPr>
        <w:t xml:space="preserve">V budove rektorátu STU na Mýtnej ulici v rámci projektu UVP </w:t>
      </w:r>
      <w:proofErr w:type="spellStart"/>
      <w:r w:rsidRPr="002D7A10">
        <w:rPr>
          <w:rFonts w:asciiTheme="minorHAnsi" w:hAnsiTheme="minorHAnsi" w:cs="Arial"/>
        </w:rPr>
        <w:t>Science</w:t>
      </w:r>
      <w:proofErr w:type="spellEnd"/>
      <w:r w:rsidRPr="002D7A10">
        <w:rPr>
          <w:rFonts w:asciiTheme="minorHAnsi" w:hAnsiTheme="minorHAnsi" w:cs="Arial"/>
        </w:rPr>
        <w:t xml:space="preserve"> City Bratislava otvorila univerzita zase nové </w:t>
      </w:r>
      <w:r w:rsidRPr="002D7A10">
        <w:rPr>
          <w:rFonts w:asciiTheme="minorHAnsi" w:hAnsiTheme="minorHAnsi"/>
          <w:b/>
          <w:bCs/>
        </w:rPr>
        <w:t xml:space="preserve">Centrum pre </w:t>
      </w:r>
      <w:proofErr w:type="spellStart"/>
      <w:r w:rsidRPr="002D7A10">
        <w:rPr>
          <w:rFonts w:asciiTheme="minorHAnsi" w:hAnsiTheme="minorHAnsi"/>
          <w:b/>
          <w:bCs/>
        </w:rPr>
        <w:t>nanodiagnostiku</w:t>
      </w:r>
      <w:proofErr w:type="spellEnd"/>
      <w:r w:rsidRPr="002D7A10">
        <w:rPr>
          <w:rFonts w:asciiTheme="minorHAnsi" w:hAnsiTheme="minorHAnsi"/>
          <w:b/>
          <w:bCs/>
        </w:rPr>
        <w:t xml:space="preserve">. </w:t>
      </w:r>
      <w:r w:rsidRPr="002D7A10">
        <w:rPr>
          <w:rFonts w:asciiTheme="minorHAnsi" w:hAnsiTheme="minorHAnsi"/>
          <w:bCs/>
        </w:rPr>
        <w:t>Prístroje v centre sú jedinečné v rámci krajín V4. Analytický transmisný elektrónový mikroskop s </w:t>
      </w:r>
      <w:proofErr w:type="spellStart"/>
      <w:r w:rsidRPr="002D7A10">
        <w:rPr>
          <w:rFonts w:asciiTheme="minorHAnsi" w:hAnsiTheme="minorHAnsi"/>
          <w:bCs/>
        </w:rPr>
        <w:t>atomárnym</w:t>
      </w:r>
      <w:proofErr w:type="spellEnd"/>
      <w:r w:rsidRPr="002D7A10">
        <w:rPr>
          <w:rFonts w:asciiTheme="minorHAnsi" w:hAnsiTheme="minorHAnsi"/>
          <w:bCs/>
        </w:rPr>
        <w:t xml:space="preserve"> rozlíšením</w:t>
      </w:r>
      <w:r w:rsidRPr="002D7A10">
        <w:rPr>
          <w:rFonts w:asciiTheme="minorHAnsi" w:hAnsiTheme="minorHAnsi"/>
        </w:rPr>
        <w:t xml:space="preserve"> takýchto parametrov nemá zatiaľ iné pracovisko na Slovensku. Jedinečný je tiež </w:t>
      </w:r>
      <w:proofErr w:type="spellStart"/>
      <w:r w:rsidRPr="002D7A10">
        <w:rPr>
          <w:rFonts w:asciiTheme="minorHAnsi" w:hAnsiTheme="minorHAnsi"/>
          <w:bCs/>
        </w:rPr>
        <w:t>Augerov</w:t>
      </w:r>
      <w:proofErr w:type="spellEnd"/>
      <w:r w:rsidRPr="002D7A10">
        <w:rPr>
          <w:rFonts w:asciiTheme="minorHAnsi" w:hAnsiTheme="minorHAnsi"/>
          <w:bCs/>
        </w:rPr>
        <w:t xml:space="preserve"> elektrónový spektrometer</w:t>
      </w:r>
      <w:r w:rsidRPr="002D7A10">
        <w:rPr>
          <w:rFonts w:asciiTheme="minorHAnsi" w:hAnsiTheme="minorHAnsi"/>
        </w:rPr>
        <w:t>.</w:t>
      </w:r>
    </w:p>
    <w:p w:rsidR="00504765" w:rsidRPr="002D7A10" w:rsidRDefault="00504765" w:rsidP="000A5681">
      <w:pPr>
        <w:rPr>
          <w:rFonts w:asciiTheme="minorHAnsi" w:hAnsiTheme="minorHAnsi"/>
        </w:rPr>
      </w:pPr>
    </w:p>
    <w:p w:rsidR="00504765" w:rsidRPr="002D7A10" w:rsidRDefault="00504765" w:rsidP="009F5D48">
      <w:pPr>
        <w:rPr>
          <w:rFonts w:asciiTheme="minorHAnsi" w:hAnsiTheme="minorHAnsi"/>
        </w:rPr>
      </w:pPr>
      <w:r w:rsidRPr="002D7A10">
        <w:rPr>
          <w:rFonts w:asciiTheme="minorHAnsi" w:hAnsiTheme="minorHAnsi" w:cs="Arial"/>
        </w:rPr>
        <w:t xml:space="preserve">V budove rektorátu STU na Mýtnej ulici v rámci projektu UVP </w:t>
      </w:r>
      <w:proofErr w:type="spellStart"/>
      <w:r w:rsidRPr="002D7A10">
        <w:rPr>
          <w:rFonts w:asciiTheme="minorHAnsi" w:hAnsiTheme="minorHAnsi" w:cs="Arial"/>
        </w:rPr>
        <w:t>Science</w:t>
      </w:r>
      <w:proofErr w:type="spellEnd"/>
      <w:r w:rsidRPr="002D7A10">
        <w:rPr>
          <w:rFonts w:asciiTheme="minorHAnsi" w:hAnsiTheme="minorHAnsi" w:cs="Arial"/>
        </w:rPr>
        <w:t xml:space="preserve"> City Bratislava otvorila univerzita nové </w:t>
      </w:r>
      <w:r w:rsidRPr="002D7A10">
        <w:rPr>
          <w:rFonts w:asciiTheme="minorHAnsi" w:hAnsiTheme="minorHAnsi"/>
          <w:b/>
          <w:bCs/>
        </w:rPr>
        <w:t xml:space="preserve">Centrum pre </w:t>
      </w:r>
      <w:proofErr w:type="spellStart"/>
      <w:r w:rsidRPr="002D7A10">
        <w:rPr>
          <w:rFonts w:asciiTheme="minorHAnsi" w:hAnsiTheme="minorHAnsi"/>
          <w:b/>
          <w:bCs/>
        </w:rPr>
        <w:t>nanodiagnostiku</w:t>
      </w:r>
      <w:proofErr w:type="spellEnd"/>
      <w:r w:rsidRPr="002D7A10">
        <w:rPr>
          <w:rFonts w:asciiTheme="minorHAnsi" w:hAnsiTheme="minorHAnsi"/>
          <w:b/>
          <w:bCs/>
        </w:rPr>
        <w:t xml:space="preserve">. </w:t>
      </w:r>
      <w:r w:rsidRPr="002D7A10">
        <w:rPr>
          <w:rFonts w:asciiTheme="minorHAnsi" w:hAnsiTheme="minorHAnsi"/>
          <w:bCs/>
        </w:rPr>
        <w:t xml:space="preserve">V Mlynskej doline na FIIT STU zase </w:t>
      </w:r>
      <w:r w:rsidRPr="002D7A10">
        <w:rPr>
          <w:rFonts w:asciiTheme="minorHAnsi" w:hAnsiTheme="minorHAnsi"/>
        </w:rPr>
        <w:t xml:space="preserve">nové dátové centrum s </w:t>
      </w:r>
      <w:proofErr w:type="spellStart"/>
      <w:r w:rsidRPr="002D7A10">
        <w:rPr>
          <w:rFonts w:asciiTheme="minorHAnsi" w:hAnsiTheme="minorHAnsi"/>
        </w:rPr>
        <w:t>cloudovým</w:t>
      </w:r>
      <w:proofErr w:type="spellEnd"/>
      <w:r w:rsidRPr="002D7A10">
        <w:rPr>
          <w:rFonts w:asciiTheme="minorHAnsi" w:hAnsiTheme="minorHAnsi"/>
        </w:rPr>
        <w:t xml:space="preserve"> riešením či </w:t>
      </w:r>
      <w:r w:rsidRPr="002D7A10">
        <w:rPr>
          <w:rFonts w:asciiTheme="minorHAnsi" w:hAnsiTheme="minorHAnsi"/>
          <w:iCs/>
        </w:rPr>
        <w:t> </w:t>
      </w:r>
      <w:r w:rsidRPr="002D7A10">
        <w:rPr>
          <w:rFonts w:asciiTheme="minorHAnsi" w:hAnsiTheme="minorHAnsi"/>
          <w:bCs/>
          <w:iCs/>
        </w:rPr>
        <w:t xml:space="preserve">výskumné centrum používateľského zážitku </w:t>
      </w:r>
      <w:r w:rsidRPr="002D7A10">
        <w:rPr>
          <w:rFonts w:asciiTheme="minorHAnsi" w:hAnsiTheme="minorHAnsi"/>
        </w:rPr>
        <w:t xml:space="preserve">a na FEI STU pribudli špičkové prístroje v  laboratóriách mikrovlnných a optických systémov, </w:t>
      </w:r>
      <w:proofErr w:type="spellStart"/>
      <w:r w:rsidRPr="002D7A10">
        <w:rPr>
          <w:rFonts w:asciiTheme="minorHAnsi" w:hAnsiTheme="minorHAnsi"/>
        </w:rPr>
        <w:t>mobilej</w:t>
      </w:r>
      <w:proofErr w:type="spellEnd"/>
      <w:r w:rsidRPr="002D7A10">
        <w:rPr>
          <w:rFonts w:asciiTheme="minorHAnsi" w:hAnsiTheme="minorHAnsi"/>
        </w:rPr>
        <w:t xml:space="preserve"> siete 4. generácie, v laboratórium pre výskum </w:t>
      </w:r>
      <w:proofErr w:type="spellStart"/>
      <w:r w:rsidRPr="002D7A10">
        <w:rPr>
          <w:rFonts w:asciiTheme="minorHAnsi" w:hAnsiTheme="minorHAnsi"/>
        </w:rPr>
        <w:t>elektromobility</w:t>
      </w:r>
      <w:proofErr w:type="spellEnd"/>
      <w:r w:rsidRPr="002D7A10">
        <w:rPr>
          <w:rFonts w:asciiTheme="minorHAnsi" w:hAnsiTheme="minorHAnsi"/>
        </w:rPr>
        <w:t xml:space="preserve"> či </w:t>
      </w:r>
      <w:proofErr w:type="spellStart"/>
      <w:r w:rsidRPr="002D7A10">
        <w:rPr>
          <w:rFonts w:asciiTheme="minorHAnsi" w:hAnsiTheme="minorHAnsi"/>
        </w:rPr>
        <w:t>nanotechnológií</w:t>
      </w:r>
      <w:proofErr w:type="spellEnd"/>
      <w:r w:rsidRPr="002D7A10">
        <w:rPr>
          <w:rFonts w:asciiTheme="minorHAnsi" w:hAnsiTheme="minorHAnsi"/>
        </w:rPr>
        <w:t xml:space="preserve"> a v ďalších.</w:t>
      </w:r>
    </w:p>
    <w:p w:rsidR="00504765" w:rsidRPr="002D7A10" w:rsidRDefault="00504765" w:rsidP="009F5D48">
      <w:pPr>
        <w:rPr>
          <w:rFonts w:asciiTheme="minorHAnsi" w:hAnsiTheme="minorHAnsi"/>
        </w:rPr>
      </w:pPr>
    </w:p>
    <w:p w:rsidR="00504765" w:rsidRPr="002D7A10" w:rsidRDefault="00504765" w:rsidP="009F5D48">
      <w:pPr>
        <w:pStyle w:val="Normlnywebov"/>
        <w:spacing w:before="0" w:beforeAutospacing="0"/>
        <w:rPr>
          <w:rFonts w:asciiTheme="minorHAnsi" w:hAnsiTheme="minorHAnsi"/>
          <w:b/>
        </w:rPr>
      </w:pPr>
      <w:r w:rsidRPr="002D7A10">
        <w:rPr>
          <w:rFonts w:asciiTheme="minorHAnsi" w:hAnsiTheme="minorHAnsi"/>
          <w:b/>
        </w:rPr>
        <w:t xml:space="preserve">Zoznam pracovísk Univerzitných vedeckých parkov STU: </w:t>
      </w:r>
    </w:p>
    <w:p w:rsidR="00504765" w:rsidRPr="002D7A10" w:rsidRDefault="00504765" w:rsidP="009F5D48">
      <w:pPr>
        <w:pStyle w:val="Normlnywebov"/>
        <w:spacing w:before="0" w:beforeAutospacing="0" w:after="0" w:afterAutospacing="0"/>
        <w:jc w:val="left"/>
        <w:rPr>
          <w:rFonts w:asciiTheme="minorHAnsi" w:hAnsiTheme="minorHAnsi"/>
        </w:rPr>
      </w:pPr>
      <w:r w:rsidRPr="002D7A10">
        <w:rPr>
          <w:rFonts w:asciiTheme="minorHAnsi" w:hAnsiTheme="minorHAnsi"/>
          <w:bCs/>
        </w:rPr>
        <w:t xml:space="preserve">SCIENCE CITY BRATISLAVA </w:t>
      </w:r>
      <w:r w:rsidRPr="002D7A10">
        <w:rPr>
          <w:rFonts w:asciiTheme="minorHAnsi" w:hAnsiTheme="minorHAnsi"/>
        </w:rPr>
        <w:t xml:space="preserve"> - </w:t>
      </w:r>
      <w:r w:rsidRPr="002D7A10">
        <w:rPr>
          <w:rFonts w:asciiTheme="minorHAnsi" w:hAnsiTheme="minorHAnsi"/>
          <w:bCs/>
          <w:u w:val="single"/>
        </w:rPr>
        <w:t xml:space="preserve">Regionálne centrum Mlynská dolina: </w:t>
      </w:r>
    </w:p>
    <w:p w:rsidR="00504765" w:rsidRPr="002D7A10" w:rsidRDefault="00504765" w:rsidP="009F5D48">
      <w:pPr>
        <w:numPr>
          <w:ilvl w:val="0"/>
          <w:numId w:val="44"/>
        </w:numPr>
        <w:jc w:val="left"/>
        <w:rPr>
          <w:rFonts w:asciiTheme="minorHAnsi" w:hAnsiTheme="minorHAnsi"/>
        </w:rPr>
      </w:pPr>
      <w:r w:rsidRPr="002D7A10">
        <w:rPr>
          <w:rFonts w:asciiTheme="minorHAnsi" w:hAnsiTheme="minorHAnsi"/>
          <w:bCs/>
        </w:rPr>
        <w:t> </w:t>
      </w:r>
      <w:proofErr w:type="spellStart"/>
      <w:r w:rsidRPr="002D7A10">
        <w:rPr>
          <w:rFonts w:asciiTheme="minorHAnsi" w:hAnsiTheme="minorHAnsi"/>
          <w:bCs/>
          <w:iCs/>
        </w:rPr>
        <w:t>Virtual</w:t>
      </w:r>
      <w:proofErr w:type="spellEnd"/>
      <w:r w:rsidRPr="002D7A10">
        <w:rPr>
          <w:rFonts w:asciiTheme="minorHAnsi" w:hAnsiTheme="minorHAnsi"/>
          <w:bCs/>
          <w:iCs/>
        </w:rPr>
        <w:t xml:space="preserve"> desktop </w:t>
      </w:r>
      <w:proofErr w:type="spellStart"/>
      <w:r w:rsidRPr="002D7A10">
        <w:rPr>
          <w:rFonts w:asciiTheme="minorHAnsi" w:hAnsiTheme="minorHAnsi"/>
          <w:bCs/>
          <w:iCs/>
        </w:rPr>
        <w:t>cloud</w:t>
      </w:r>
      <w:proofErr w:type="spellEnd"/>
      <w:r w:rsidRPr="002D7A10">
        <w:rPr>
          <w:rFonts w:asciiTheme="minorHAnsi" w:hAnsiTheme="minorHAnsi"/>
          <w:bCs/>
          <w:iCs/>
        </w:rPr>
        <w:t xml:space="preserve"> centrum</w:t>
      </w:r>
      <w:r w:rsidRPr="002D7A10">
        <w:rPr>
          <w:rFonts w:asciiTheme="minorHAnsi" w:hAnsiTheme="minorHAnsi"/>
        </w:rPr>
        <w:t xml:space="preserve"> </w:t>
      </w:r>
    </w:p>
    <w:p w:rsidR="00504765" w:rsidRPr="002D7A10" w:rsidRDefault="00504765" w:rsidP="009F5D48">
      <w:pPr>
        <w:numPr>
          <w:ilvl w:val="0"/>
          <w:numId w:val="45"/>
        </w:numPr>
        <w:jc w:val="left"/>
        <w:rPr>
          <w:rFonts w:asciiTheme="minorHAnsi" w:hAnsiTheme="minorHAnsi"/>
        </w:rPr>
      </w:pPr>
      <w:r w:rsidRPr="002D7A10">
        <w:rPr>
          <w:rFonts w:asciiTheme="minorHAnsi" w:hAnsiTheme="minorHAnsi"/>
          <w:iCs/>
        </w:rPr>
        <w:t> </w:t>
      </w:r>
      <w:r w:rsidRPr="002D7A10">
        <w:rPr>
          <w:rFonts w:asciiTheme="minorHAnsi" w:hAnsiTheme="minorHAnsi"/>
          <w:bCs/>
          <w:iCs/>
        </w:rPr>
        <w:t xml:space="preserve">Výskumné centrum používateľského zážitku a interakcie </w:t>
      </w:r>
      <w:proofErr w:type="spellStart"/>
      <w:r w:rsidRPr="002D7A10">
        <w:rPr>
          <w:rFonts w:asciiTheme="minorHAnsi" w:hAnsiTheme="minorHAnsi"/>
          <w:bCs/>
          <w:iCs/>
        </w:rPr>
        <w:t>uxi@fiit</w:t>
      </w:r>
      <w:proofErr w:type="spellEnd"/>
      <w:r w:rsidRPr="002D7A10">
        <w:rPr>
          <w:rFonts w:asciiTheme="minorHAnsi" w:hAnsiTheme="minorHAnsi"/>
          <w:bCs/>
          <w:iCs/>
        </w:rPr>
        <w:t>?</w:t>
      </w:r>
    </w:p>
    <w:p w:rsidR="00504765" w:rsidRPr="002D7A10" w:rsidRDefault="00504765" w:rsidP="009F5D48">
      <w:pPr>
        <w:numPr>
          <w:ilvl w:val="0"/>
          <w:numId w:val="46"/>
        </w:numPr>
        <w:jc w:val="left"/>
        <w:rPr>
          <w:rFonts w:asciiTheme="minorHAnsi" w:hAnsiTheme="minorHAnsi"/>
        </w:rPr>
      </w:pPr>
      <w:r w:rsidRPr="002D7A10">
        <w:rPr>
          <w:rFonts w:asciiTheme="minorHAnsi" w:hAnsiTheme="minorHAnsi"/>
          <w:iCs/>
        </w:rPr>
        <w:t> </w:t>
      </w:r>
      <w:r w:rsidRPr="002D7A10">
        <w:rPr>
          <w:rFonts w:asciiTheme="minorHAnsi" w:hAnsiTheme="minorHAnsi"/>
          <w:bCs/>
          <w:iCs/>
        </w:rPr>
        <w:t>Ústav telekomunikácií</w:t>
      </w:r>
    </w:p>
    <w:p w:rsidR="00504765" w:rsidRPr="002D7A10" w:rsidRDefault="00504765" w:rsidP="009F5D48">
      <w:pPr>
        <w:numPr>
          <w:ilvl w:val="0"/>
          <w:numId w:val="47"/>
        </w:numPr>
        <w:jc w:val="left"/>
        <w:rPr>
          <w:rFonts w:asciiTheme="minorHAnsi" w:hAnsiTheme="minorHAnsi"/>
        </w:rPr>
      </w:pPr>
      <w:r w:rsidRPr="002D7A10">
        <w:rPr>
          <w:rFonts w:asciiTheme="minorHAnsi" w:hAnsiTheme="minorHAnsi"/>
          <w:iCs/>
        </w:rPr>
        <w:t> </w:t>
      </w:r>
      <w:r w:rsidRPr="002D7A10">
        <w:rPr>
          <w:rFonts w:asciiTheme="minorHAnsi" w:hAnsiTheme="minorHAnsi"/>
          <w:bCs/>
          <w:iCs/>
        </w:rPr>
        <w:t>Výskumné centrum počítačových technológií</w:t>
      </w:r>
    </w:p>
    <w:p w:rsidR="00504765" w:rsidRPr="002D7A10" w:rsidRDefault="00504765" w:rsidP="009F5D48">
      <w:pPr>
        <w:numPr>
          <w:ilvl w:val="0"/>
          <w:numId w:val="48"/>
        </w:numPr>
        <w:jc w:val="left"/>
        <w:rPr>
          <w:rFonts w:asciiTheme="minorHAnsi" w:hAnsiTheme="minorHAnsi"/>
        </w:rPr>
      </w:pPr>
      <w:r w:rsidRPr="002D7A10">
        <w:rPr>
          <w:rFonts w:asciiTheme="minorHAnsi" w:hAnsiTheme="minorHAnsi"/>
          <w:iCs/>
        </w:rPr>
        <w:t> </w:t>
      </w:r>
      <w:r w:rsidRPr="002D7A10">
        <w:rPr>
          <w:rFonts w:asciiTheme="minorHAnsi" w:hAnsiTheme="minorHAnsi"/>
          <w:bCs/>
          <w:iCs/>
        </w:rPr>
        <w:t>Ústav elektroniky a </w:t>
      </w:r>
      <w:proofErr w:type="spellStart"/>
      <w:r w:rsidRPr="002D7A10">
        <w:rPr>
          <w:rFonts w:asciiTheme="minorHAnsi" w:hAnsiTheme="minorHAnsi"/>
          <w:bCs/>
          <w:iCs/>
        </w:rPr>
        <w:t>fotoniky</w:t>
      </w:r>
      <w:proofErr w:type="spellEnd"/>
    </w:p>
    <w:p w:rsidR="00504765" w:rsidRPr="002D7A10" w:rsidRDefault="00504765" w:rsidP="009F5D48">
      <w:pPr>
        <w:numPr>
          <w:ilvl w:val="0"/>
          <w:numId w:val="49"/>
        </w:numPr>
        <w:jc w:val="left"/>
        <w:rPr>
          <w:rFonts w:asciiTheme="minorHAnsi" w:hAnsiTheme="minorHAnsi"/>
        </w:rPr>
      </w:pPr>
      <w:r w:rsidRPr="002D7A10">
        <w:rPr>
          <w:rFonts w:asciiTheme="minorHAnsi" w:hAnsiTheme="minorHAnsi"/>
          <w:iCs/>
        </w:rPr>
        <w:t> </w:t>
      </w:r>
      <w:r w:rsidRPr="002D7A10">
        <w:rPr>
          <w:rFonts w:asciiTheme="minorHAnsi" w:hAnsiTheme="minorHAnsi"/>
          <w:bCs/>
          <w:iCs/>
        </w:rPr>
        <w:t>Ústav jadrového a fyzikálneho inžinierstva</w:t>
      </w:r>
      <w:r w:rsidRPr="002D7A10">
        <w:rPr>
          <w:rFonts w:asciiTheme="minorHAnsi" w:hAnsiTheme="minorHAnsi"/>
          <w:iCs/>
        </w:rPr>
        <w:t xml:space="preserve"> </w:t>
      </w:r>
    </w:p>
    <w:p w:rsidR="00504765" w:rsidRPr="002D7A10" w:rsidRDefault="00504765" w:rsidP="009F5D48">
      <w:pPr>
        <w:numPr>
          <w:ilvl w:val="0"/>
          <w:numId w:val="50"/>
        </w:numPr>
        <w:jc w:val="left"/>
        <w:rPr>
          <w:rFonts w:asciiTheme="minorHAnsi" w:hAnsiTheme="minorHAnsi"/>
        </w:rPr>
      </w:pPr>
      <w:r w:rsidRPr="002D7A10">
        <w:rPr>
          <w:rFonts w:asciiTheme="minorHAnsi" w:hAnsiTheme="minorHAnsi"/>
          <w:bCs/>
          <w:iCs/>
        </w:rPr>
        <w:t>Laboratórium mikrovlnných a optických systémov</w:t>
      </w:r>
      <w:r w:rsidRPr="002D7A10">
        <w:rPr>
          <w:rFonts w:asciiTheme="minorHAnsi" w:hAnsiTheme="minorHAnsi"/>
          <w:iCs/>
        </w:rPr>
        <w:t xml:space="preserve"> </w:t>
      </w:r>
    </w:p>
    <w:p w:rsidR="00504765" w:rsidRPr="002D7A10" w:rsidRDefault="00504765" w:rsidP="009F5D48">
      <w:pPr>
        <w:pStyle w:val="Normlnywebov"/>
        <w:spacing w:before="0" w:beforeAutospacing="0" w:after="0" w:afterAutospacing="0"/>
        <w:jc w:val="left"/>
        <w:rPr>
          <w:rFonts w:asciiTheme="minorHAnsi" w:hAnsiTheme="minorHAnsi"/>
        </w:rPr>
      </w:pPr>
      <w:r w:rsidRPr="002D7A10">
        <w:rPr>
          <w:rFonts w:asciiTheme="minorHAnsi" w:hAnsiTheme="minorHAnsi"/>
          <w:bCs/>
          <w:u w:val="single"/>
        </w:rPr>
        <w:t xml:space="preserve">Regionálne centrum </w:t>
      </w:r>
      <w:proofErr w:type="spellStart"/>
      <w:r w:rsidRPr="002D7A10">
        <w:rPr>
          <w:rFonts w:asciiTheme="minorHAnsi" w:hAnsiTheme="minorHAnsi"/>
          <w:bCs/>
          <w:u w:val="single"/>
        </w:rPr>
        <w:t>Centrum</w:t>
      </w:r>
      <w:proofErr w:type="spellEnd"/>
      <w:r w:rsidRPr="002D7A10">
        <w:rPr>
          <w:rFonts w:asciiTheme="minorHAnsi" w:hAnsiTheme="minorHAnsi"/>
          <w:bCs/>
          <w:iCs/>
        </w:rPr>
        <w:t>:</w:t>
      </w:r>
    </w:p>
    <w:p w:rsidR="00504765" w:rsidRPr="002D7A10" w:rsidRDefault="00504765" w:rsidP="009F5D48">
      <w:pPr>
        <w:numPr>
          <w:ilvl w:val="0"/>
          <w:numId w:val="51"/>
        </w:numPr>
        <w:jc w:val="left"/>
        <w:rPr>
          <w:rFonts w:asciiTheme="minorHAnsi" w:hAnsiTheme="minorHAnsi"/>
        </w:rPr>
      </w:pPr>
      <w:r w:rsidRPr="002D7A10">
        <w:rPr>
          <w:rFonts w:asciiTheme="minorHAnsi" w:hAnsiTheme="minorHAnsi"/>
          <w:bCs/>
          <w:iCs/>
        </w:rPr>
        <w:t> Výskumné centrum vývoja výrobku</w:t>
      </w:r>
    </w:p>
    <w:p w:rsidR="00504765" w:rsidRPr="002D7A10" w:rsidRDefault="00504765" w:rsidP="009F5D48">
      <w:pPr>
        <w:numPr>
          <w:ilvl w:val="0"/>
          <w:numId w:val="52"/>
        </w:numPr>
        <w:jc w:val="left"/>
        <w:rPr>
          <w:rFonts w:asciiTheme="minorHAnsi" w:hAnsiTheme="minorHAnsi"/>
        </w:rPr>
      </w:pPr>
      <w:r w:rsidRPr="002D7A10">
        <w:rPr>
          <w:rFonts w:asciiTheme="minorHAnsi" w:hAnsiTheme="minorHAnsi"/>
          <w:iCs/>
        </w:rPr>
        <w:lastRenderedPageBreak/>
        <w:t> </w:t>
      </w:r>
      <w:r w:rsidRPr="002D7A10">
        <w:rPr>
          <w:rFonts w:asciiTheme="minorHAnsi" w:hAnsiTheme="minorHAnsi"/>
          <w:bCs/>
          <w:iCs/>
        </w:rPr>
        <w:t xml:space="preserve">Laboratórium </w:t>
      </w:r>
      <w:proofErr w:type="spellStart"/>
      <w:r w:rsidRPr="002D7A10">
        <w:rPr>
          <w:rFonts w:asciiTheme="minorHAnsi" w:hAnsiTheme="minorHAnsi"/>
          <w:bCs/>
          <w:iCs/>
        </w:rPr>
        <w:t>biokatalýzy</w:t>
      </w:r>
      <w:proofErr w:type="spellEnd"/>
    </w:p>
    <w:p w:rsidR="00504765" w:rsidRPr="002D7A10" w:rsidRDefault="00504765" w:rsidP="009F5D48">
      <w:pPr>
        <w:numPr>
          <w:ilvl w:val="0"/>
          <w:numId w:val="53"/>
        </w:numPr>
        <w:jc w:val="left"/>
        <w:rPr>
          <w:rFonts w:asciiTheme="minorHAnsi" w:hAnsiTheme="minorHAnsi"/>
        </w:rPr>
      </w:pPr>
      <w:r w:rsidRPr="002D7A10">
        <w:rPr>
          <w:rFonts w:asciiTheme="minorHAnsi" w:hAnsiTheme="minorHAnsi"/>
          <w:iCs/>
        </w:rPr>
        <w:t> </w:t>
      </w:r>
      <w:r w:rsidRPr="002D7A10">
        <w:rPr>
          <w:rFonts w:asciiTheme="minorHAnsi" w:hAnsiTheme="minorHAnsi"/>
          <w:bCs/>
          <w:iCs/>
        </w:rPr>
        <w:t xml:space="preserve">Laboratórium kompozitných </w:t>
      </w:r>
      <w:proofErr w:type="spellStart"/>
      <w:r w:rsidRPr="002D7A10">
        <w:rPr>
          <w:rFonts w:asciiTheme="minorHAnsi" w:hAnsiTheme="minorHAnsi"/>
          <w:bCs/>
          <w:iCs/>
        </w:rPr>
        <w:t>biomateriálov</w:t>
      </w:r>
      <w:proofErr w:type="spellEnd"/>
    </w:p>
    <w:p w:rsidR="00504765" w:rsidRPr="002D7A10" w:rsidRDefault="00504765" w:rsidP="009F5D48">
      <w:pPr>
        <w:numPr>
          <w:ilvl w:val="0"/>
          <w:numId w:val="54"/>
        </w:numPr>
        <w:jc w:val="left"/>
        <w:rPr>
          <w:rFonts w:asciiTheme="minorHAnsi" w:hAnsiTheme="minorHAnsi"/>
        </w:rPr>
      </w:pPr>
      <w:r w:rsidRPr="002D7A10">
        <w:rPr>
          <w:rFonts w:asciiTheme="minorHAnsi" w:hAnsiTheme="minorHAnsi"/>
          <w:iCs/>
        </w:rPr>
        <w:t> </w:t>
      </w:r>
      <w:r w:rsidRPr="002D7A10">
        <w:rPr>
          <w:rFonts w:asciiTheme="minorHAnsi" w:hAnsiTheme="minorHAnsi"/>
          <w:bCs/>
          <w:iCs/>
        </w:rPr>
        <w:t>Laboratórium nových materiálov</w:t>
      </w:r>
    </w:p>
    <w:p w:rsidR="00504765" w:rsidRPr="0082246F" w:rsidRDefault="00504765" w:rsidP="009F5D48">
      <w:pPr>
        <w:numPr>
          <w:ilvl w:val="0"/>
          <w:numId w:val="55"/>
        </w:numPr>
        <w:jc w:val="left"/>
        <w:rPr>
          <w:rFonts w:asciiTheme="minorHAnsi" w:hAnsiTheme="minorHAnsi"/>
        </w:rPr>
      </w:pPr>
      <w:r w:rsidRPr="002D7A10">
        <w:rPr>
          <w:rFonts w:asciiTheme="minorHAnsi" w:hAnsiTheme="minorHAnsi"/>
          <w:iCs/>
        </w:rPr>
        <w:t> </w:t>
      </w:r>
      <w:r w:rsidRPr="002D7A10">
        <w:rPr>
          <w:rFonts w:asciiTheme="minorHAnsi" w:hAnsiTheme="minorHAnsi"/>
          <w:bCs/>
          <w:iCs/>
        </w:rPr>
        <w:t>Výskumné centrum materiálového využitia biomasy</w:t>
      </w:r>
    </w:p>
    <w:p w:rsidR="0082246F" w:rsidRPr="00495157" w:rsidRDefault="0082246F" w:rsidP="009F5D48">
      <w:pPr>
        <w:numPr>
          <w:ilvl w:val="0"/>
          <w:numId w:val="55"/>
        </w:numPr>
        <w:jc w:val="left"/>
        <w:rPr>
          <w:rFonts w:asciiTheme="minorHAnsi" w:hAnsiTheme="minorHAnsi"/>
        </w:rPr>
      </w:pPr>
      <w:r w:rsidRPr="00495157">
        <w:rPr>
          <w:rFonts w:asciiTheme="minorHAnsi" w:hAnsiTheme="minorHAnsi"/>
          <w:bCs/>
          <w:iCs/>
        </w:rPr>
        <w:t>Laboratórium partikulárnych látok</w:t>
      </w:r>
    </w:p>
    <w:p w:rsidR="00504765" w:rsidRPr="002D7A10" w:rsidRDefault="00504765" w:rsidP="009F5D48">
      <w:pPr>
        <w:numPr>
          <w:ilvl w:val="0"/>
          <w:numId w:val="56"/>
        </w:numPr>
        <w:jc w:val="left"/>
        <w:rPr>
          <w:rFonts w:asciiTheme="minorHAnsi" w:hAnsiTheme="minorHAnsi"/>
        </w:rPr>
      </w:pPr>
      <w:r w:rsidRPr="002D7A10">
        <w:rPr>
          <w:rFonts w:asciiTheme="minorHAnsi" w:hAnsiTheme="minorHAnsi"/>
          <w:iCs/>
        </w:rPr>
        <w:t> </w:t>
      </w:r>
      <w:r w:rsidRPr="002D7A10">
        <w:rPr>
          <w:rFonts w:asciiTheme="minorHAnsi" w:hAnsiTheme="minorHAnsi"/>
          <w:bCs/>
          <w:iCs/>
        </w:rPr>
        <w:t>Laboratórium fyzikálnych vlastností stavebných konštrukcií</w:t>
      </w:r>
    </w:p>
    <w:p w:rsidR="00504765" w:rsidRPr="002D7A10" w:rsidRDefault="00504765" w:rsidP="009F5D48">
      <w:pPr>
        <w:numPr>
          <w:ilvl w:val="0"/>
          <w:numId w:val="57"/>
        </w:numPr>
        <w:jc w:val="left"/>
        <w:rPr>
          <w:rFonts w:asciiTheme="minorHAnsi" w:hAnsiTheme="minorHAnsi"/>
        </w:rPr>
      </w:pPr>
      <w:r w:rsidRPr="002D7A10">
        <w:rPr>
          <w:rFonts w:asciiTheme="minorHAnsi" w:hAnsiTheme="minorHAnsi"/>
          <w:bCs/>
          <w:iCs/>
        </w:rPr>
        <w:t>Laboratórium statiky a dynamiky nosných konštrukcií</w:t>
      </w:r>
    </w:p>
    <w:p w:rsidR="00504765" w:rsidRPr="002D7A10" w:rsidRDefault="00504765" w:rsidP="009F5D48">
      <w:pPr>
        <w:numPr>
          <w:ilvl w:val="0"/>
          <w:numId w:val="58"/>
        </w:numPr>
        <w:jc w:val="left"/>
        <w:rPr>
          <w:rFonts w:asciiTheme="minorHAnsi" w:hAnsiTheme="minorHAnsi"/>
        </w:rPr>
      </w:pPr>
      <w:r w:rsidRPr="002D7A10">
        <w:rPr>
          <w:rStyle w:val="Siln"/>
          <w:rFonts w:asciiTheme="minorHAnsi" w:hAnsiTheme="minorHAnsi"/>
          <w:b w:val="0"/>
          <w:iCs/>
        </w:rPr>
        <w:t>Laboratórium stavebných materiálov</w:t>
      </w:r>
    </w:p>
    <w:p w:rsidR="00504765" w:rsidRPr="002D7A10" w:rsidRDefault="00504765" w:rsidP="009F5D48">
      <w:pPr>
        <w:numPr>
          <w:ilvl w:val="0"/>
          <w:numId w:val="59"/>
        </w:numPr>
        <w:jc w:val="left"/>
        <w:rPr>
          <w:rFonts w:asciiTheme="minorHAnsi" w:hAnsiTheme="minorHAnsi"/>
        </w:rPr>
      </w:pPr>
      <w:r w:rsidRPr="002D7A10">
        <w:rPr>
          <w:rFonts w:asciiTheme="minorHAnsi" w:hAnsiTheme="minorHAnsi"/>
          <w:bCs/>
          <w:iCs/>
        </w:rPr>
        <w:t>Laboratórium modelovania objektov a javov v priestore</w:t>
      </w:r>
    </w:p>
    <w:p w:rsidR="00504765" w:rsidRPr="002D7A10" w:rsidRDefault="00504765" w:rsidP="009F5D48">
      <w:pPr>
        <w:numPr>
          <w:ilvl w:val="0"/>
          <w:numId w:val="60"/>
        </w:numPr>
        <w:jc w:val="left"/>
        <w:rPr>
          <w:rFonts w:asciiTheme="minorHAnsi" w:hAnsiTheme="minorHAnsi"/>
          <w:iCs/>
        </w:rPr>
      </w:pPr>
      <w:r w:rsidRPr="002D7A10">
        <w:rPr>
          <w:rFonts w:asciiTheme="minorHAnsi" w:hAnsiTheme="minorHAnsi"/>
          <w:bCs/>
          <w:iCs/>
        </w:rPr>
        <w:t>Laboratórium stavieb na ochranu územia a </w:t>
      </w:r>
      <w:proofErr w:type="spellStart"/>
      <w:r w:rsidRPr="002D7A10">
        <w:rPr>
          <w:rFonts w:asciiTheme="minorHAnsi" w:hAnsiTheme="minorHAnsi"/>
          <w:bCs/>
          <w:iCs/>
        </w:rPr>
        <w:t>geohazardov</w:t>
      </w:r>
      <w:proofErr w:type="spellEnd"/>
    </w:p>
    <w:p w:rsidR="00C36E95" w:rsidRPr="002D7A10" w:rsidRDefault="00504765" w:rsidP="009F5D48">
      <w:pPr>
        <w:pStyle w:val="Normlnywebov"/>
        <w:spacing w:before="0" w:beforeAutospacing="0"/>
        <w:jc w:val="left"/>
        <w:rPr>
          <w:rFonts w:asciiTheme="minorHAnsi" w:hAnsiTheme="minorHAnsi"/>
        </w:rPr>
      </w:pPr>
      <w:r w:rsidRPr="002D7A10">
        <w:rPr>
          <w:rFonts w:asciiTheme="minorHAnsi" w:hAnsiTheme="minorHAnsi"/>
          <w:bCs/>
          <w:u w:val="single"/>
        </w:rPr>
        <w:t xml:space="preserve">Centrum STU pre </w:t>
      </w:r>
      <w:proofErr w:type="spellStart"/>
      <w:r w:rsidRPr="002D7A10">
        <w:rPr>
          <w:rFonts w:asciiTheme="minorHAnsi" w:hAnsiTheme="minorHAnsi"/>
          <w:bCs/>
          <w:u w:val="single"/>
        </w:rPr>
        <w:t>nanodiagnostiku</w:t>
      </w:r>
      <w:proofErr w:type="spellEnd"/>
    </w:p>
    <w:p w:rsidR="00504765" w:rsidRPr="002D7A10" w:rsidRDefault="00504765" w:rsidP="009F5D48">
      <w:pPr>
        <w:pStyle w:val="Normlnywebov"/>
        <w:spacing w:before="0" w:beforeAutospacing="0" w:after="0" w:afterAutospacing="0"/>
        <w:jc w:val="left"/>
        <w:rPr>
          <w:rFonts w:asciiTheme="minorHAnsi" w:hAnsiTheme="minorHAnsi"/>
        </w:rPr>
      </w:pPr>
      <w:r w:rsidRPr="002D7A10">
        <w:rPr>
          <w:rFonts w:asciiTheme="minorHAnsi" w:hAnsiTheme="minorHAnsi"/>
          <w:bCs/>
        </w:rPr>
        <w:t>CAMBO TRNAVA</w:t>
      </w:r>
    </w:p>
    <w:p w:rsidR="00504765" w:rsidRPr="002D7A10" w:rsidRDefault="00504765" w:rsidP="009F5D48">
      <w:pPr>
        <w:numPr>
          <w:ilvl w:val="0"/>
          <w:numId w:val="61"/>
        </w:numPr>
        <w:jc w:val="left"/>
        <w:rPr>
          <w:rFonts w:asciiTheme="minorHAnsi" w:hAnsiTheme="minorHAnsi"/>
        </w:rPr>
      </w:pPr>
      <w:r w:rsidRPr="002D7A10">
        <w:rPr>
          <w:rFonts w:asciiTheme="minorHAnsi" w:hAnsiTheme="minorHAnsi"/>
          <w:bCs/>
        </w:rPr>
        <w:t>Centrum materiálového výskumu</w:t>
      </w:r>
    </w:p>
    <w:p w:rsidR="00504765" w:rsidRPr="002D7A10" w:rsidRDefault="00504765" w:rsidP="009F5D48">
      <w:pPr>
        <w:numPr>
          <w:ilvl w:val="0"/>
          <w:numId w:val="62"/>
        </w:numPr>
        <w:jc w:val="left"/>
        <w:rPr>
          <w:rFonts w:asciiTheme="minorHAnsi" w:hAnsiTheme="minorHAnsi"/>
        </w:rPr>
      </w:pPr>
      <w:r w:rsidRPr="002D7A10">
        <w:rPr>
          <w:rFonts w:asciiTheme="minorHAnsi" w:hAnsiTheme="minorHAnsi"/>
          <w:bCs/>
        </w:rPr>
        <w:t>Centrum automatizácie a informatizácie výrobných procesov a systémov</w:t>
      </w:r>
      <w:r w:rsidR="00C36E95" w:rsidRPr="002D7A10">
        <w:rPr>
          <w:rFonts w:asciiTheme="minorHAnsi" w:hAnsiTheme="minorHAnsi"/>
        </w:rPr>
        <w:t xml:space="preserve"> </w:t>
      </w:r>
    </w:p>
    <w:p w:rsidR="00504765" w:rsidRPr="002D7A10" w:rsidRDefault="00504765" w:rsidP="009F5D48">
      <w:pPr>
        <w:numPr>
          <w:ilvl w:val="0"/>
          <w:numId w:val="63"/>
        </w:numPr>
        <w:jc w:val="left"/>
        <w:rPr>
          <w:rFonts w:asciiTheme="minorHAnsi" w:hAnsiTheme="minorHAnsi"/>
        </w:rPr>
      </w:pPr>
      <w:r w:rsidRPr="002D7A10">
        <w:rPr>
          <w:rFonts w:asciiTheme="minorHAnsi" w:hAnsiTheme="minorHAnsi"/>
          <w:bCs/>
        </w:rPr>
        <w:t xml:space="preserve">Centrum </w:t>
      </w:r>
      <w:proofErr w:type="spellStart"/>
      <w:r w:rsidRPr="002D7A10">
        <w:rPr>
          <w:rFonts w:asciiTheme="minorHAnsi" w:hAnsiTheme="minorHAnsi"/>
          <w:bCs/>
        </w:rPr>
        <w:t>excelentnosti</w:t>
      </w:r>
      <w:proofErr w:type="spellEnd"/>
      <w:r w:rsidRPr="002D7A10">
        <w:rPr>
          <w:rFonts w:asciiTheme="minorHAnsi" w:hAnsiTheme="minorHAnsi"/>
          <w:bCs/>
        </w:rPr>
        <w:t xml:space="preserve"> pre 5-osové obrábanie</w:t>
      </w:r>
      <w:hyperlink r:id="rId57" w:history="1">
        <w:r w:rsidRPr="002D7A10">
          <w:rPr>
            <w:rFonts w:asciiTheme="minorHAnsi" w:hAnsiTheme="minorHAnsi"/>
            <w:color w:val="0000FF"/>
            <w:u w:val="single"/>
          </w:rPr>
          <w:br/>
        </w:r>
      </w:hyperlink>
    </w:p>
    <w:p w:rsidR="00B51749" w:rsidRPr="002D7A10" w:rsidRDefault="00B51749" w:rsidP="00504765">
      <w:pPr>
        <w:rPr>
          <w:rFonts w:asciiTheme="minorHAnsi" w:hAnsiTheme="minorHAnsi"/>
          <w:color w:val="FF0000"/>
        </w:rPr>
      </w:pPr>
    </w:p>
    <w:p w:rsidR="00B45560" w:rsidRPr="00027E94" w:rsidRDefault="00B45560" w:rsidP="00B45560">
      <w:pPr>
        <w:rPr>
          <w:rFonts w:asciiTheme="minorHAnsi" w:hAnsiTheme="minorHAnsi"/>
        </w:rPr>
      </w:pPr>
      <w:r w:rsidRPr="00027E94">
        <w:rPr>
          <w:rFonts w:asciiTheme="minorHAnsi" w:hAnsiTheme="minorHAnsi"/>
        </w:rPr>
        <w:t xml:space="preserve">Rok 2015 bol z hľadiska čerpania štrukturálnych fondov posledným rokom pre vyčerpanie financií pridelených </w:t>
      </w:r>
      <w:r w:rsidRPr="00027E94">
        <w:rPr>
          <w:rFonts w:asciiTheme="minorHAnsi" w:hAnsiTheme="minorHAnsi"/>
          <w:b/>
        </w:rPr>
        <w:t xml:space="preserve">v rámci programovacieho obdobia 2007-2013. V tomto programovacom období sa STU sa podarilo </w:t>
      </w:r>
      <w:proofErr w:type="spellStart"/>
      <w:r w:rsidRPr="00027E94">
        <w:rPr>
          <w:rFonts w:asciiTheme="minorHAnsi" w:hAnsiTheme="minorHAnsi"/>
          <w:b/>
        </w:rPr>
        <w:t>prefinancovať</w:t>
      </w:r>
      <w:proofErr w:type="spellEnd"/>
      <w:r w:rsidRPr="00027E94">
        <w:rPr>
          <w:rFonts w:asciiTheme="minorHAnsi" w:hAnsiTheme="minorHAnsi"/>
          <w:b/>
        </w:rPr>
        <w:t xml:space="preserve"> viac ako 130 miliónov eur.</w:t>
      </w:r>
      <w:r w:rsidRPr="00027E94">
        <w:rPr>
          <w:rFonts w:asciiTheme="minorHAnsi" w:hAnsiTheme="minorHAnsi"/>
        </w:rPr>
        <w:t xml:space="preserve"> Z týchto prostriedkov sa financovali výskumné projekty a vybudovali sa na univerzite Centrá </w:t>
      </w:r>
      <w:proofErr w:type="spellStart"/>
      <w:r w:rsidRPr="00027E94">
        <w:rPr>
          <w:rFonts w:asciiTheme="minorHAnsi" w:hAnsiTheme="minorHAnsi"/>
        </w:rPr>
        <w:t>excelentnosti</w:t>
      </w:r>
      <w:proofErr w:type="spellEnd"/>
      <w:r w:rsidRPr="00027E94">
        <w:rPr>
          <w:rFonts w:asciiTheme="minorHAnsi" w:hAnsiTheme="minorHAnsi"/>
        </w:rPr>
        <w:t>, Kompetenčné centrá a spomenuté Univerzitné vedecké parky v Bratislave a v Trnave.  </w:t>
      </w:r>
    </w:p>
    <w:p w:rsidR="00B51749" w:rsidRPr="002D7A10" w:rsidRDefault="00B51749" w:rsidP="00504765">
      <w:pPr>
        <w:rPr>
          <w:rFonts w:asciiTheme="minorHAnsi" w:hAnsiTheme="minorHAnsi"/>
          <w:color w:val="FF0000"/>
        </w:rPr>
      </w:pPr>
    </w:p>
    <w:p w:rsidR="009F5D48" w:rsidRDefault="009F5D48">
      <w:pPr>
        <w:spacing w:after="200" w:line="276" w:lineRule="auto"/>
        <w:jc w:val="left"/>
        <w:rPr>
          <w:rFonts w:asciiTheme="minorHAnsi" w:hAnsiTheme="minorHAnsi"/>
          <w:color w:val="FF0000"/>
        </w:rPr>
      </w:pPr>
      <w:r>
        <w:rPr>
          <w:rFonts w:asciiTheme="minorHAnsi" w:hAnsiTheme="minorHAnsi"/>
          <w:color w:val="FF0000"/>
        </w:rPr>
        <w:br w:type="page"/>
      </w:r>
    </w:p>
    <w:p w:rsidR="00440AB3" w:rsidRPr="002D7A10" w:rsidRDefault="00440AB3" w:rsidP="00B51749">
      <w:pPr>
        <w:rPr>
          <w:rFonts w:asciiTheme="minorHAnsi" w:hAnsiTheme="minorHAnsi"/>
          <w:color w:val="FF0000"/>
        </w:rPr>
      </w:pPr>
    </w:p>
    <w:p w:rsidR="00B51749" w:rsidRPr="002D7A10" w:rsidRDefault="00B51749" w:rsidP="00B51749">
      <w:pPr>
        <w:pStyle w:val="Nadpis1"/>
        <w:rPr>
          <w:rFonts w:asciiTheme="minorHAnsi" w:hAnsiTheme="minorHAnsi"/>
          <w:color w:val="auto"/>
          <w:sz w:val="24"/>
          <w:szCs w:val="24"/>
        </w:rPr>
      </w:pPr>
      <w:bookmarkStart w:id="65" w:name="_Toc349024721"/>
      <w:bookmarkStart w:id="66" w:name="_Toc448261605"/>
      <w:r w:rsidRPr="002D7A10">
        <w:rPr>
          <w:rFonts w:asciiTheme="minorHAnsi" w:hAnsiTheme="minorHAnsi"/>
          <w:color w:val="auto"/>
          <w:sz w:val="24"/>
          <w:szCs w:val="24"/>
        </w:rPr>
        <w:t>Medzinárodné aktivity STU</w:t>
      </w:r>
      <w:bookmarkEnd w:id="65"/>
      <w:bookmarkEnd w:id="66"/>
    </w:p>
    <w:p w:rsidR="00B51749" w:rsidRPr="002D7A10" w:rsidRDefault="00B51749" w:rsidP="00B51749">
      <w:pPr>
        <w:rPr>
          <w:rFonts w:asciiTheme="minorHAnsi" w:hAnsiTheme="minorHAnsi"/>
          <w:color w:val="FF0000"/>
          <w:lang w:eastAsia="cs-CZ"/>
        </w:rPr>
      </w:pPr>
    </w:p>
    <w:p w:rsidR="00B51749" w:rsidRPr="002D7A10" w:rsidRDefault="00A22EA0" w:rsidP="00B51749">
      <w:pPr>
        <w:pStyle w:val="Default"/>
        <w:ind w:firstLine="432"/>
        <w:jc w:val="both"/>
        <w:rPr>
          <w:rFonts w:asciiTheme="minorHAnsi" w:hAnsiTheme="minorHAnsi" w:cs="Times New Roman"/>
          <w:color w:val="auto"/>
          <w:lang w:val="sk-SK"/>
        </w:rPr>
      </w:pPr>
      <w:bookmarkStart w:id="67" w:name="_Toc349024722"/>
      <w:r w:rsidRPr="002D7A10">
        <w:rPr>
          <w:rFonts w:asciiTheme="minorHAnsi" w:hAnsiTheme="minorHAnsi" w:cs="Times New Roman"/>
          <w:color w:val="auto"/>
          <w:lang w:val="sk-SK"/>
        </w:rPr>
        <w:t xml:space="preserve">STU pokračovala </w:t>
      </w:r>
      <w:r w:rsidR="00B51749" w:rsidRPr="002D7A10">
        <w:rPr>
          <w:rFonts w:asciiTheme="minorHAnsi" w:hAnsiTheme="minorHAnsi" w:cs="Times New Roman"/>
          <w:color w:val="auto"/>
          <w:lang w:val="sk-SK"/>
        </w:rPr>
        <w:t xml:space="preserve">v aktívnej medzinárodnej spolupráci s dlhodobými partnermi v zahraničí a nadväzovala nové partnerstvá s cieľom napĺňať body stanovené v Dlhodobej vízii STU v oblasti vzdelávania </w:t>
      </w:r>
      <w:r w:rsidR="00A70F92" w:rsidRPr="002D7A10">
        <w:rPr>
          <w:rFonts w:asciiTheme="minorHAnsi" w:hAnsiTheme="minorHAnsi" w:cs="Times New Roman"/>
          <w:color w:val="auto"/>
          <w:lang w:val="sk-SK"/>
        </w:rPr>
        <w:t>–</w:t>
      </w:r>
      <w:r w:rsidR="00B51749" w:rsidRPr="002D7A10">
        <w:rPr>
          <w:rFonts w:asciiTheme="minorHAnsi" w:hAnsiTheme="minorHAnsi" w:cs="Times New Roman"/>
          <w:color w:val="auto"/>
          <w:lang w:val="sk-SK"/>
        </w:rPr>
        <w:t xml:space="preserve"> otvárať univerzitu medzinárodnému prostrediu s cieľom poskytovať kvalitné, široko dostupné, medzinárodne porovnateľné vzdelávanie v technických a na ne nadväzujúcich odboroch, postavené na aktívnej účasti vo vedeckom výskume a ďalšej tvorivej činnosti, orientované na potreby hospodárskej a spoločenskej praxe. V oblasti výskumu a ďalšej tvorivej činnosti </w:t>
      </w:r>
      <w:r w:rsidR="00A70F92" w:rsidRPr="002D7A10">
        <w:rPr>
          <w:rFonts w:asciiTheme="minorHAnsi" w:hAnsiTheme="minorHAnsi" w:cs="Times New Roman"/>
          <w:color w:val="auto"/>
          <w:lang w:val="sk-SK"/>
        </w:rPr>
        <w:t>–</w:t>
      </w:r>
      <w:r w:rsidR="00B51749" w:rsidRPr="002D7A10">
        <w:rPr>
          <w:rFonts w:asciiTheme="minorHAnsi" w:hAnsiTheme="minorHAnsi" w:cs="Times New Roman"/>
          <w:color w:val="auto"/>
          <w:lang w:val="sk-SK"/>
        </w:rPr>
        <w:t xml:space="preserve"> väčšmi otvoriť STU medzinárodnej spolupráci vo výskume a ďalšej tvorivej činnosti, t. j. posilniť pozíciu univerzity v európskom výskumnom priestore; k tomu zlepšiť výskumnú infraštruktúru a prepájanie vzdelávania a výchovy s výskumom a ďalšou tvorivou činnosťou.</w:t>
      </w:r>
    </w:p>
    <w:p w:rsidR="00B51749" w:rsidRPr="002D7A10" w:rsidRDefault="00B51749" w:rsidP="00B51749">
      <w:pPr>
        <w:rPr>
          <w:rFonts w:asciiTheme="minorHAnsi" w:hAnsiTheme="minorHAnsi"/>
          <w:color w:val="FF0000"/>
        </w:rPr>
      </w:pPr>
    </w:p>
    <w:p w:rsidR="00B51749" w:rsidRPr="002D7A10" w:rsidRDefault="00B51749" w:rsidP="00B51749">
      <w:pPr>
        <w:pStyle w:val="Nadpis2"/>
        <w:rPr>
          <w:rFonts w:asciiTheme="minorHAnsi" w:hAnsiTheme="minorHAnsi"/>
          <w:color w:val="auto"/>
          <w:sz w:val="24"/>
          <w:szCs w:val="24"/>
        </w:rPr>
      </w:pPr>
      <w:bookmarkStart w:id="68" w:name="_Toc448261606"/>
      <w:r w:rsidRPr="002D7A10">
        <w:rPr>
          <w:rFonts w:asciiTheme="minorHAnsi" w:hAnsiTheme="minorHAnsi"/>
          <w:color w:val="auto"/>
          <w:sz w:val="24"/>
          <w:szCs w:val="24"/>
        </w:rPr>
        <w:t>Medzinárodné dohody</w:t>
      </w:r>
      <w:bookmarkEnd w:id="67"/>
      <w:r w:rsidRPr="002D7A10">
        <w:rPr>
          <w:rFonts w:asciiTheme="minorHAnsi" w:hAnsiTheme="minorHAnsi"/>
          <w:color w:val="auto"/>
          <w:sz w:val="24"/>
          <w:szCs w:val="24"/>
        </w:rPr>
        <w:t xml:space="preserve"> a partnerstvá</w:t>
      </w:r>
      <w:bookmarkEnd w:id="68"/>
      <w:r w:rsidRPr="002D7A10">
        <w:rPr>
          <w:rFonts w:asciiTheme="minorHAnsi" w:hAnsiTheme="minorHAnsi"/>
          <w:color w:val="auto"/>
          <w:sz w:val="24"/>
          <w:szCs w:val="24"/>
        </w:rPr>
        <w:t xml:space="preserve"> </w:t>
      </w:r>
    </w:p>
    <w:p w:rsidR="00581580" w:rsidRPr="002D7A10" w:rsidRDefault="00581580" w:rsidP="00632285">
      <w:pPr>
        <w:widowControl w:val="0"/>
        <w:autoSpaceDE w:val="0"/>
        <w:autoSpaceDN w:val="0"/>
        <w:adjustRightInd w:val="0"/>
        <w:rPr>
          <w:rFonts w:asciiTheme="minorHAnsi" w:hAnsiTheme="minorHAnsi"/>
          <w:color w:val="000000"/>
        </w:rPr>
      </w:pPr>
    </w:p>
    <w:p w:rsidR="00632285" w:rsidRPr="002D7A10" w:rsidRDefault="00632285" w:rsidP="00632285">
      <w:pPr>
        <w:widowControl w:val="0"/>
        <w:autoSpaceDE w:val="0"/>
        <w:autoSpaceDN w:val="0"/>
        <w:adjustRightInd w:val="0"/>
        <w:rPr>
          <w:rFonts w:asciiTheme="minorHAnsi" w:hAnsiTheme="minorHAnsi"/>
          <w:color w:val="000000"/>
        </w:rPr>
      </w:pPr>
      <w:r w:rsidRPr="002D7A10">
        <w:rPr>
          <w:rFonts w:asciiTheme="minorHAnsi" w:hAnsiTheme="minorHAnsi"/>
          <w:color w:val="000000"/>
        </w:rPr>
        <w:t xml:space="preserve">Medzinárodné dohody a uzatvorené partnerstvá vytvárajú platformu na rozvoj spolupráce univerzity, fakúlt, ústavov, katedier, či jednotlivých zamestnancov spolupracujúcich inštitúcií. </w:t>
      </w:r>
      <w:r w:rsidR="00581580" w:rsidRPr="002D7A10">
        <w:rPr>
          <w:rFonts w:asciiTheme="minorHAnsi" w:hAnsiTheme="minorHAnsi"/>
          <w:color w:val="000000"/>
        </w:rPr>
        <w:t xml:space="preserve"> </w:t>
      </w:r>
      <w:r w:rsidRPr="002D7A10">
        <w:rPr>
          <w:rFonts w:asciiTheme="minorHAnsi" w:hAnsiTheme="minorHAnsi"/>
          <w:color w:val="000000"/>
        </w:rPr>
        <w:t>STU uzatvára medzinárodné dohody na univerzitnej aj na fakultnej úrovni. Celkovo bolo uzatvorených 100 univerzitných rámcových dohôd s inštitúciami v </w:t>
      </w:r>
      <w:r w:rsidRPr="002D7A10">
        <w:rPr>
          <w:rFonts w:asciiTheme="minorHAnsi" w:hAnsiTheme="minorHAnsi"/>
          <w:color w:val="000000" w:themeColor="text1"/>
        </w:rPr>
        <w:t>35</w:t>
      </w:r>
      <w:r w:rsidRPr="002D7A10">
        <w:rPr>
          <w:rFonts w:asciiTheme="minorHAnsi" w:hAnsiTheme="minorHAnsi"/>
          <w:color w:val="000000"/>
        </w:rPr>
        <w:t> štátoch sveta.</w:t>
      </w:r>
    </w:p>
    <w:p w:rsidR="00632285" w:rsidRPr="002D7A10" w:rsidRDefault="00632285" w:rsidP="00632285">
      <w:pPr>
        <w:rPr>
          <w:rFonts w:asciiTheme="minorHAnsi" w:hAnsiTheme="minorHAnsi"/>
          <w:color w:val="000000"/>
          <w:lang w:eastAsia="ko-KR"/>
        </w:rPr>
      </w:pPr>
      <w:r w:rsidRPr="002D7A10">
        <w:rPr>
          <w:rFonts w:asciiTheme="minorHAnsi" w:hAnsiTheme="minorHAnsi"/>
          <w:color w:val="000000"/>
          <w:lang w:eastAsia="ko-KR"/>
        </w:rPr>
        <w:t xml:space="preserve">V roku 2015 rektor STU podporil rozšírenie medzinárodnej spolupráce podpísaním nových rámcových univerzitných dohôd s nasledovnými inštitúciami: </w:t>
      </w:r>
    </w:p>
    <w:p w:rsidR="00632285" w:rsidRPr="002D7A10" w:rsidRDefault="00632285" w:rsidP="00632285">
      <w:pPr>
        <w:rPr>
          <w:rFonts w:asciiTheme="minorHAnsi" w:hAnsiTheme="minorHAnsi"/>
          <w:color w:val="000000" w:themeColor="text1"/>
        </w:rPr>
      </w:pPr>
      <w:r w:rsidRPr="002D7A10">
        <w:rPr>
          <w:rFonts w:asciiTheme="minorHAnsi" w:hAnsiTheme="minorHAnsi"/>
          <w:color w:val="000000" w:themeColor="text1"/>
        </w:rPr>
        <w:t xml:space="preserve">- Centrum </w:t>
      </w:r>
      <w:proofErr w:type="spellStart"/>
      <w:r w:rsidRPr="002D7A10">
        <w:rPr>
          <w:rFonts w:asciiTheme="minorHAnsi" w:hAnsiTheme="minorHAnsi"/>
          <w:color w:val="000000" w:themeColor="text1"/>
        </w:rPr>
        <w:t>výzkumu</w:t>
      </w:r>
      <w:proofErr w:type="spellEnd"/>
      <w:r w:rsidRPr="002D7A10">
        <w:rPr>
          <w:rFonts w:asciiTheme="minorHAnsi" w:hAnsiTheme="minorHAnsi"/>
          <w:color w:val="000000" w:themeColor="text1"/>
        </w:rPr>
        <w:t xml:space="preserve"> </w:t>
      </w:r>
      <w:proofErr w:type="spellStart"/>
      <w:r w:rsidRPr="002D7A10">
        <w:rPr>
          <w:rFonts w:asciiTheme="minorHAnsi" w:hAnsiTheme="minorHAnsi"/>
          <w:color w:val="000000" w:themeColor="text1"/>
        </w:rPr>
        <w:t>globální</w:t>
      </w:r>
      <w:proofErr w:type="spellEnd"/>
      <w:r w:rsidRPr="002D7A10">
        <w:rPr>
          <w:rFonts w:asciiTheme="minorHAnsi" w:hAnsiTheme="minorHAnsi"/>
          <w:color w:val="000000" w:themeColor="text1"/>
        </w:rPr>
        <w:t xml:space="preserve"> </w:t>
      </w:r>
      <w:proofErr w:type="spellStart"/>
      <w:r w:rsidRPr="002D7A10">
        <w:rPr>
          <w:rFonts w:asciiTheme="minorHAnsi" w:hAnsiTheme="minorHAnsi"/>
          <w:color w:val="000000" w:themeColor="text1"/>
        </w:rPr>
        <w:t>změny</w:t>
      </w:r>
      <w:proofErr w:type="spellEnd"/>
      <w:r w:rsidRPr="002D7A10">
        <w:rPr>
          <w:rFonts w:asciiTheme="minorHAnsi" w:hAnsiTheme="minorHAnsi"/>
          <w:color w:val="000000" w:themeColor="text1"/>
        </w:rPr>
        <w:t xml:space="preserve"> AV ČR, </w:t>
      </w:r>
      <w:proofErr w:type="spellStart"/>
      <w:r w:rsidRPr="002D7A10">
        <w:rPr>
          <w:rFonts w:asciiTheme="minorHAnsi" w:hAnsiTheme="minorHAnsi"/>
          <w:color w:val="000000" w:themeColor="text1"/>
        </w:rPr>
        <w:t>v.v.i</w:t>
      </w:r>
      <w:proofErr w:type="spellEnd"/>
      <w:r w:rsidRPr="002D7A10">
        <w:rPr>
          <w:rFonts w:asciiTheme="minorHAnsi" w:hAnsiTheme="minorHAnsi"/>
          <w:color w:val="000000" w:themeColor="text1"/>
        </w:rPr>
        <w:t>., Česká republika</w:t>
      </w:r>
    </w:p>
    <w:p w:rsidR="00632285" w:rsidRPr="002D7A10" w:rsidRDefault="00632285" w:rsidP="00632285">
      <w:pPr>
        <w:rPr>
          <w:rFonts w:asciiTheme="minorHAnsi" w:hAnsiTheme="minorHAnsi"/>
          <w:color w:val="000000" w:themeColor="text1"/>
        </w:rPr>
      </w:pPr>
      <w:r w:rsidRPr="002D7A10">
        <w:rPr>
          <w:rFonts w:asciiTheme="minorHAnsi" w:hAnsiTheme="minorHAnsi"/>
          <w:color w:val="000000" w:themeColor="text1"/>
        </w:rPr>
        <w:t xml:space="preserve">- </w:t>
      </w:r>
      <w:hyperlink r:id="rId58" w:history="1">
        <w:proofErr w:type="spellStart"/>
        <w:r w:rsidRPr="0082246F">
          <w:rPr>
            <w:rStyle w:val="Hypertextovprepojenie"/>
            <w:rFonts w:asciiTheme="minorHAnsi" w:hAnsiTheme="minorHAnsi"/>
            <w:color w:val="000000" w:themeColor="text1"/>
            <w:u w:val="none"/>
          </w:rPr>
          <w:t>Vyatka</w:t>
        </w:r>
        <w:proofErr w:type="spellEnd"/>
        <w:r w:rsidRPr="0082246F">
          <w:rPr>
            <w:rStyle w:val="Hypertextovprepojenie"/>
            <w:rFonts w:asciiTheme="minorHAnsi" w:hAnsiTheme="minorHAnsi"/>
            <w:color w:val="000000" w:themeColor="text1"/>
            <w:u w:val="none"/>
          </w:rPr>
          <w:t xml:space="preserve"> State </w:t>
        </w:r>
        <w:proofErr w:type="spellStart"/>
        <w:r w:rsidRPr="0082246F">
          <w:rPr>
            <w:rStyle w:val="Hypertextovprepojenie"/>
            <w:rFonts w:asciiTheme="minorHAnsi" w:hAnsiTheme="minorHAnsi"/>
            <w:color w:val="000000" w:themeColor="text1"/>
            <w:u w:val="none"/>
          </w:rPr>
          <w:t>University</w:t>
        </w:r>
        <w:proofErr w:type="spellEnd"/>
      </w:hyperlink>
      <w:r w:rsidRPr="0082246F">
        <w:rPr>
          <w:rFonts w:asciiTheme="minorHAnsi" w:hAnsiTheme="minorHAnsi"/>
          <w:color w:val="000000" w:themeColor="text1"/>
        </w:rPr>
        <w:t>,</w:t>
      </w:r>
      <w:r w:rsidRPr="002D7A10">
        <w:rPr>
          <w:rFonts w:asciiTheme="minorHAnsi" w:hAnsiTheme="minorHAnsi"/>
          <w:color w:val="000000" w:themeColor="text1"/>
        </w:rPr>
        <w:t xml:space="preserve"> Rusko</w:t>
      </w:r>
    </w:p>
    <w:p w:rsidR="00632285" w:rsidRPr="002D7A10" w:rsidRDefault="00632285" w:rsidP="00632285">
      <w:pPr>
        <w:rPr>
          <w:rFonts w:asciiTheme="minorHAnsi" w:hAnsiTheme="minorHAnsi"/>
          <w:color w:val="000000" w:themeColor="text1"/>
        </w:rPr>
      </w:pPr>
      <w:r w:rsidRPr="002D7A10">
        <w:rPr>
          <w:rFonts w:asciiTheme="minorHAnsi" w:hAnsiTheme="minorHAnsi"/>
          <w:color w:val="000000" w:themeColor="text1"/>
        </w:rPr>
        <w:t xml:space="preserve">- </w:t>
      </w:r>
      <w:proofErr w:type="spellStart"/>
      <w:r w:rsidRPr="002D7A10">
        <w:rPr>
          <w:rFonts w:asciiTheme="minorHAnsi" w:hAnsiTheme="minorHAnsi"/>
          <w:color w:val="000000" w:themeColor="text1"/>
        </w:rPr>
        <w:t>University</w:t>
      </w:r>
      <w:proofErr w:type="spellEnd"/>
      <w:r w:rsidRPr="002D7A10">
        <w:rPr>
          <w:rFonts w:asciiTheme="minorHAnsi" w:hAnsiTheme="minorHAnsi"/>
          <w:color w:val="000000" w:themeColor="text1"/>
        </w:rPr>
        <w:t xml:space="preserve"> </w:t>
      </w:r>
      <w:proofErr w:type="spellStart"/>
      <w:r w:rsidRPr="002D7A10">
        <w:rPr>
          <w:rFonts w:asciiTheme="minorHAnsi" w:hAnsiTheme="minorHAnsi"/>
          <w:color w:val="000000" w:themeColor="text1"/>
        </w:rPr>
        <w:t>of</w:t>
      </w:r>
      <w:proofErr w:type="spellEnd"/>
      <w:r w:rsidRPr="002D7A10">
        <w:rPr>
          <w:rFonts w:asciiTheme="minorHAnsi" w:hAnsiTheme="minorHAnsi"/>
          <w:color w:val="000000" w:themeColor="text1"/>
        </w:rPr>
        <w:t xml:space="preserve"> </w:t>
      </w:r>
      <w:proofErr w:type="spellStart"/>
      <w:r w:rsidRPr="002D7A10">
        <w:rPr>
          <w:rFonts w:asciiTheme="minorHAnsi" w:hAnsiTheme="minorHAnsi"/>
          <w:color w:val="000000" w:themeColor="text1"/>
        </w:rPr>
        <w:t>Ferrara</w:t>
      </w:r>
      <w:proofErr w:type="spellEnd"/>
      <w:r w:rsidRPr="002D7A10">
        <w:rPr>
          <w:rFonts w:asciiTheme="minorHAnsi" w:hAnsiTheme="minorHAnsi"/>
          <w:color w:val="000000" w:themeColor="text1"/>
        </w:rPr>
        <w:t>, Taliansko</w:t>
      </w:r>
    </w:p>
    <w:p w:rsidR="00632285" w:rsidRPr="002D7A10" w:rsidRDefault="00632285" w:rsidP="00632285">
      <w:pPr>
        <w:rPr>
          <w:rFonts w:asciiTheme="minorHAnsi" w:hAnsiTheme="minorHAnsi"/>
        </w:rPr>
      </w:pPr>
      <w:r w:rsidRPr="002D7A10">
        <w:rPr>
          <w:rFonts w:asciiTheme="minorHAnsi" w:hAnsiTheme="minorHAnsi"/>
          <w:color w:val="000000" w:themeColor="text1"/>
        </w:rPr>
        <w:t xml:space="preserve">- </w:t>
      </w:r>
      <w:r w:rsidRPr="002D7A10">
        <w:rPr>
          <w:rFonts w:asciiTheme="minorHAnsi" w:hAnsiTheme="minorHAnsi"/>
        </w:rPr>
        <w:t xml:space="preserve">Istanbul </w:t>
      </w:r>
      <w:proofErr w:type="spellStart"/>
      <w:r w:rsidRPr="002D7A10">
        <w:rPr>
          <w:rFonts w:asciiTheme="minorHAnsi" w:hAnsiTheme="minorHAnsi"/>
        </w:rPr>
        <w:t>Bilgi</w:t>
      </w:r>
      <w:proofErr w:type="spellEnd"/>
      <w:r w:rsidRPr="002D7A10">
        <w:rPr>
          <w:rFonts w:asciiTheme="minorHAnsi" w:hAnsiTheme="minorHAnsi"/>
        </w:rPr>
        <w:t xml:space="preserve"> </w:t>
      </w:r>
      <w:proofErr w:type="spellStart"/>
      <w:r w:rsidRPr="002D7A10">
        <w:rPr>
          <w:rFonts w:asciiTheme="minorHAnsi" w:hAnsiTheme="minorHAnsi"/>
        </w:rPr>
        <w:t>University</w:t>
      </w:r>
      <w:proofErr w:type="spellEnd"/>
      <w:r w:rsidRPr="002D7A10">
        <w:rPr>
          <w:rFonts w:asciiTheme="minorHAnsi" w:hAnsiTheme="minorHAnsi"/>
        </w:rPr>
        <w:t>, Turecko</w:t>
      </w:r>
    </w:p>
    <w:p w:rsidR="00632285" w:rsidRPr="002D7A10" w:rsidRDefault="00632285" w:rsidP="00632285">
      <w:pPr>
        <w:rPr>
          <w:rFonts w:asciiTheme="minorHAnsi" w:hAnsiTheme="minorHAnsi"/>
        </w:rPr>
      </w:pPr>
      <w:r w:rsidRPr="002D7A10">
        <w:rPr>
          <w:rFonts w:asciiTheme="minorHAnsi" w:hAnsiTheme="minorHAnsi"/>
        </w:rPr>
        <w:t xml:space="preserve">- </w:t>
      </w:r>
      <w:proofErr w:type="spellStart"/>
      <w:r w:rsidRPr="002D7A10">
        <w:rPr>
          <w:rFonts w:asciiTheme="minorHAnsi" w:hAnsiTheme="minorHAnsi"/>
        </w:rPr>
        <w:t>Univerzidade</w:t>
      </w:r>
      <w:proofErr w:type="spellEnd"/>
      <w:r w:rsidRPr="002D7A10">
        <w:rPr>
          <w:rFonts w:asciiTheme="minorHAnsi" w:hAnsiTheme="minorHAnsi"/>
        </w:rPr>
        <w:t xml:space="preserve"> </w:t>
      </w:r>
      <w:proofErr w:type="spellStart"/>
      <w:r w:rsidRPr="002D7A10">
        <w:rPr>
          <w:rFonts w:asciiTheme="minorHAnsi" w:hAnsiTheme="minorHAnsi"/>
        </w:rPr>
        <w:t>de</w:t>
      </w:r>
      <w:proofErr w:type="spellEnd"/>
      <w:r w:rsidRPr="002D7A10">
        <w:rPr>
          <w:rFonts w:asciiTheme="minorHAnsi" w:hAnsiTheme="minorHAnsi"/>
        </w:rPr>
        <w:t xml:space="preserve"> </w:t>
      </w:r>
      <w:proofErr w:type="spellStart"/>
      <w:r w:rsidRPr="002D7A10">
        <w:rPr>
          <w:rFonts w:asciiTheme="minorHAnsi" w:hAnsiTheme="minorHAnsi"/>
        </w:rPr>
        <w:t>Sao</w:t>
      </w:r>
      <w:proofErr w:type="spellEnd"/>
      <w:r w:rsidRPr="002D7A10">
        <w:rPr>
          <w:rFonts w:asciiTheme="minorHAnsi" w:hAnsiTheme="minorHAnsi"/>
        </w:rPr>
        <w:t xml:space="preserve"> </w:t>
      </w:r>
      <w:proofErr w:type="spellStart"/>
      <w:r w:rsidRPr="002D7A10">
        <w:rPr>
          <w:rFonts w:asciiTheme="minorHAnsi" w:hAnsiTheme="minorHAnsi"/>
        </w:rPr>
        <w:t>Paulo</w:t>
      </w:r>
      <w:proofErr w:type="spellEnd"/>
      <w:r w:rsidRPr="002D7A10">
        <w:rPr>
          <w:rFonts w:asciiTheme="minorHAnsi" w:hAnsiTheme="minorHAnsi"/>
        </w:rPr>
        <w:t>, Brazília</w:t>
      </w:r>
    </w:p>
    <w:p w:rsidR="00632285" w:rsidRPr="002D7A10" w:rsidRDefault="00632285" w:rsidP="00632285">
      <w:pPr>
        <w:rPr>
          <w:rFonts w:asciiTheme="minorHAnsi" w:hAnsiTheme="minorHAnsi"/>
          <w:color w:val="000000" w:themeColor="text1"/>
        </w:rPr>
      </w:pPr>
      <w:r w:rsidRPr="002D7A10">
        <w:rPr>
          <w:rFonts w:asciiTheme="minorHAnsi" w:hAnsiTheme="minorHAnsi"/>
        </w:rPr>
        <w:t xml:space="preserve">- </w:t>
      </w:r>
      <w:proofErr w:type="spellStart"/>
      <w:r w:rsidRPr="002D7A10">
        <w:rPr>
          <w:rFonts w:asciiTheme="minorHAnsi" w:hAnsiTheme="minorHAnsi"/>
        </w:rPr>
        <w:t>University</w:t>
      </w:r>
      <w:proofErr w:type="spellEnd"/>
      <w:r w:rsidRPr="002D7A10">
        <w:rPr>
          <w:rFonts w:asciiTheme="minorHAnsi" w:hAnsiTheme="minorHAnsi"/>
        </w:rPr>
        <w:t xml:space="preserve"> </w:t>
      </w:r>
      <w:proofErr w:type="spellStart"/>
      <w:r w:rsidRPr="002D7A10">
        <w:rPr>
          <w:rFonts w:asciiTheme="minorHAnsi" w:hAnsiTheme="minorHAnsi"/>
        </w:rPr>
        <w:t>of</w:t>
      </w:r>
      <w:proofErr w:type="spellEnd"/>
      <w:r w:rsidRPr="002D7A10">
        <w:rPr>
          <w:rFonts w:asciiTheme="minorHAnsi" w:hAnsiTheme="minorHAnsi"/>
        </w:rPr>
        <w:t xml:space="preserve"> </w:t>
      </w:r>
      <w:proofErr w:type="spellStart"/>
      <w:r w:rsidRPr="002D7A10">
        <w:rPr>
          <w:rFonts w:asciiTheme="minorHAnsi" w:hAnsiTheme="minorHAnsi"/>
        </w:rPr>
        <w:t>Pannonia</w:t>
      </w:r>
      <w:proofErr w:type="spellEnd"/>
      <w:r w:rsidRPr="002D7A10">
        <w:rPr>
          <w:rFonts w:asciiTheme="minorHAnsi" w:hAnsiTheme="minorHAnsi"/>
        </w:rPr>
        <w:t>, Maďarsko</w:t>
      </w:r>
    </w:p>
    <w:p w:rsidR="00632285" w:rsidRPr="002D7A10" w:rsidRDefault="00632285" w:rsidP="00632285">
      <w:pPr>
        <w:rPr>
          <w:rFonts w:asciiTheme="minorHAnsi" w:hAnsiTheme="minorHAnsi"/>
          <w:color w:val="00B050"/>
        </w:rPr>
      </w:pPr>
    </w:p>
    <w:p w:rsidR="00632285" w:rsidRPr="002D7A10" w:rsidRDefault="00632285" w:rsidP="00DC7369">
      <w:pPr>
        <w:widowControl w:val="0"/>
        <w:autoSpaceDE w:val="0"/>
        <w:autoSpaceDN w:val="0"/>
        <w:adjustRightInd w:val="0"/>
        <w:rPr>
          <w:rFonts w:asciiTheme="minorHAnsi" w:hAnsiTheme="minorHAnsi"/>
          <w:color w:val="000000"/>
        </w:rPr>
      </w:pPr>
      <w:r w:rsidRPr="002D7A10">
        <w:rPr>
          <w:rFonts w:asciiTheme="minorHAnsi" w:hAnsiTheme="minorHAnsi"/>
          <w:color w:val="000000"/>
        </w:rPr>
        <w:t>Dôvodom uzatvárania zmlúv na úrovni fakulty je predovšetkým skutočnosť, že obsahové zameranie partnerskej univerzity môže byť odlišné od technickej orientácie STU a príbuznosť je len na úrovni jednej zložky partnera, s ktorou fakulta STU uzavrela dohodu. Celkovo mali fakulty STU v roku 2015 uzatvorené dohody s </w:t>
      </w:r>
      <w:r w:rsidRPr="002D7A10">
        <w:rPr>
          <w:rFonts w:asciiTheme="minorHAnsi" w:hAnsiTheme="minorHAnsi"/>
          <w:color w:val="000000" w:themeColor="text1"/>
        </w:rPr>
        <w:t>37</w:t>
      </w:r>
      <w:r w:rsidRPr="002D7A10">
        <w:rPr>
          <w:rFonts w:asciiTheme="minorHAnsi" w:hAnsiTheme="minorHAnsi"/>
          <w:color w:val="000000"/>
        </w:rPr>
        <w:t> inštitúciami v </w:t>
      </w:r>
      <w:r w:rsidRPr="002D7A10">
        <w:rPr>
          <w:rFonts w:asciiTheme="minorHAnsi" w:hAnsiTheme="minorHAnsi"/>
          <w:color w:val="000000" w:themeColor="text1"/>
        </w:rPr>
        <w:t>16</w:t>
      </w:r>
      <w:r w:rsidR="00DC7369">
        <w:rPr>
          <w:rFonts w:asciiTheme="minorHAnsi" w:hAnsiTheme="minorHAnsi"/>
          <w:color w:val="000000"/>
        </w:rPr>
        <w:t xml:space="preserve"> štátoch sveta. </w:t>
      </w:r>
    </w:p>
    <w:p w:rsidR="00632285" w:rsidRPr="002D7A10" w:rsidRDefault="00632285" w:rsidP="00632285">
      <w:pPr>
        <w:rPr>
          <w:rFonts w:asciiTheme="minorHAnsi" w:hAnsiTheme="minorHAnsi"/>
          <w:color w:val="000000" w:themeColor="text1"/>
        </w:rPr>
      </w:pPr>
      <w:r w:rsidRPr="002D7A10">
        <w:rPr>
          <w:rFonts w:asciiTheme="minorHAnsi" w:hAnsiTheme="minorHAnsi"/>
        </w:rPr>
        <w:t xml:space="preserve">Pre oblasť mobilít študentov, akademických i neakademických zamestnancov je </w:t>
      </w:r>
      <w:r w:rsidRPr="002D7A10">
        <w:rPr>
          <w:rFonts w:asciiTheme="minorHAnsi" w:hAnsiTheme="minorHAnsi"/>
          <w:color w:val="000000"/>
        </w:rPr>
        <w:t xml:space="preserve">nesporným prínosom zmluvná </w:t>
      </w:r>
      <w:proofErr w:type="spellStart"/>
      <w:r w:rsidRPr="002D7A10">
        <w:rPr>
          <w:rFonts w:asciiTheme="minorHAnsi" w:hAnsiTheme="minorHAnsi"/>
          <w:color w:val="000000"/>
        </w:rPr>
        <w:t>Erasmus</w:t>
      </w:r>
      <w:proofErr w:type="spellEnd"/>
      <w:r w:rsidRPr="002D7A10">
        <w:rPr>
          <w:rFonts w:asciiTheme="minorHAnsi" w:hAnsiTheme="minorHAnsi"/>
          <w:color w:val="000000"/>
        </w:rPr>
        <w:t xml:space="preserve"> základňa – </w:t>
      </w:r>
      <w:r w:rsidRPr="002D7A10">
        <w:rPr>
          <w:rFonts w:asciiTheme="minorHAnsi" w:hAnsiTheme="minorHAnsi"/>
          <w:color w:val="000000" w:themeColor="text1"/>
        </w:rPr>
        <w:t>326</w:t>
      </w:r>
      <w:r w:rsidRPr="002D7A10">
        <w:rPr>
          <w:rFonts w:asciiTheme="minorHAnsi" w:hAnsiTheme="minorHAnsi"/>
          <w:color w:val="FF0000"/>
        </w:rPr>
        <w:t xml:space="preserve"> </w:t>
      </w:r>
      <w:r w:rsidRPr="002D7A10">
        <w:rPr>
          <w:rFonts w:asciiTheme="minorHAnsi" w:hAnsiTheme="minorHAnsi"/>
          <w:color w:val="000000"/>
        </w:rPr>
        <w:t xml:space="preserve">uzatvorených </w:t>
      </w:r>
      <w:proofErr w:type="spellStart"/>
      <w:r w:rsidRPr="002D7A10">
        <w:rPr>
          <w:rFonts w:asciiTheme="minorHAnsi" w:hAnsiTheme="minorHAnsi"/>
          <w:color w:val="000000"/>
        </w:rPr>
        <w:t>Erasmus</w:t>
      </w:r>
      <w:proofErr w:type="spellEnd"/>
      <w:r w:rsidRPr="002D7A10">
        <w:rPr>
          <w:rFonts w:asciiTheme="minorHAnsi" w:hAnsiTheme="minorHAnsi"/>
          <w:color w:val="000000"/>
        </w:rPr>
        <w:t xml:space="preserve">+ dohôd so </w:t>
      </w:r>
      <w:r w:rsidRPr="002D7A10">
        <w:rPr>
          <w:rFonts w:asciiTheme="minorHAnsi" w:hAnsiTheme="minorHAnsi"/>
          <w:color w:val="000000" w:themeColor="text1"/>
        </w:rPr>
        <w:t xml:space="preserve">198 inštitúciami v 25 štátoch.  </w:t>
      </w:r>
    </w:p>
    <w:p w:rsidR="00632285" w:rsidRPr="002D7A10" w:rsidRDefault="00632285" w:rsidP="00632285">
      <w:pPr>
        <w:rPr>
          <w:rFonts w:asciiTheme="minorHAnsi" w:hAnsiTheme="minorHAnsi"/>
          <w:b/>
          <w:color w:val="000000" w:themeColor="text1"/>
        </w:rPr>
      </w:pPr>
    </w:p>
    <w:p w:rsidR="00632285" w:rsidRPr="002D7A10" w:rsidRDefault="00632285" w:rsidP="00632285">
      <w:pPr>
        <w:rPr>
          <w:rFonts w:asciiTheme="minorHAnsi" w:hAnsiTheme="minorHAnsi"/>
          <w:color w:val="000000" w:themeColor="text1"/>
        </w:rPr>
      </w:pPr>
      <w:r w:rsidRPr="002D7A10">
        <w:rPr>
          <w:rFonts w:asciiTheme="minorHAnsi" w:hAnsiTheme="minorHAnsi"/>
          <w:color w:val="000000" w:themeColor="text1"/>
        </w:rPr>
        <w:lastRenderedPageBreak/>
        <w:t>Kompletnú zmluvnú základňu univerzitných, fakultných a </w:t>
      </w:r>
      <w:proofErr w:type="spellStart"/>
      <w:r w:rsidRPr="002D7A10">
        <w:rPr>
          <w:rFonts w:asciiTheme="minorHAnsi" w:hAnsiTheme="minorHAnsi"/>
          <w:color w:val="000000" w:themeColor="text1"/>
        </w:rPr>
        <w:t>Erasmus</w:t>
      </w:r>
      <w:proofErr w:type="spellEnd"/>
      <w:r w:rsidRPr="002D7A10">
        <w:rPr>
          <w:rFonts w:asciiTheme="minorHAnsi" w:hAnsiTheme="minorHAnsi"/>
          <w:color w:val="000000" w:themeColor="text1"/>
        </w:rPr>
        <w:t xml:space="preserve"> dohôd STU predstavuje spolupráca s 299</w:t>
      </w:r>
      <w:r w:rsidRPr="002D7A10">
        <w:rPr>
          <w:rFonts w:asciiTheme="minorHAnsi" w:hAnsiTheme="minorHAnsi"/>
          <w:b/>
          <w:color w:val="000000" w:themeColor="text1"/>
        </w:rPr>
        <w:t xml:space="preserve"> </w:t>
      </w:r>
      <w:r w:rsidRPr="002D7A10">
        <w:rPr>
          <w:rFonts w:asciiTheme="minorHAnsi" w:hAnsiTheme="minorHAnsi"/>
          <w:color w:val="000000" w:themeColor="text1"/>
        </w:rPr>
        <w:t xml:space="preserve">inštitúciami v 47 štátoch sveta tvorená celkovým počtom 463 dohôd. </w:t>
      </w:r>
      <w:r w:rsidRPr="002D7A10">
        <w:rPr>
          <w:rFonts w:asciiTheme="minorHAnsi" w:hAnsiTheme="minorHAnsi"/>
          <w:color w:val="FF0000"/>
        </w:rPr>
        <w:t xml:space="preserve"> </w:t>
      </w:r>
      <w:r w:rsidRPr="002D7A10">
        <w:rPr>
          <w:rFonts w:asciiTheme="minorHAnsi" w:hAnsiTheme="minorHAnsi"/>
          <w:color w:val="000000" w:themeColor="text1"/>
        </w:rPr>
        <w:t xml:space="preserve">Najrozsiahlejšia spolupráca STU v rámci uzatvorených univerzitných a fakultných </w:t>
      </w:r>
      <w:r w:rsidR="00581580" w:rsidRPr="002D7A10">
        <w:rPr>
          <w:rFonts w:asciiTheme="minorHAnsi" w:hAnsiTheme="minorHAnsi"/>
          <w:color w:val="000000" w:themeColor="text1"/>
        </w:rPr>
        <w:t>dohôd</w:t>
      </w:r>
      <w:r w:rsidRPr="002D7A10">
        <w:rPr>
          <w:rFonts w:asciiTheme="minorHAnsi" w:hAnsiTheme="minorHAnsi"/>
          <w:color w:val="000000" w:themeColor="text1"/>
        </w:rPr>
        <w:t xml:space="preserve"> (mimo dohôd </w:t>
      </w:r>
      <w:proofErr w:type="spellStart"/>
      <w:r w:rsidRPr="002D7A10">
        <w:rPr>
          <w:rFonts w:asciiTheme="minorHAnsi" w:hAnsiTheme="minorHAnsi"/>
          <w:color w:val="000000" w:themeColor="text1"/>
        </w:rPr>
        <w:t>Erasmus</w:t>
      </w:r>
      <w:proofErr w:type="spellEnd"/>
      <w:r w:rsidRPr="002D7A10">
        <w:rPr>
          <w:rFonts w:asciiTheme="minorHAnsi" w:hAnsiTheme="minorHAnsi"/>
          <w:color w:val="000000" w:themeColor="text1"/>
        </w:rPr>
        <w:t xml:space="preserve">+) je s inštitúciami v Nemecku, Rusku, Českej republike a Poľsku. </w:t>
      </w:r>
    </w:p>
    <w:p w:rsidR="00632285" w:rsidRPr="009F5D48" w:rsidRDefault="00632285" w:rsidP="00632285">
      <w:pPr>
        <w:rPr>
          <w:rFonts w:asciiTheme="minorHAnsi" w:hAnsiTheme="minorHAnsi"/>
          <w:b/>
          <w:sz w:val="20"/>
          <w:szCs w:val="20"/>
        </w:rPr>
      </w:pPr>
    </w:p>
    <w:p w:rsidR="00632285" w:rsidRPr="009F5D48" w:rsidRDefault="00632285" w:rsidP="00632285">
      <w:pPr>
        <w:rPr>
          <w:rFonts w:asciiTheme="minorHAnsi" w:eastAsia="Times New Roman" w:hAnsiTheme="minorHAnsi"/>
          <w:b/>
          <w:bCs/>
          <w:sz w:val="20"/>
          <w:szCs w:val="20"/>
        </w:rPr>
      </w:pPr>
      <w:r w:rsidRPr="009F5D48">
        <w:rPr>
          <w:rFonts w:asciiTheme="minorHAnsi" w:eastAsia="Times New Roman" w:hAnsiTheme="minorHAnsi"/>
          <w:b/>
          <w:bCs/>
          <w:sz w:val="20"/>
          <w:szCs w:val="20"/>
        </w:rPr>
        <w:t xml:space="preserve">Tabuľka 11.1: Prehľad dohôd STU so zahraničnými univerzitami - rok 2015 </w:t>
      </w:r>
    </w:p>
    <w:tbl>
      <w:tblPr>
        <w:tblW w:w="7334" w:type="dxa"/>
        <w:tblInd w:w="70" w:type="dxa"/>
        <w:tblLayout w:type="fixed"/>
        <w:tblCellMar>
          <w:left w:w="70" w:type="dxa"/>
          <w:right w:w="70" w:type="dxa"/>
        </w:tblCellMar>
        <w:tblLook w:val="0000" w:firstRow="0" w:lastRow="0" w:firstColumn="0" w:lastColumn="0" w:noHBand="0" w:noVBand="0"/>
      </w:tblPr>
      <w:tblGrid>
        <w:gridCol w:w="1351"/>
        <w:gridCol w:w="1768"/>
        <w:gridCol w:w="1320"/>
        <w:gridCol w:w="1544"/>
        <w:gridCol w:w="1351"/>
      </w:tblGrid>
      <w:tr w:rsidR="00632285" w:rsidRPr="009F5D48" w:rsidTr="00911364">
        <w:trPr>
          <w:trHeight w:val="382"/>
        </w:trPr>
        <w:tc>
          <w:tcPr>
            <w:tcW w:w="1351" w:type="dxa"/>
            <w:tcBorders>
              <w:top w:val="single" w:sz="4" w:space="0" w:color="auto"/>
              <w:left w:val="single" w:sz="4" w:space="0" w:color="auto"/>
              <w:bottom w:val="single" w:sz="4" w:space="0" w:color="auto"/>
              <w:right w:val="single" w:sz="4" w:space="0" w:color="auto"/>
            </w:tcBorders>
          </w:tcPr>
          <w:p w:rsidR="00632285" w:rsidRPr="009F5D48" w:rsidRDefault="00632285" w:rsidP="00911364">
            <w:pPr>
              <w:spacing w:before="60"/>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STU</w:t>
            </w:r>
          </w:p>
        </w:tc>
        <w:tc>
          <w:tcPr>
            <w:tcW w:w="1768" w:type="dxa"/>
            <w:tcBorders>
              <w:top w:val="single" w:sz="4" w:space="0" w:color="auto"/>
              <w:left w:val="nil"/>
              <w:bottom w:val="single" w:sz="4" w:space="0" w:color="auto"/>
              <w:right w:val="single" w:sz="4" w:space="0" w:color="auto"/>
            </w:tcBorders>
            <w:shd w:val="clear" w:color="auto" w:fill="FFFFFF"/>
          </w:tcPr>
          <w:p w:rsidR="00632285" w:rsidRPr="009F5D48" w:rsidRDefault="00632285" w:rsidP="00911364">
            <w:pPr>
              <w:spacing w:before="60"/>
              <w:jc w:val="cente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Univerzitné</w:t>
            </w:r>
          </w:p>
        </w:tc>
        <w:tc>
          <w:tcPr>
            <w:tcW w:w="1320" w:type="dxa"/>
            <w:tcBorders>
              <w:top w:val="single" w:sz="4" w:space="0" w:color="auto"/>
              <w:left w:val="nil"/>
              <w:bottom w:val="single" w:sz="4" w:space="0" w:color="auto"/>
              <w:right w:val="single" w:sz="4" w:space="0" w:color="auto"/>
            </w:tcBorders>
            <w:shd w:val="clear" w:color="auto" w:fill="FFFFFF"/>
          </w:tcPr>
          <w:p w:rsidR="00632285" w:rsidRPr="009F5D48" w:rsidRDefault="00632285" w:rsidP="00911364">
            <w:pPr>
              <w:spacing w:before="60"/>
              <w:jc w:val="cente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Fakultné</w:t>
            </w:r>
          </w:p>
        </w:tc>
        <w:tc>
          <w:tcPr>
            <w:tcW w:w="1544" w:type="dxa"/>
            <w:tcBorders>
              <w:top w:val="single" w:sz="4" w:space="0" w:color="auto"/>
              <w:left w:val="nil"/>
              <w:bottom w:val="single" w:sz="4" w:space="0" w:color="auto"/>
              <w:right w:val="single" w:sz="4" w:space="0" w:color="auto"/>
            </w:tcBorders>
            <w:shd w:val="clear" w:color="auto" w:fill="FFFFFF"/>
          </w:tcPr>
          <w:p w:rsidR="00632285" w:rsidRPr="009F5D48" w:rsidRDefault="00632285" w:rsidP="00911364">
            <w:pPr>
              <w:spacing w:before="60"/>
              <w:jc w:val="center"/>
              <w:rPr>
                <w:rFonts w:asciiTheme="minorHAnsi" w:hAnsiTheme="minorHAnsi"/>
                <w:b/>
                <w:bCs/>
                <w:color w:val="000000"/>
                <w:sz w:val="20"/>
                <w:szCs w:val="20"/>
                <w:lang w:eastAsia="sk-SK"/>
              </w:rPr>
            </w:pPr>
            <w:proofErr w:type="spellStart"/>
            <w:r w:rsidRPr="009F5D48">
              <w:rPr>
                <w:rFonts w:asciiTheme="minorHAnsi" w:hAnsiTheme="minorHAnsi"/>
                <w:b/>
                <w:bCs/>
                <w:color w:val="000000"/>
                <w:sz w:val="20"/>
                <w:szCs w:val="20"/>
                <w:lang w:eastAsia="sk-SK"/>
              </w:rPr>
              <w:t>Erasmus</w:t>
            </w:r>
            <w:proofErr w:type="spellEnd"/>
            <w:r w:rsidRPr="009F5D48">
              <w:rPr>
                <w:rFonts w:asciiTheme="minorHAnsi" w:hAnsiTheme="minorHAnsi"/>
                <w:b/>
                <w:bCs/>
                <w:color w:val="000000"/>
                <w:sz w:val="20"/>
                <w:szCs w:val="20"/>
                <w:lang w:eastAsia="sk-SK"/>
              </w:rPr>
              <w:t>+</w:t>
            </w:r>
          </w:p>
        </w:tc>
        <w:tc>
          <w:tcPr>
            <w:tcW w:w="1351" w:type="dxa"/>
            <w:tcBorders>
              <w:top w:val="single" w:sz="4" w:space="0" w:color="auto"/>
              <w:left w:val="nil"/>
              <w:bottom w:val="single" w:sz="4" w:space="0" w:color="auto"/>
              <w:right w:val="single" w:sz="4" w:space="0" w:color="auto"/>
            </w:tcBorders>
          </w:tcPr>
          <w:p w:rsidR="00632285" w:rsidRPr="009F5D48" w:rsidRDefault="00632285" w:rsidP="00911364">
            <w:pPr>
              <w:spacing w:before="60"/>
              <w:jc w:val="cente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Spolu</w:t>
            </w:r>
          </w:p>
        </w:tc>
      </w:tr>
      <w:tr w:rsidR="00632285" w:rsidRPr="009F5D48" w:rsidTr="00911364">
        <w:trPr>
          <w:trHeight w:val="335"/>
        </w:trPr>
        <w:tc>
          <w:tcPr>
            <w:tcW w:w="13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R-STU</w:t>
            </w:r>
          </w:p>
        </w:tc>
        <w:tc>
          <w:tcPr>
            <w:tcW w:w="1768"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100</w:t>
            </w:r>
          </w:p>
        </w:tc>
        <w:tc>
          <w:tcPr>
            <w:tcW w:w="132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FF0000"/>
                <w:sz w:val="20"/>
                <w:szCs w:val="20"/>
                <w:lang w:eastAsia="sk-SK"/>
              </w:rPr>
            </w:pPr>
          </w:p>
        </w:tc>
        <w:tc>
          <w:tcPr>
            <w:tcW w:w="1544"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FF0000"/>
                <w:sz w:val="20"/>
                <w:szCs w:val="20"/>
                <w:lang w:eastAsia="sk-SK"/>
              </w:rPr>
            </w:pPr>
          </w:p>
        </w:tc>
        <w:tc>
          <w:tcPr>
            <w:tcW w:w="1351"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
                <w:bCs/>
                <w:color w:val="000000" w:themeColor="text1"/>
                <w:sz w:val="20"/>
                <w:szCs w:val="20"/>
                <w:lang w:eastAsia="sk-SK"/>
              </w:rPr>
            </w:pPr>
            <w:r w:rsidRPr="009F5D48">
              <w:rPr>
                <w:rFonts w:asciiTheme="minorHAnsi" w:hAnsiTheme="minorHAnsi"/>
                <w:b/>
                <w:bCs/>
                <w:color w:val="000000" w:themeColor="text1"/>
                <w:sz w:val="20"/>
                <w:szCs w:val="20"/>
                <w:lang w:eastAsia="sk-SK"/>
              </w:rPr>
              <w:t>100</w:t>
            </w:r>
          </w:p>
        </w:tc>
      </w:tr>
      <w:tr w:rsidR="00632285" w:rsidRPr="009F5D48" w:rsidTr="00911364">
        <w:trPr>
          <w:trHeight w:val="335"/>
        </w:trPr>
        <w:tc>
          <w:tcPr>
            <w:tcW w:w="13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SvF</w:t>
            </w:r>
          </w:p>
        </w:tc>
        <w:tc>
          <w:tcPr>
            <w:tcW w:w="1768"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132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4</w:t>
            </w:r>
          </w:p>
        </w:tc>
        <w:tc>
          <w:tcPr>
            <w:tcW w:w="1544"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83</w:t>
            </w:r>
          </w:p>
        </w:tc>
        <w:tc>
          <w:tcPr>
            <w:tcW w:w="1351"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
                <w:bCs/>
                <w:color w:val="000000" w:themeColor="text1"/>
                <w:sz w:val="20"/>
                <w:szCs w:val="20"/>
                <w:lang w:eastAsia="sk-SK"/>
              </w:rPr>
            </w:pPr>
            <w:r w:rsidRPr="009F5D48">
              <w:rPr>
                <w:rFonts w:asciiTheme="minorHAnsi" w:hAnsiTheme="minorHAnsi"/>
                <w:b/>
                <w:bCs/>
                <w:color w:val="000000" w:themeColor="text1"/>
                <w:sz w:val="20"/>
                <w:szCs w:val="20"/>
                <w:lang w:eastAsia="sk-SK"/>
              </w:rPr>
              <w:t>87</w:t>
            </w:r>
          </w:p>
        </w:tc>
      </w:tr>
      <w:tr w:rsidR="00632285" w:rsidRPr="009F5D48" w:rsidTr="00911364">
        <w:trPr>
          <w:trHeight w:val="335"/>
        </w:trPr>
        <w:tc>
          <w:tcPr>
            <w:tcW w:w="13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SjF</w:t>
            </w:r>
          </w:p>
        </w:tc>
        <w:tc>
          <w:tcPr>
            <w:tcW w:w="1768"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132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4</w:t>
            </w:r>
          </w:p>
        </w:tc>
        <w:tc>
          <w:tcPr>
            <w:tcW w:w="1544"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35</w:t>
            </w:r>
          </w:p>
        </w:tc>
        <w:tc>
          <w:tcPr>
            <w:tcW w:w="1351"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
                <w:bCs/>
                <w:color w:val="000000" w:themeColor="text1"/>
                <w:sz w:val="20"/>
                <w:szCs w:val="20"/>
                <w:lang w:eastAsia="sk-SK"/>
              </w:rPr>
            </w:pPr>
            <w:r w:rsidRPr="009F5D48">
              <w:rPr>
                <w:rFonts w:asciiTheme="minorHAnsi" w:hAnsiTheme="minorHAnsi"/>
                <w:b/>
                <w:bCs/>
                <w:color w:val="000000" w:themeColor="text1"/>
                <w:sz w:val="20"/>
                <w:szCs w:val="20"/>
                <w:lang w:eastAsia="sk-SK"/>
              </w:rPr>
              <w:t>39</w:t>
            </w:r>
          </w:p>
        </w:tc>
      </w:tr>
      <w:tr w:rsidR="00632285" w:rsidRPr="009F5D48" w:rsidTr="00911364">
        <w:trPr>
          <w:trHeight w:val="335"/>
        </w:trPr>
        <w:tc>
          <w:tcPr>
            <w:tcW w:w="13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FEI</w:t>
            </w:r>
          </w:p>
        </w:tc>
        <w:tc>
          <w:tcPr>
            <w:tcW w:w="1768"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132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5</w:t>
            </w:r>
          </w:p>
        </w:tc>
        <w:tc>
          <w:tcPr>
            <w:tcW w:w="1544"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33</w:t>
            </w:r>
          </w:p>
        </w:tc>
        <w:tc>
          <w:tcPr>
            <w:tcW w:w="1351"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
                <w:bCs/>
                <w:color w:val="000000" w:themeColor="text1"/>
                <w:sz w:val="20"/>
                <w:szCs w:val="20"/>
                <w:lang w:eastAsia="sk-SK"/>
              </w:rPr>
            </w:pPr>
            <w:r w:rsidRPr="009F5D48">
              <w:rPr>
                <w:rFonts w:asciiTheme="minorHAnsi" w:hAnsiTheme="minorHAnsi"/>
                <w:b/>
                <w:bCs/>
                <w:color w:val="000000" w:themeColor="text1"/>
                <w:sz w:val="20"/>
                <w:szCs w:val="20"/>
                <w:lang w:eastAsia="sk-SK"/>
              </w:rPr>
              <w:t>38</w:t>
            </w:r>
          </w:p>
        </w:tc>
      </w:tr>
      <w:tr w:rsidR="00632285" w:rsidRPr="009F5D48" w:rsidTr="00911364">
        <w:trPr>
          <w:trHeight w:val="319"/>
        </w:trPr>
        <w:tc>
          <w:tcPr>
            <w:tcW w:w="13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FCHPT</w:t>
            </w:r>
          </w:p>
        </w:tc>
        <w:tc>
          <w:tcPr>
            <w:tcW w:w="1768"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132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5</w:t>
            </w:r>
          </w:p>
        </w:tc>
        <w:tc>
          <w:tcPr>
            <w:tcW w:w="1544"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59</w:t>
            </w:r>
          </w:p>
        </w:tc>
        <w:tc>
          <w:tcPr>
            <w:tcW w:w="1351"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
                <w:bCs/>
                <w:color w:val="000000" w:themeColor="text1"/>
                <w:sz w:val="20"/>
                <w:szCs w:val="20"/>
                <w:lang w:eastAsia="sk-SK"/>
              </w:rPr>
            </w:pPr>
            <w:r w:rsidRPr="009F5D48">
              <w:rPr>
                <w:rFonts w:asciiTheme="minorHAnsi" w:hAnsiTheme="minorHAnsi"/>
                <w:b/>
                <w:bCs/>
                <w:color w:val="000000" w:themeColor="text1"/>
                <w:sz w:val="20"/>
                <w:szCs w:val="20"/>
                <w:lang w:eastAsia="sk-SK"/>
              </w:rPr>
              <w:t>64</w:t>
            </w:r>
          </w:p>
        </w:tc>
      </w:tr>
      <w:tr w:rsidR="00632285" w:rsidRPr="009F5D48" w:rsidTr="00911364">
        <w:trPr>
          <w:trHeight w:val="335"/>
        </w:trPr>
        <w:tc>
          <w:tcPr>
            <w:tcW w:w="13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FA</w:t>
            </w:r>
          </w:p>
        </w:tc>
        <w:tc>
          <w:tcPr>
            <w:tcW w:w="1768"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132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4</w:t>
            </w:r>
          </w:p>
        </w:tc>
        <w:tc>
          <w:tcPr>
            <w:tcW w:w="1544"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47</w:t>
            </w:r>
          </w:p>
        </w:tc>
        <w:tc>
          <w:tcPr>
            <w:tcW w:w="1351"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
                <w:bCs/>
                <w:color w:val="000000" w:themeColor="text1"/>
                <w:sz w:val="20"/>
                <w:szCs w:val="20"/>
                <w:lang w:eastAsia="sk-SK"/>
              </w:rPr>
            </w:pPr>
            <w:r w:rsidRPr="009F5D48">
              <w:rPr>
                <w:rFonts w:asciiTheme="minorHAnsi" w:hAnsiTheme="minorHAnsi"/>
                <w:b/>
                <w:bCs/>
                <w:color w:val="000000" w:themeColor="text1"/>
                <w:sz w:val="20"/>
                <w:szCs w:val="20"/>
                <w:lang w:eastAsia="sk-SK"/>
              </w:rPr>
              <w:t>51</w:t>
            </w:r>
          </w:p>
        </w:tc>
      </w:tr>
      <w:tr w:rsidR="00632285" w:rsidRPr="009F5D48" w:rsidTr="00911364">
        <w:trPr>
          <w:trHeight w:val="335"/>
        </w:trPr>
        <w:tc>
          <w:tcPr>
            <w:tcW w:w="13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MTF</w:t>
            </w:r>
          </w:p>
        </w:tc>
        <w:tc>
          <w:tcPr>
            <w:tcW w:w="1768"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132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14</w:t>
            </w:r>
          </w:p>
        </w:tc>
        <w:tc>
          <w:tcPr>
            <w:tcW w:w="1544"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28</w:t>
            </w:r>
          </w:p>
        </w:tc>
        <w:tc>
          <w:tcPr>
            <w:tcW w:w="1351"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
                <w:bCs/>
                <w:color w:val="000000" w:themeColor="text1"/>
                <w:sz w:val="20"/>
                <w:szCs w:val="20"/>
                <w:lang w:eastAsia="sk-SK"/>
              </w:rPr>
            </w:pPr>
            <w:r w:rsidRPr="009F5D48">
              <w:rPr>
                <w:rFonts w:asciiTheme="minorHAnsi" w:hAnsiTheme="minorHAnsi"/>
                <w:b/>
                <w:bCs/>
                <w:color w:val="000000" w:themeColor="text1"/>
                <w:sz w:val="20"/>
                <w:szCs w:val="20"/>
                <w:lang w:eastAsia="sk-SK"/>
              </w:rPr>
              <w:t>42</w:t>
            </w:r>
          </w:p>
        </w:tc>
      </w:tr>
      <w:tr w:rsidR="00632285" w:rsidRPr="009F5D48" w:rsidTr="00911364">
        <w:trPr>
          <w:trHeight w:val="335"/>
        </w:trPr>
        <w:tc>
          <w:tcPr>
            <w:tcW w:w="13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FIIT</w:t>
            </w:r>
          </w:p>
        </w:tc>
        <w:tc>
          <w:tcPr>
            <w:tcW w:w="1768"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132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1</w:t>
            </w:r>
          </w:p>
        </w:tc>
        <w:tc>
          <w:tcPr>
            <w:tcW w:w="1544"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22</w:t>
            </w:r>
          </w:p>
        </w:tc>
        <w:tc>
          <w:tcPr>
            <w:tcW w:w="1351"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
                <w:bCs/>
                <w:color w:val="000000" w:themeColor="text1"/>
                <w:sz w:val="20"/>
                <w:szCs w:val="20"/>
                <w:lang w:eastAsia="sk-SK"/>
              </w:rPr>
            </w:pPr>
            <w:r w:rsidRPr="009F5D48">
              <w:rPr>
                <w:rFonts w:asciiTheme="minorHAnsi" w:hAnsiTheme="minorHAnsi"/>
                <w:b/>
                <w:bCs/>
                <w:color w:val="000000" w:themeColor="text1"/>
                <w:sz w:val="20"/>
                <w:szCs w:val="20"/>
                <w:lang w:eastAsia="sk-SK"/>
              </w:rPr>
              <w:t>23</w:t>
            </w:r>
          </w:p>
        </w:tc>
      </w:tr>
      <w:tr w:rsidR="00632285" w:rsidRPr="009F5D48" w:rsidTr="00911364">
        <w:trPr>
          <w:trHeight w:val="335"/>
        </w:trPr>
        <w:tc>
          <w:tcPr>
            <w:tcW w:w="13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ÚM</w:t>
            </w:r>
          </w:p>
        </w:tc>
        <w:tc>
          <w:tcPr>
            <w:tcW w:w="1768"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132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1544"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19</w:t>
            </w:r>
          </w:p>
        </w:tc>
        <w:tc>
          <w:tcPr>
            <w:tcW w:w="1351"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
                <w:bCs/>
                <w:color w:val="000000" w:themeColor="text1"/>
                <w:sz w:val="20"/>
                <w:szCs w:val="20"/>
                <w:lang w:eastAsia="sk-SK"/>
              </w:rPr>
            </w:pPr>
            <w:r w:rsidRPr="009F5D48">
              <w:rPr>
                <w:rFonts w:asciiTheme="minorHAnsi" w:hAnsiTheme="minorHAnsi"/>
                <w:b/>
                <w:bCs/>
                <w:color w:val="000000" w:themeColor="text1"/>
                <w:sz w:val="20"/>
                <w:szCs w:val="20"/>
                <w:lang w:eastAsia="sk-SK"/>
              </w:rPr>
              <w:t>19</w:t>
            </w:r>
          </w:p>
        </w:tc>
      </w:tr>
      <w:tr w:rsidR="00632285" w:rsidRPr="009F5D48" w:rsidTr="00911364">
        <w:trPr>
          <w:trHeight w:val="335"/>
        </w:trPr>
        <w:tc>
          <w:tcPr>
            <w:tcW w:w="13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Spolu</w:t>
            </w:r>
          </w:p>
        </w:tc>
        <w:tc>
          <w:tcPr>
            <w:tcW w:w="1768"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100</w:t>
            </w:r>
          </w:p>
        </w:tc>
        <w:tc>
          <w:tcPr>
            <w:tcW w:w="132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37</w:t>
            </w:r>
          </w:p>
        </w:tc>
        <w:tc>
          <w:tcPr>
            <w:tcW w:w="1544"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326</w:t>
            </w:r>
          </w:p>
        </w:tc>
        <w:tc>
          <w:tcPr>
            <w:tcW w:w="1351"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
                <w:bCs/>
                <w:color w:val="000000" w:themeColor="text1"/>
                <w:sz w:val="20"/>
                <w:szCs w:val="20"/>
                <w:lang w:eastAsia="sk-SK"/>
              </w:rPr>
            </w:pPr>
            <w:r w:rsidRPr="009F5D48">
              <w:rPr>
                <w:rFonts w:asciiTheme="minorHAnsi" w:hAnsiTheme="minorHAnsi"/>
                <w:b/>
                <w:bCs/>
                <w:color w:val="000000" w:themeColor="text1"/>
                <w:sz w:val="20"/>
                <w:szCs w:val="20"/>
                <w:lang w:eastAsia="sk-SK"/>
              </w:rPr>
              <w:t>463</w:t>
            </w:r>
          </w:p>
        </w:tc>
      </w:tr>
    </w:tbl>
    <w:p w:rsidR="00632285" w:rsidRPr="009F5D48" w:rsidRDefault="00632285" w:rsidP="00632285">
      <w:pPr>
        <w:rPr>
          <w:rFonts w:asciiTheme="minorHAnsi" w:hAnsiTheme="minorHAnsi"/>
          <w:color w:val="000000"/>
          <w:sz w:val="20"/>
          <w:szCs w:val="20"/>
        </w:rPr>
      </w:pPr>
    </w:p>
    <w:p w:rsidR="00632285" w:rsidRPr="002D7A10" w:rsidRDefault="00632285" w:rsidP="00632285">
      <w:pPr>
        <w:rPr>
          <w:rFonts w:asciiTheme="minorHAnsi" w:hAnsiTheme="minorHAnsi"/>
          <w:color w:val="000000"/>
        </w:rPr>
      </w:pPr>
      <w:r w:rsidRPr="002D7A10">
        <w:rPr>
          <w:rFonts w:asciiTheme="minorHAnsi" w:hAnsiTheme="minorHAnsi"/>
          <w:color w:val="000000"/>
        </w:rPr>
        <w:t>Podrobné zoznamy partnerskýc</w:t>
      </w:r>
      <w:r w:rsidR="00FF4A53" w:rsidRPr="002D7A10">
        <w:rPr>
          <w:rFonts w:asciiTheme="minorHAnsi" w:hAnsiTheme="minorHAnsi"/>
          <w:color w:val="000000"/>
        </w:rPr>
        <w:t xml:space="preserve">h inštitúcií STU sú dostupné na </w:t>
      </w:r>
      <w:r w:rsidRPr="002D7A10">
        <w:rPr>
          <w:rFonts w:asciiTheme="minorHAnsi" w:hAnsiTheme="minorHAnsi"/>
          <w:color w:val="000000"/>
        </w:rPr>
        <w:t xml:space="preserve">slovenskej verzii internetovej stránky STU </w:t>
      </w:r>
    </w:p>
    <w:p w:rsidR="00632285" w:rsidRPr="002D7A10" w:rsidRDefault="00632285" w:rsidP="00632285">
      <w:pPr>
        <w:rPr>
          <w:rFonts w:asciiTheme="minorHAnsi" w:hAnsiTheme="minorHAnsi"/>
          <w:color w:val="000000"/>
        </w:rPr>
      </w:pPr>
      <w:r w:rsidRPr="002D7A10">
        <w:rPr>
          <w:rFonts w:asciiTheme="minorHAnsi" w:hAnsiTheme="minorHAnsi"/>
        </w:rPr>
        <w:t>http://www.stuba.sk/sk/podrobne-prehlady-zahranicnych-aktivit-stu.html?page_id=206</w:t>
      </w:r>
    </w:p>
    <w:p w:rsidR="00632285" w:rsidRPr="002D7A10" w:rsidRDefault="00632285" w:rsidP="00632285">
      <w:pPr>
        <w:rPr>
          <w:rFonts w:asciiTheme="minorHAnsi" w:hAnsiTheme="minorHAnsi"/>
          <w:color w:val="000000"/>
        </w:rPr>
      </w:pPr>
      <w:r w:rsidRPr="002D7A10">
        <w:rPr>
          <w:rFonts w:asciiTheme="minorHAnsi" w:hAnsiTheme="minorHAnsi"/>
          <w:color w:val="000000"/>
        </w:rPr>
        <w:t xml:space="preserve">a v anglickej verzii </w:t>
      </w:r>
    </w:p>
    <w:p w:rsidR="00632285" w:rsidRPr="002D7A10" w:rsidRDefault="00632285" w:rsidP="00632285">
      <w:pPr>
        <w:rPr>
          <w:rFonts w:asciiTheme="minorHAnsi" w:hAnsiTheme="minorHAnsi"/>
          <w:color w:val="000000"/>
          <w:u w:val="single"/>
        </w:rPr>
      </w:pPr>
      <w:r w:rsidRPr="002D7A10">
        <w:rPr>
          <w:rFonts w:asciiTheme="minorHAnsi" w:hAnsiTheme="minorHAnsi"/>
        </w:rPr>
        <w:t>http://www.stuba.sk/english/international-activities/partner-institutions.html?page_id=1104</w:t>
      </w:r>
    </w:p>
    <w:p w:rsidR="00B51749" w:rsidRPr="002D7A10" w:rsidRDefault="00B51749" w:rsidP="00B51749">
      <w:pPr>
        <w:rPr>
          <w:rFonts w:asciiTheme="minorHAnsi" w:hAnsiTheme="minorHAnsi"/>
          <w:color w:val="FF0000"/>
          <w:lang w:eastAsia="ko-KR"/>
        </w:rPr>
      </w:pPr>
    </w:p>
    <w:p w:rsidR="00DC7369" w:rsidRPr="00DC7369" w:rsidRDefault="00B51749" w:rsidP="00632285">
      <w:pPr>
        <w:pStyle w:val="Nadpis2"/>
        <w:rPr>
          <w:rFonts w:asciiTheme="minorHAnsi" w:hAnsiTheme="minorHAnsi"/>
          <w:color w:val="auto"/>
          <w:sz w:val="24"/>
          <w:szCs w:val="24"/>
        </w:rPr>
      </w:pPr>
      <w:bookmarkStart w:id="69" w:name="_Toc349024723"/>
      <w:bookmarkStart w:id="70" w:name="_Toc448261607"/>
      <w:r w:rsidRPr="002D7A10">
        <w:rPr>
          <w:rFonts w:asciiTheme="minorHAnsi" w:hAnsiTheme="minorHAnsi"/>
          <w:color w:val="auto"/>
          <w:sz w:val="24"/>
          <w:szCs w:val="24"/>
        </w:rPr>
        <w:t>Medzinárodné vzdelávacie projekty</w:t>
      </w:r>
      <w:bookmarkEnd w:id="69"/>
      <w:r w:rsidRPr="002D7A10">
        <w:rPr>
          <w:rFonts w:asciiTheme="minorHAnsi" w:hAnsiTheme="minorHAnsi"/>
          <w:color w:val="auto"/>
          <w:sz w:val="24"/>
          <w:szCs w:val="24"/>
        </w:rPr>
        <w:t xml:space="preserve"> </w:t>
      </w:r>
      <w:r w:rsidR="00632285" w:rsidRPr="002D7A10">
        <w:rPr>
          <w:rFonts w:asciiTheme="minorHAnsi" w:hAnsiTheme="minorHAnsi"/>
          <w:color w:val="auto"/>
          <w:sz w:val="24"/>
          <w:szCs w:val="24"/>
        </w:rPr>
        <w:t>a siete</w:t>
      </w:r>
      <w:bookmarkEnd w:id="70"/>
      <w:r w:rsidR="00632285" w:rsidRPr="002D7A10">
        <w:rPr>
          <w:rFonts w:asciiTheme="minorHAnsi" w:hAnsiTheme="minorHAnsi"/>
          <w:color w:val="auto"/>
          <w:sz w:val="24"/>
          <w:szCs w:val="24"/>
        </w:rPr>
        <w:t xml:space="preserve"> </w:t>
      </w:r>
    </w:p>
    <w:p w:rsidR="00632285" w:rsidRPr="002D7A10" w:rsidRDefault="00632285" w:rsidP="00632285">
      <w:pPr>
        <w:rPr>
          <w:rFonts w:asciiTheme="minorHAnsi" w:eastAsia="Times New Roman" w:hAnsiTheme="minorHAnsi"/>
          <w:color w:val="000000"/>
          <w:lang w:eastAsia="cs-CZ"/>
        </w:rPr>
      </w:pPr>
      <w:r w:rsidRPr="002D7A10">
        <w:rPr>
          <w:rFonts w:asciiTheme="minorHAnsi" w:eastAsia="Times New Roman" w:hAnsiTheme="minorHAnsi"/>
          <w:color w:val="000000"/>
          <w:lang w:eastAsia="cs-CZ"/>
        </w:rPr>
        <w:t xml:space="preserve">   Zmluvné partnerstvá sú pre akademickú obec univerzity základným predpokladom na nadväzovanie rôznych druhov spolupráce, napríklad pri podávaní prihlášok na riešenie medzinárodných projektov, pri zapájaní sa do aliancií a do  riešenia projektov v pozícii projektových partnerov. Medzinárodná spolupráca na riešení vzdelávacích a výskumných projektov patrí medzi kľúčové aktivity univerzity, pretože okrem nezanedbateľných finančných zdrojov je zároveň účinným nástrojom skvalitňovania a internacionalizácie vzdelávania, vedy a výskumu. </w:t>
      </w:r>
    </w:p>
    <w:p w:rsidR="00632285" w:rsidRPr="002D7A10" w:rsidRDefault="00632285" w:rsidP="00632285">
      <w:pPr>
        <w:rPr>
          <w:rFonts w:asciiTheme="minorHAnsi" w:hAnsiTheme="minorHAnsi"/>
        </w:rPr>
      </w:pPr>
      <w:r w:rsidRPr="002D7A10">
        <w:rPr>
          <w:rFonts w:asciiTheme="minorHAnsi" w:hAnsiTheme="minorHAnsi"/>
          <w:color w:val="000000"/>
        </w:rPr>
        <w:t xml:space="preserve">     Cieľom medzinárodných programov Európskej únie, ako aj iných samostatných programov orientovaných na oblasť vzdelávania, je skvalitňovanie a ďalší rozvoj vzdelávania prostredníctvom riešenia </w:t>
      </w:r>
      <w:proofErr w:type="spellStart"/>
      <w:r w:rsidRPr="002D7A10">
        <w:rPr>
          <w:rFonts w:asciiTheme="minorHAnsi" w:hAnsiTheme="minorHAnsi"/>
          <w:color w:val="000000"/>
        </w:rPr>
        <w:t>multinárodných</w:t>
      </w:r>
      <w:proofErr w:type="spellEnd"/>
      <w:r w:rsidRPr="002D7A10">
        <w:rPr>
          <w:rFonts w:asciiTheme="minorHAnsi" w:hAnsiTheme="minorHAnsi"/>
          <w:color w:val="000000"/>
        </w:rPr>
        <w:t xml:space="preserve"> projektov. Vzdelávacie projekty riešia problematiku týkajúcu sa rôznych aspektov </w:t>
      </w:r>
      <w:r w:rsidRPr="002D7A10">
        <w:rPr>
          <w:rFonts w:asciiTheme="minorHAnsi" w:hAnsiTheme="minorHAnsi"/>
        </w:rPr>
        <w:t xml:space="preserve">vzdelávania, a zároveň podporujú mobility všetkých účastníkov vzdelávacieho procesu – študentov, akademických i neakademických zamestnancov. V tabuľke 11.2  sú uvedené projekty evidované v akademickom informačnom systéme univerzity podľa fakúlt. </w:t>
      </w:r>
    </w:p>
    <w:p w:rsidR="00632285" w:rsidRPr="002D7A10" w:rsidRDefault="00632285" w:rsidP="00632285">
      <w:pPr>
        <w:rPr>
          <w:rFonts w:asciiTheme="minorHAnsi" w:hAnsiTheme="minorHAnsi"/>
        </w:rPr>
      </w:pPr>
      <w:r w:rsidRPr="002D7A10">
        <w:rPr>
          <w:rFonts w:asciiTheme="minorHAnsi" w:hAnsiTheme="minorHAnsi"/>
        </w:rPr>
        <w:lastRenderedPageBreak/>
        <w:t xml:space="preserve">Okrem riešenia a zapojenia do projektov typu </w:t>
      </w:r>
      <w:proofErr w:type="spellStart"/>
      <w:r w:rsidRPr="002D7A10">
        <w:rPr>
          <w:rFonts w:asciiTheme="minorHAnsi" w:hAnsiTheme="minorHAnsi"/>
        </w:rPr>
        <w:t>Erasmus</w:t>
      </w:r>
      <w:proofErr w:type="spellEnd"/>
      <w:r w:rsidRPr="002D7A10">
        <w:rPr>
          <w:rFonts w:asciiTheme="minorHAnsi" w:hAnsiTheme="minorHAnsi"/>
        </w:rPr>
        <w:t xml:space="preserve">+, </w:t>
      </w:r>
      <w:proofErr w:type="spellStart"/>
      <w:r w:rsidRPr="002D7A10">
        <w:rPr>
          <w:rFonts w:asciiTheme="minorHAnsi" w:hAnsiTheme="minorHAnsi"/>
        </w:rPr>
        <w:t>Tempus</w:t>
      </w:r>
      <w:proofErr w:type="spellEnd"/>
      <w:r w:rsidRPr="002D7A10">
        <w:rPr>
          <w:rFonts w:asciiTheme="minorHAnsi" w:hAnsiTheme="minorHAnsi"/>
        </w:rPr>
        <w:t xml:space="preserve"> a iných typov projektov je dôležitá spolupráca fakúlt a univerzity v akademických sieťach. Významným programom podporujúcim sieťovanie je CEEPUS - Stredoeurópsky výmenný program pre univerzitné štúdiá, ktorý podporuje akademické mobility v strednej, východnej a juhovýchodnej Európe, prispieva k európskej integrácii a zdôrazňuje regionálne špecifiká. Program umožňuje rozvíjať spoluprácu slovenských a zahraničných vysokých škôl pomocou vytvárania akademických sietí, v rámci ktorých sa uskutočňuje vedecko-výskumná spolupráca a realizujú sa mobility študentov, doktorandov a vysokoškolských učiteľov. Spolupráca sa realizuje v rámci sietí pozostávajúcich aspoň z troch vysokých škôl, z toho aspoň dve musia byť z rôznych členských krajín programu CEEPUS. </w:t>
      </w:r>
      <w:proofErr w:type="spellStart"/>
      <w:r w:rsidRPr="002D7A10">
        <w:rPr>
          <w:rFonts w:asciiTheme="minorHAnsi" w:hAnsiTheme="minorHAnsi"/>
        </w:rPr>
        <w:t>Zapojenosť</w:t>
      </w:r>
      <w:proofErr w:type="spellEnd"/>
      <w:r w:rsidRPr="002D7A10">
        <w:rPr>
          <w:rFonts w:asciiTheme="minorHAnsi" w:hAnsiTheme="minorHAnsi"/>
        </w:rPr>
        <w:t xml:space="preserve"> fakúlt do sietí CEEPUS (zdroj agentúra SAIA </w:t>
      </w:r>
      <w:proofErr w:type="spellStart"/>
      <w:r w:rsidRPr="002D7A10">
        <w:rPr>
          <w:rFonts w:asciiTheme="minorHAnsi" w:hAnsiTheme="minorHAnsi"/>
        </w:rPr>
        <w:t>n.o</w:t>
      </w:r>
      <w:proofErr w:type="spellEnd"/>
      <w:r w:rsidRPr="002D7A10">
        <w:rPr>
          <w:rFonts w:asciiTheme="minorHAnsi" w:hAnsiTheme="minorHAnsi"/>
        </w:rPr>
        <w:t>.) je uvedená v tabuľke 11.2.</w:t>
      </w:r>
    </w:p>
    <w:p w:rsidR="00632285" w:rsidRPr="002D7A10" w:rsidRDefault="00632285" w:rsidP="00632285">
      <w:pPr>
        <w:rPr>
          <w:rFonts w:asciiTheme="minorHAnsi" w:hAnsiTheme="minorHAnsi"/>
          <w:color w:val="FF0000"/>
        </w:rPr>
      </w:pPr>
    </w:p>
    <w:p w:rsidR="00632285" w:rsidRPr="009F5D48" w:rsidRDefault="00632285" w:rsidP="00632285">
      <w:pPr>
        <w:spacing w:line="223" w:lineRule="auto"/>
        <w:rPr>
          <w:rFonts w:asciiTheme="minorHAnsi" w:eastAsia="Times New Roman" w:hAnsiTheme="minorHAnsi"/>
          <w:b/>
          <w:sz w:val="20"/>
          <w:szCs w:val="20"/>
          <w:lang w:eastAsia="sk-SK"/>
        </w:rPr>
      </w:pPr>
      <w:r w:rsidRPr="009F5D48">
        <w:rPr>
          <w:rFonts w:asciiTheme="minorHAnsi" w:eastAsia="Times New Roman" w:hAnsiTheme="minorHAnsi"/>
          <w:b/>
          <w:sz w:val="20"/>
          <w:szCs w:val="20"/>
          <w:lang w:eastAsia="sk-SK"/>
        </w:rPr>
        <w:t>Tabuľka 11.2: Riešené medzinárodné vzdelávacie projekty a </w:t>
      </w:r>
      <w:proofErr w:type="spellStart"/>
      <w:r w:rsidRPr="009F5D48">
        <w:rPr>
          <w:rFonts w:asciiTheme="minorHAnsi" w:eastAsia="Times New Roman" w:hAnsiTheme="minorHAnsi"/>
          <w:b/>
          <w:sz w:val="20"/>
          <w:szCs w:val="20"/>
          <w:lang w:eastAsia="sk-SK"/>
        </w:rPr>
        <w:t>zapojenosť</w:t>
      </w:r>
      <w:proofErr w:type="spellEnd"/>
      <w:r w:rsidRPr="009F5D48">
        <w:rPr>
          <w:rFonts w:asciiTheme="minorHAnsi" w:eastAsia="Times New Roman" w:hAnsiTheme="minorHAnsi"/>
          <w:b/>
          <w:sz w:val="20"/>
          <w:szCs w:val="20"/>
          <w:lang w:eastAsia="sk-SK"/>
        </w:rPr>
        <w:t xml:space="preserve"> fak</w:t>
      </w:r>
      <w:r w:rsidR="00DC7369">
        <w:rPr>
          <w:rFonts w:asciiTheme="minorHAnsi" w:eastAsia="Times New Roman" w:hAnsiTheme="minorHAnsi"/>
          <w:b/>
          <w:sz w:val="20"/>
          <w:szCs w:val="20"/>
          <w:lang w:eastAsia="sk-SK"/>
        </w:rPr>
        <w:t>últ do sietí CEEPUS v roku 2015</w:t>
      </w:r>
    </w:p>
    <w:tbl>
      <w:tblPr>
        <w:tblW w:w="7087" w:type="dxa"/>
        <w:tblInd w:w="70" w:type="dxa"/>
        <w:tblLayout w:type="fixed"/>
        <w:tblCellMar>
          <w:left w:w="70" w:type="dxa"/>
          <w:right w:w="70" w:type="dxa"/>
        </w:tblCellMar>
        <w:tblLook w:val="0000" w:firstRow="0" w:lastRow="0" w:firstColumn="0" w:lastColumn="0" w:noHBand="0" w:noVBand="0"/>
      </w:tblPr>
      <w:tblGrid>
        <w:gridCol w:w="851"/>
        <w:gridCol w:w="992"/>
        <w:gridCol w:w="1276"/>
        <w:gridCol w:w="850"/>
        <w:gridCol w:w="993"/>
        <w:gridCol w:w="1275"/>
        <w:gridCol w:w="850"/>
      </w:tblGrid>
      <w:tr w:rsidR="00632285" w:rsidRPr="009F5D48" w:rsidTr="00911364">
        <w:trPr>
          <w:trHeight w:val="382"/>
        </w:trPr>
        <w:tc>
          <w:tcPr>
            <w:tcW w:w="851" w:type="dxa"/>
            <w:tcBorders>
              <w:top w:val="single" w:sz="4" w:space="0" w:color="auto"/>
              <w:left w:val="single" w:sz="4" w:space="0" w:color="auto"/>
              <w:bottom w:val="single" w:sz="4" w:space="0" w:color="auto"/>
              <w:right w:val="single" w:sz="4" w:space="0" w:color="auto"/>
            </w:tcBorders>
          </w:tcPr>
          <w:p w:rsidR="00632285" w:rsidRPr="009F5D48" w:rsidRDefault="00632285" w:rsidP="00911364">
            <w:pPr>
              <w:spacing w:before="60"/>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STU</w:t>
            </w:r>
          </w:p>
        </w:tc>
        <w:tc>
          <w:tcPr>
            <w:tcW w:w="992" w:type="dxa"/>
            <w:tcBorders>
              <w:top w:val="single" w:sz="4" w:space="0" w:color="auto"/>
              <w:left w:val="nil"/>
              <w:bottom w:val="single" w:sz="4" w:space="0" w:color="auto"/>
              <w:right w:val="single" w:sz="4" w:space="0" w:color="auto"/>
            </w:tcBorders>
            <w:shd w:val="clear" w:color="auto" w:fill="FFFFFF"/>
          </w:tcPr>
          <w:p w:rsidR="00632285" w:rsidRPr="009F5D48" w:rsidRDefault="00632285" w:rsidP="00911364">
            <w:pPr>
              <w:spacing w:before="60"/>
              <w:jc w:val="cente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CEEPUS</w:t>
            </w:r>
          </w:p>
        </w:tc>
        <w:tc>
          <w:tcPr>
            <w:tcW w:w="1276" w:type="dxa"/>
            <w:tcBorders>
              <w:top w:val="single" w:sz="4" w:space="0" w:color="auto"/>
              <w:left w:val="nil"/>
              <w:bottom w:val="single" w:sz="4" w:space="0" w:color="auto"/>
              <w:right w:val="single" w:sz="4" w:space="0" w:color="auto"/>
            </w:tcBorders>
            <w:shd w:val="clear" w:color="auto" w:fill="FFFFFF"/>
          </w:tcPr>
          <w:p w:rsidR="00632285" w:rsidRPr="009F5D48" w:rsidRDefault="00632285" w:rsidP="00911364">
            <w:pPr>
              <w:spacing w:before="60"/>
              <w:jc w:val="cente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ERASMUS+</w:t>
            </w:r>
          </w:p>
        </w:tc>
        <w:tc>
          <w:tcPr>
            <w:tcW w:w="850" w:type="dxa"/>
            <w:tcBorders>
              <w:top w:val="single" w:sz="4" w:space="0" w:color="auto"/>
              <w:left w:val="nil"/>
              <w:bottom w:val="single" w:sz="4" w:space="0" w:color="auto"/>
              <w:right w:val="single" w:sz="4" w:space="0" w:color="auto"/>
            </w:tcBorders>
            <w:shd w:val="clear" w:color="auto" w:fill="FFFFFF"/>
          </w:tcPr>
          <w:p w:rsidR="00632285" w:rsidRPr="009F5D48" w:rsidRDefault="00632285" w:rsidP="00911364">
            <w:pPr>
              <w:spacing w:before="60"/>
              <w:jc w:val="cente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LLP</w:t>
            </w:r>
          </w:p>
        </w:tc>
        <w:tc>
          <w:tcPr>
            <w:tcW w:w="993" w:type="dxa"/>
            <w:tcBorders>
              <w:top w:val="single" w:sz="4" w:space="0" w:color="auto"/>
              <w:left w:val="nil"/>
              <w:bottom w:val="single" w:sz="4" w:space="0" w:color="auto"/>
              <w:right w:val="single" w:sz="4" w:space="0" w:color="auto"/>
            </w:tcBorders>
          </w:tcPr>
          <w:p w:rsidR="00632285" w:rsidRPr="009F5D48" w:rsidRDefault="00632285" w:rsidP="00911364">
            <w:pPr>
              <w:spacing w:before="60"/>
              <w:jc w:val="cente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 xml:space="preserve">TEMPUS </w:t>
            </w:r>
          </w:p>
        </w:tc>
        <w:tc>
          <w:tcPr>
            <w:tcW w:w="1275" w:type="dxa"/>
            <w:tcBorders>
              <w:top w:val="single" w:sz="4" w:space="0" w:color="auto"/>
              <w:left w:val="nil"/>
              <w:bottom w:val="single" w:sz="4" w:space="0" w:color="auto"/>
              <w:right w:val="single" w:sz="4" w:space="0" w:color="auto"/>
            </w:tcBorders>
          </w:tcPr>
          <w:p w:rsidR="00632285" w:rsidRPr="009F5D48" w:rsidRDefault="00632285" w:rsidP="00911364">
            <w:pPr>
              <w:spacing w:before="60"/>
              <w:jc w:val="center"/>
              <w:rPr>
                <w:rFonts w:asciiTheme="minorHAnsi" w:hAnsiTheme="minorHAnsi"/>
                <w:b/>
                <w:bCs/>
                <w:color w:val="000000"/>
                <w:sz w:val="20"/>
                <w:szCs w:val="20"/>
                <w:lang w:eastAsia="sk-SK"/>
              </w:rPr>
            </w:pPr>
            <w:proofErr w:type="spellStart"/>
            <w:r w:rsidRPr="009F5D48">
              <w:rPr>
                <w:rFonts w:asciiTheme="minorHAnsi" w:hAnsiTheme="minorHAnsi"/>
                <w:b/>
                <w:bCs/>
                <w:color w:val="000000"/>
                <w:sz w:val="20"/>
                <w:szCs w:val="20"/>
                <w:lang w:eastAsia="sk-SK"/>
              </w:rPr>
              <w:t>SlovakAid</w:t>
            </w:r>
            <w:proofErr w:type="spellEnd"/>
          </w:p>
        </w:tc>
        <w:tc>
          <w:tcPr>
            <w:tcW w:w="850" w:type="dxa"/>
            <w:tcBorders>
              <w:top w:val="single" w:sz="4" w:space="0" w:color="auto"/>
              <w:left w:val="nil"/>
              <w:bottom w:val="single" w:sz="4" w:space="0" w:color="auto"/>
              <w:right w:val="single" w:sz="4" w:space="0" w:color="auto"/>
            </w:tcBorders>
          </w:tcPr>
          <w:p w:rsidR="00632285" w:rsidRPr="009F5D48" w:rsidRDefault="00632285" w:rsidP="00911364">
            <w:pPr>
              <w:spacing w:before="60"/>
              <w:jc w:val="cente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Spolu</w:t>
            </w:r>
          </w:p>
        </w:tc>
      </w:tr>
      <w:tr w:rsidR="00632285" w:rsidRPr="009F5D48" w:rsidTr="00911364">
        <w:trPr>
          <w:trHeight w:val="335"/>
        </w:trPr>
        <w:tc>
          <w:tcPr>
            <w:tcW w:w="8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R-STU</w:t>
            </w:r>
          </w:p>
        </w:tc>
        <w:tc>
          <w:tcPr>
            <w:tcW w:w="992"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1276"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2</w:t>
            </w:r>
          </w:p>
        </w:tc>
        <w:tc>
          <w:tcPr>
            <w:tcW w:w="85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1</w:t>
            </w:r>
          </w:p>
        </w:tc>
        <w:tc>
          <w:tcPr>
            <w:tcW w:w="993"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1275"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850"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3</w:t>
            </w:r>
          </w:p>
        </w:tc>
      </w:tr>
      <w:tr w:rsidR="00632285" w:rsidRPr="009F5D48" w:rsidTr="00911364">
        <w:trPr>
          <w:trHeight w:val="335"/>
        </w:trPr>
        <w:tc>
          <w:tcPr>
            <w:tcW w:w="8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SvF</w:t>
            </w:r>
          </w:p>
        </w:tc>
        <w:tc>
          <w:tcPr>
            <w:tcW w:w="992"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3</w:t>
            </w:r>
          </w:p>
        </w:tc>
        <w:tc>
          <w:tcPr>
            <w:tcW w:w="1276"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85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993"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1</w:t>
            </w:r>
          </w:p>
        </w:tc>
        <w:tc>
          <w:tcPr>
            <w:tcW w:w="1275"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850"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4</w:t>
            </w:r>
          </w:p>
        </w:tc>
      </w:tr>
      <w:tr w:rsidR="00632285" w:rsidRPr="009F5D48" w:rsidTr="00911364">
        <w:trPr>
          <w:trHeight w:val="335"/>
        </w:trPr>
        <w:tc>
          <w:tcPr>
            <w:tcW w:w="8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SjF</w:t>
            </w:r>
          </w:p>
        </w:tc>
        <w:tc>
          <w:tcPr>
            <w:tcW w:w="992"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9</w:t>
            </w:r>
          </w:p>
        </w:tc>
        <w:tc>
          <w:tcPr>
            <w:tcW w:w="1276"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85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993"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1</w:t>
            </w:r>
          </w:p>
        </w:tc>
        <w:tc>
          <w:tcPr>
            <w:tcW w:w="1275"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850"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10</w:t>
            </w:r>
          </w:p>
        </w:tc>
      </w:tr>
      <w:tr w:rsidR="00632285" w:rsidRPr="009F5D48" w:rsidTr="00911364">
        <w:trPr>
          <w:trHeight w:val="335"/>
        </w:trPr>
        <w:tc>
          <w:tcPr>
            <w:tcW w:w="8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FEI</w:t>
            </w:r>
          </w:p>
        </w:tc>
        <w:tc>
          <w:tcPr>
            <w:tcW w:w="992"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1</w:t>
            </w:r>
          </w:p>
        </w:tc>
        <w:tc>
          <w:tcPr>
            <w:tcW w:w="1276"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85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3</w:t>
            </w:r>
          </w:p>
        </w:tc>
        <w:tc>
          <w:tcPr>
            <w:tcW w:w="993"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1275"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850"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4</w:t>
            </w:r>
          </w:p>
        </w:tc>
      </w:tr>
      <w:tr w:rsidR="00632285" w:rsidRPr="009F5D48" w:rsidTr="00911364">
        <w:trPr>
          <w:trHeight w:val="319"/>
        </w:trPr>
        <w:tc>
          <w:tcPr>
            <w:tcW w:w="8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FCHPT</w:t>
            </w:r>
          </w:p>
        </w:tc>
        <w:tc>
          <w:tcPr>
            <w:tcW w:w="992"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1</w:t>
            </w:r>
          </w:p>
        </w:tc>
        <w:tc>
          <w:tcPr>
            <w:tcW w:w="1276"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85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2</w:t>
            </w:r>
          </w:p>
        </w:tc>
        <w:tc>
          <w:tcPr>
            <w:tcW w:w="993"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1</w:t>
            </w:r>
          </w:p>
        </w:tc>
        <w:tc>
          <w:tcPr>
            <w:tcW w:w="1275"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2</w:t>
            </w:r>
          </w:p>
        </w:tc>
        <w:tc>
          <w:tcPr>
            <w:tcW w:w="850"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6</w:t>
            </w:r>
          </w:p>
        </w:tc>
      </w:tr>
      <w:tr w:rsidR="00632285" w:rsidRPr="009F5D48" w:rsidTr="00911364">
        <w:trPr>
          <w:trHeight w:val="335"/>
        </w:trPr>
        <w:tc>
          <w:tcPr>
            <w:tcW w:w="8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FA</w:t>
            </w:r>
          </w:p>
        </w:tc>
        <w:tc>
          <w:tcPr>
            <w:tcW w:w="992"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1276"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85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993"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1275"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1</w:t>
            </w:r>
          </w:p>
        </w:tc>
        <w:tc>
          <w:tcPr>
            <w:tcW w:w="850"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1</w:t>
            </w:r>
          </w:p>
        </w:tc>
      </w:tr>
      <w:tr w:rsidR="00632285" w:rsidRPr="009F5D48" w:rsidTr="00911364">
        <w:trPr>
          <w:trHeight w:val="335"/>
        </w:trPr>
        <w:tc>
          <w:tcPr>
            <w:tcW w:w="8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MTF</w:t>
            </w:r>
          </w:p>
        </w:tc>
        <w:tc>
          <w:tcPr>
            <w:tcW w:w="992"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9</w:t>
            </w:r>
          </w:p>
        </w:tc>
        <w:tc>
          <w:tcPr>
            <w:tcW w:w="1276"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1</w:t>
            </w:r>
          </w:p>
        </w:tc>
        <w:tc>
          <w:tcPr>
            <w:tcW w:w="85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993"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1275"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850"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10</w:t>
            </w:r>
          </w:p>
        </w:tc>
      </w:tr>
      <w:tr w:rsidR="00632285" w:rsidRPr="009F5D48" w:rsidTr="00911364">
        <w:trPr>
          <w:trHeight w:val="335"/>
        </w:trPr>
        <w:tc>
          <w:tcPr>
            <w:tcW w:w="8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FIIT</w:t>
            </w:r>
          </w:p>
        </w:tc>
        <w:tc>
          <w:tcPr>
            <w:tcW w:w="992"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1276"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85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1</w:t>
            </w:r>
          </w:p>
        </w:tc>
        <w:tc>
          <w:tcPr>
            <w:tcW w:w="993"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1275"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850"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1</w:t>
            </w:r>
          </w:p>
        </w:tc>
      </w:tr>
      <w:tr w:rsidR="00632285" w:rsidRPr="009F5D48" w:rsidTr="00911364">
        <w:trPr>
          <w:trHeight w:val="335"/>
        </w:trPr>
        <w:tc>
          <w:tcPr>
            <w:tcW w:w="8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ÚM</w:t>
            </w:r>
          </w:p>
        </w:tc>
        <w:tc>
          <w:tcPr>
            <w:tcW w:w="992"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r w:rsidRPr="009F5D48">
              <w:rPr>
                <w:rFonts w:asciiTheme="minorHAnsi" w:hAnsiTheme="minorHAnsi"/>
                <w:color w:val="000000" w:themeColor="text1"/>
                <w:sz w:val="20"/>
                <w:szCs w:val="20"/>
                <w:lang w:eastAsia="sk-SK"/>
              </w:rPr>
              <w:t>1</w:t>
            </w:r>
          </w:p>
        </w:tc>
        <w:tc>
          <w:tcPr>
            <w:tcW w:w="1276"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85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color w:val="000000" w:themeColor="text1"/>
                <w:sz w:val="20"/>
                <w:szCs w:val="20"/>
                <w:lang w:eastAsia="sk-SK"/>
              </w:rPr>
            </w:pPr>
          </w:p>
        </w:tc>
        <w:tc>
          <w:tcPr>
            <w:tcW w:w="993"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1275"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p>
        </w:tc>
        <w:tc>
          <w:tcPr>
            <w:tcW w:w="850"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1</w:t>
            </w:r>
          </w:p>
        </w:tc>
      </w:tr>
      <w:tr w:rsidR="00632285" w:rsidRPr="009F5D48" w:rsidTr="00911364">
        <w:trPr>
          <w:trHeight w:val="335"/>
        </w:trPr>
        <w:tc>
          <w:tcPr>
            <w:tcW w:w="851" w:type="dxa"/>
            <w:tcBorders>
              <w:top w:val="nil"/>
              <w:left w:val="single" w:sz="4" w:space="0" w:color="auto"/>
              <w:bottom w:val="single" w:sz="4" w:space="0" w:color="auto"/>
              <w:right w:val="single" w:sz="4" w:space="0" w:color="auto"/>
            </w:tcBorders>
          </w:tcPr>
          <w:p w:rsidR="00632285" w:rsidRPr="009F5D48" w:rsidRDefault="00632285" w:rsidP="00911364">
            <w:pPr>
              <w:rPr>
                <w:rFonts w:asciiTheme="minorHAnsi" w:hAnsiTheme="minorHAnsi"/>
                <w:b/>
                <w:bCs/>
                <w:color w:val="000000"/>
                <w:sz w:val="20"/>
                <w:szCs w:val="20"/>
                <w:lang w:eastAsia="sk-SK"/>
              </w:rPr>
            </w:pPr>
            <w:r w:rsidRPr="009F5D48">
              <w:rPr>
                <w:rFonts w:asciiTheme="minorHAnsi" w:hAnsiTheme="minorHAnsi"/>
                <w:b/>
                <w:bCs/>
                <w:color w:val="000000"/>
                <w:sz w:val="20"/>
                <w:szCs w:val="20"/>
                <w:lang w:eastAsia="sk-SK"/>
              </w:rPr>
              <w:t>Spolu</w:t>
            </w:r>
          </w:p>
        </w:tc>
        <w:tc>
          <w:tcPr>
            <w:tcW w:w="992"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24</w:t>
            </w:r>
          </w:p>
        </w:tc>
        <w:tc>
          <w:tcPr>
            <w:tcW w:w="1276"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3</w:t>
            </w:r>
          </w:p>
        </w:tc>
        <w:tc>
          <w:tcPr>
            <w:tcW w:w="850" w:type="dxa"/>
            <w:tcBorders>
              <w:top w:val="nil"/>
              <w:left w:val="nil"/>
              <w:bottom w:val="single" w:sz="4" w:space="0" w:color="auto"/>
              <w:right w:val="single" w:sz="4" w:space="0" w:color="auto"/>
            </w:tcBorders>
            <w:shd w:val="clear" w:color="auto" w:fill="FFFFFF"/>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7</w:t>
            </w:r>
          </w:p>
        </w:tc>
        <w:tc>
          <w:tcPr>
            <w:tcW w:w="993"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3</w:t>
            </w:r>
          </w:p>
        </w:tc>
        <w:tc>
          <w:tcPr>
            <w:tcW w:w="1275"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3</w:t>
            </w:r>
          </w:p>
        </w:tc>
        <w:tc>
          <w:tcPr>
            <w:tcW w:w="850" w:type="dxa"/>
            <w:tcBorders>
              <w:top w:val="nil"/>
              <w:left w:val="nil"/>
              <w:bottom w:val="single" w:sz="4" w:space="0" w:color="auto"/>
              <w:right w:val="single" w:sz="4" w:space="0" w:color="auto"/>
            </w:tcBorders>
          </w:tcPr>
          <w:p w:rsidR="00632285" w:rsidRPr="009F5D48" w:rsidRDefault="00632285" w:rsidP="00911364">
            <w:pPr>
              <w:jc w:val="center"/>
              <w:rPr>
                <w:rFonts w:asciiTheme="minorHAnsi" w:hAnsiTheme="minorHAnsi"/>
                <w:bCs/>
                <w:color w:val="000000" w:themeColor="text1"/>
                <w:sz w:val="20"/>
                <w:szCs w:val="20"/>
                <w:lang w:eastAsia="sk-SK"/>
              </w:rPr>
            </w:pPr>
            <w:r w:rsidRPr="009F5D48">
              <w:rPr>
                <w:rFonts w:asciiTheme="minorHAnsi" w:hAnsiTheme="minorHAnsi"/>
                <w:bCs/>
                <w:color w:val="000000" w:themeColor="text1"/>
                <w:sz w:val="20"/>
                <w:szCs w:val="20"/>
                <w:lang w:eastAsia="sk-SK"/>
              </w:rPr>
              <w:t>40</w:t>
            </w:r>
          </w:p>
        </w:tc>
      </w:tr>
    </w:tbl>
    <w:p w:rsidR="00632285" w:rsidRPr="009F5D48" w:rsidRDefault="00632285" w:rsidP="00632285">
      <w:pPr>
        <w:rPr>
          <w:rFonts w:asciiTheme="minorHAnsi" w:hAnsiTheme="minorHAnsi"/>
          <w:color w:val="000000"/>
          <w:sz w:val="20"/>
          <w:szCs w:val="20"/>
        </w:rPr>
      </w:pPr>
    </w:p>
    <w:p w:rsidR="00632285" w:rsidRPr="002D7A10" w:rsidRDefault="00632285" w:rsidP="00632285">
      <w:pPr>
        <w:rPr>
          <w:rFonts w:asciiTheme="minorHAnsi" w:hAnsiTheme="minorHAnsi"/>
          <w:color w:val="000000"/>
        </w:rPr>
      </w:pPr>
      <w:r w:rsidRPr="002D7A10">
        <w:rPr>
          <w:rFonts w:asciiTheme="minorHAnsi" w:hAnsiTheme="minorHAnsi"/>
          <w:color w:val="000000"/>
        </w:rPr>
        <w:t xml:space="preserve">      Najviac projektov v oblasti vzdelávania sa v roku 2015 riešilo v programoch </w:t>
      </w:r>
      <w:proofErr w:type="spellStart"/>
      <w:r w:rsidRPr="002D7A10">
        <w:rPr>
          <w:rFonts w:asciiTheme="minorHAnsi" w:hAnsiTheme="minorHAnsi"/>
          <w:color w:val="000000"/>
        </w:rPr>
        <w:t>Lifelong</w:t>
      </w:r>
      <w:proofErr w:type="spellEnd"/>
      <w:r w:rsidRPr="002D7A10">
        <w:rPr>
          <w:rFonts w:asciiTheme="minorHAnsi" w:hAnsiTheme="minorHAnsi"/>
          <w:color w:val="000000"/>
        </w:rPr>
        <w:t xml:space="preserve"> </w:t>
      </w:r>
      <w:proofErr w:type="spellStart"/>
      <w:r w:rsidRPr="002D7A10">
        <w:rPr>
          <w:rFonts w:asciiTheme="minorHAnsi" w:hAnsiTheme="minorHAnsi"/>
          <w:color w:val="000000"/>
        </w:rPr>
        <w:t>Learning</w:t>
      </w:r>
      <w:proofErr w:type="spellEnd"/>
      <w:r w:rsidRPr="002D7A10">
        <w:rPr>
          <w:rFonts w:asciiTheme="minorHAnsi" w:hAnsiTheme="minorHAnsi"/>
          <w:color w:val="000000"/>
        </w:rPr>
        <w:t xml:space="preserve"> </w:t>
      </w:r>
      <w:proofErr w:type="spellStart"/>
      <w:r w:rsidRPr="002D7A10">
        <w:rPr>
          <w:rFonts w:asciiTheme="minorHAnsi" w:hAnsiTheme="minorHAnsi"/>
          <w:color w:val="000000"/>
        </w:rPr>
        <w:t>Programme</w:t>
      </w:r>
      <w:proofErr w:type="spellEnd"/>
      <w:r w:rsidRPr="002D7A10">
        <w:rPr>
          <w:rFonts w:asciiTheme="minorHAnsi" w:hAnsiTheme="minorHAnsi"/>
          <w:color w:val="000000"/>
        </w:rPr>
        <w:t xml:space="preserve"> (LLP) - cieľom programu bolo posilňovanie vzdelávania a odbornej prípravy na všetkých úrovniach vzdelávania. Takisto sa na univerzite v roku 2015 riešili 3 projekty Európskej únie v programe </w:t>
      </w:r>
      <w:proofErr w:type="spellStart"/>
      <w:r w:rsidRPr="002D7A10">
        <w:rPr>
          <w:rFonts w:asciiTheme="minorHAnsi" w:hAnsiTheme="minorHAnsi"/>
          <w:color w:val="000000"/>
        </w:rPr>
        <w:t>Tempus</w:t>
      </w:r>
      <w:proofErr w:type="spellEnd"/>
      <w:r w:rsidRPr="002D7A10">
        <w:rPr>
          <w:rFonts w:asciiTheme="minorHAnsi" w:hAnsiTheme="minorHAnsi"/>
          <w:color w:val="000000"/>
        </w:rPr>
        <w:t xml:space="preserve"> IV, ktorý podporuje modernizáciu vysokoškolského vzdelávania v spolupráci so štátmi západného Balkánu, východnej Európy, strednej Ázie, severnej Afriky a stredného Východu  a 3 projekty v rámci Slovak </w:t>
      </w:r>
      <w:proofErr w:type="spellStart"/>
      <w:r w:rsidRPr="002D7A10">
        <w:rPr>
          <w:rFonts w:asciiTheme="minorHAnsi" w:hAnsiTheme="minorHAnsi"/>
          <w:color w:val="000000"/>
        </w:rPr>
        <w:t>Aid</w:t>
      </w:r>
      <w:proofErr w:type="spellEnd"/>
      <w:r w:rsidRPr="002D7A10">
        <w:rPr>
          <w:rFonts w:asciiTheme="minorHAnsi" w:hAnsiTheme="minorHAnsi"/>
          <w:color w:val="000000"/>
        </w:rPr>
        <w:t xml:space="preserve"> (</w:t>
      </w:r>
      <w:r w:rsidRPr="002D7A10">
        <w:rPr>
          <w:rFonts w:asciiTheme="minorHAnsi" w:hAnsiTheme="minorHAnsi"/>
        </w:rPr>
        <w:t xml:space="preserve">Ministerstvo zahraničných vecí a európskych záležitostí SR začalo poskytovať oficiálnu rozvojovú pomoc pod značkou </w:t>
      </w:r>
      <w:proofErr w:type="spellStart"/>
      <w:r w:rsidRPr="002D7A10">
        <w:rPr>
          <w:rFonts w:asciiTheme="minorHAnsi" w:hAnsiTheme="minorHAnsi"/>
        </w:rPr>
        <w:t>SlovakAid</w:t>
      </w:r>
      <w:proofErr w:type="spellEnd"/>
      <w:r w:rsidRPr="002D7A10">
        <w:rPr>
          <w:rFonts w:asciiTheme="minorHAnsi" w:hAnsiTheme="minorHAnsi"/>
        </w:rPr>
        <w:t xml:space="preserve"> v roku 2003</w:t>
      </w:r>
      <w:r w:rsidRPr="002D7A10">
        <w:rPr>
          <w:rStyle w:val="Siln"/>
          <w:rFonts w:asciiTheme="minorHAnsi" w:hAnsiTheme="minorHAnsi"/>
          <w:b w:val="0"/>
        </w:rPr>
        <w:t xml:space="preserve">) v rámci </w:t>
      </w:r>
      <w:r w:rsidRPr="002D7A10">
        <w:rPr>
          <w:rFonts w:asciiTheme="minorHAnsi" w:hAnsiTheme="minorHAnsi"/>
          <w:color w:val="000000"/>
        </w:rPr>
        <w:t xml:space="preserve">oficiálne rozvojovej pomoci (ODA - </w:t>
      </w:r>
      <w:proofErr w:type="spellStart"/>
      <w:r w:rsidRPr="002D7A10">
        <w:rPr>
          <w:rFonts w:asciiTheme="minorHAnsi" w:hAnsiTheme="minorHAnsi"/>
          <w:color w:val="000000"/>
        </w:rPr>
        <w:t>Official</w:t>
      </w:r>
      <w:proofErr w:type="spellEnd"/>
      <w:r w:rsidRPr="002D7A10">
        <w:rPr>
          <w:rFonts w:asciiTheme="minorHAnsi" w:hAnsiTheme="minorHAnsi"/>
          <w:color w:val="000000"/>
        </w:rPr>
        <w:t xml:space="preserve"> </w:t>
      </w:r>
      <w:proofErr w:type="spellStart"/>
      <w:r w:rsidRPr="002D7A10">
        <w:rPr>
          <w:rFonts w:asciiTheme="minorHAnsi" w:hAnsiTheme="minorHAnsi"/>
          <w:color w:val="000000"/>
        </w:rPr>
        <w:t>Development</w:t>
      </w:r>
      <w:proofErr w:type="spellEnd"/>
      <w:r w:rsidRPr="002D7A10">
        <w:rPr>
          <w:rFonts w:asciiTheme="minorHAnsi" w:hAnsiTheme="minorHAnsi"/>
          <w:color w:val="000000"/>
        </w:rPr>
        <w:t xml:space="preserve"> </w:t>
      </w:r>
      <w:proofErr w:type="spellStart"/>
      <w:r w:rsidRPr="002D7A10">
        <w:rPr>
          <w:rFonts w:asciiTheme="minorHAnsi" w:hAnsiTheme="minorHAnsi"/>
          <w:color w:val="000000"/>
        </w:rPr>
        <w:t>Assistance</w:t>
      </w:r>
      <w:proofErr w:type="spellEnd"/>
      <w:r w:rsidRPr="002D7A10">
        <w:rPr>
          <w:rFonts w:asciiTheme="minorHAnsi" w:hAnsiTheme="minorHAnsi"/>
          <w:color w:val="000000"/>
        </w:rPr>
        <w:t xml:space="preserve"> - súhrn aktivít štátu zameraných na pomoc a podporu rozvojových krajín smerom k trvalo udržateľnému rozvoju).</w:t>
      </w:r>
    </w:p>
    <w:p w:rsidR="000F39C2" w:rsidRPr="002D7A10" w:rsidRDefault="000F39C2" w:rsidP="000F39C2">
      <w:pPr>
        <w:rPr>
          <w:rFonts w:asciiTheme="minorHAnsi" w:hAnsiTheme="minorHAnsi"/>
          <w:color w:val="000000"/>
        </w:rPr>
      </w:pPr>
      <w:r w:rsidRPr="002D7A10">
        <w:rPr>
          <w:rFonts w:asciiTheme="minorHAnsi" w:hAnsiTheme="minorHAnsi"/>
          <w:color w:val="000000"/>
        </w:rPr>
        <w:t>Nakoľko v roku 2014 Európsky parlament schválil nový program EÚ s názvom ERASMUS+, od roku 2015 sú už pôvodné programy EÚ pre vzdelávanie, odbornú prípravu, mládež a šport – vrátane programu celoživotného vzdelávania (</w:t>
      </w:r>
      <w:proofErr w:type="spellStart"/>
      <w:r w:rsidRPr="002D7A10">
        <w:rPr>
          <w:rFonts w:asciiTheme="minorHAnsi" w:hAnsiTheme="minorHAnsi"/>
          <w:color w:val="000000"/>
        </w:rPr>
        <w:t>Erasmus</w:t>
      </w:r>
      <w:proofErr w:type="spellEnd"/>
      <w:r w:rsidRPr="002D7A10">
        <w:rPr>
          <w:rFonts w:asciiTheme="minorHAnsi" w:hAnsiTheme="minorHAnsi"/>
          <w:color w:val="000000"/>
        </w:rPr>
        <w:t xml:space="preserve">, </w:t>
      </w:r>
      <w:proofErr w:type="spellStart"/>
      <w:r w:rsidRPr="002D7A10">
        <w:rPr>
          <w:rFonts w:asciiTheme="minorHAnsi" w:hAnsiTheme="minorHAnsi"/>
          <w:color w:val="000000"/>
        </w:rPr>
        <w:t>Leonardo</w:t>
      </w:r>
      <w:proofErr w:type="spellEnd"/>
      <w:r w:rsidRPr="002D7A10">
        <w:rPr>
          <w:rFonts w:asciiTheme="minorHAnsi" w:hAnsiTheme="minorHAnsi"/>
          <w:color w:val="000000"/>
        </w:rPr>
        <w:t xml:space="preserve"> </w:t>
      </w:r>
      <w:proofErr w:type="spellStart"/>
      <w:r w:rsidRPr="002D7A10">
        <w:rPr>
          <w:rFonts w:asciiTheme="minorHAnsi" w:hAnsiTheme="minorHAnsi"/>
          <w:color w:val="000000"/>
        </w:rPr>
        <w:t>da</w:t>
      </w:r>
      <w:proofErr w:type="spellEnd"/>
      <w:r w:rsidRPr="002D7A10">
        <w:rPr>
          <w:rFonts w:asciiTheme="minorHAnsi" w:hAnsiTheme="minorHAnsi"/>
          <w:color w:val="000000"/>
        </w:rPr>
        <w:t xml:space="preserve"> </w:t>
      </w:r>
      <w:proofErr w:type="spellStart"/>
      <w:r w:rsidRPr="002D7A10">
        <w:rPr>
          <w:rFonts w:asciiTheme="minorHAnsi" w:hAnsiTheme="minorHAnsi"/>
          <w:color w:val="000000"/>
        </w:rPr>
        <w:t>Vinci</w:t>
      </w:r>
      <w:proofErr w:type="spellEnd"/>
      <w:r w:rsidRPr="002D7A10">
        <w:rPr>
          <w:rFonts w:asciiTheme="minorHAnsi" w:hAnsiTheme="minorHAnsi"/>
          <w:color w:val="000000"/>
        </w:rPr>
        <w:t xml:space="preserve">, </w:t>
      </w:r>
      <w:proofErr w:type="spellStart"/>
      <w:r w:rsidRPr="002D7A10">
        <w:rPr>
          <w:rFonts w:asciiTheme="minorHAnsi" w:hAnsiTheme="minorHAnsi"/>
          <w:color w:val="000000"/>
        </w:rPr>
        <w:t>Comenius</w:t>
      </w:r>
      <w:proofErr w:type="spellEnd"/>
      <w:r w:rsidRPr="002D7A10">
        <w:rPr>
          <w:rFonts w:asciiTheme="minorHAnsi" w:hAnsiTheme="minorHAnsi"/>
          <w:color w:val="000000"/>
        </w:rPr>
        <w:t xml:space="preserve">, </w:t>
      </w:r>
      <w:proofErr w:type="spellStart"/>
      <w:r w:rsidRPr="002D7A10">
        <w:rPr>
          <w:rFonts w:asciiTheme="minorHAnsi" w:hAnsiTheme="minorHAnsi"/>
          <w:color w:val="000000"/>
        </w:rPr>
        <w:t>Grundtvig</w:t>
      </w:r>
      <w:proofErr w:type="spellEnd"/>
      <w:r w:rsidRPr="002D7A10">
        <w:rPr>
          <w:rFonts w:asciiTheme="minorHAnsi" w:hAnsiTheme="minorHAnsi"/>
          <w:color w:val="000000"/>
        </w:rPr>
        <w:t>), programu Mládež v akcii, a piatich programov medzinárodnej spolupráce (</w:t>
      </w:r>
      <w:proofErr w:type="spellStart"/>
      <w:r w:rsidRPr="002D7A10">
        <w:rPr>
          <w:rFonts w:asciiTheme="minorHAnsi" w:hAnsiTheme="minorHAnsi"/>
          <w:color w:val="000000"/>
        </w:rPr>
        <w:t>Erasmus</w:t>
      </w:r>
      <w:proofErr w:type="spellEnd"/>
      <w:r w:rsidRPr="002D7A10">
        <w:rPr>
          <w:rFonts w:asciiTheme="minorHAnsi" w:hAnsiTheme="minorHAnsi"/>
          <w:color w:val="000000"/>
        </w:rPr>
        <w:t xml:space="preserve"> </w:t>
      </w:r>
      <w:proofErr w:type="spellStart"/>
      <w:r w:rsidRPr="002D7A10">
        <w:rPr>
          <w:rFonts w:asciiTheme="minorHAnsi" w:hAnsiTheme="minorHAnsi"/>
          <w:color w:val="000000"/>
        </w:rPr>
        <w:t>Mundus</w:t>
      </w:r>
      <w:proofErr w:type="spellEnd"/>
      <w:r w:rsidRPr="002D7A10">
        <w:rPr>
          <w:rFonts w:asciiTheme="minorHAnsi" w:hAnsiTheme="minorHAnsi"/>
          <w:color w:val="000000"/>
        </w:rPr>
        <w:t xml:space="preserve">, </w:t>
      </w:r>
      <w:proofErr w:type="spellStart"/>
      <w:r w:rsidRPr="002D7A10">
        <w:rPr>
          <w:rFonts w:asciiTheme="minorHAnsi" w:hAnsiTheme="minorHAnsi"/>
          <w:color w:val="000000"/>
        </w:rPr>
        <w:t>Tempus</w:t>
      </w:r>
      <w:proofErr w:type="spellEnd"/>
      <w:r w:rsidRPr="002D7A10">
        <w:rPr>
          <w:rFonts w:asciiTheme="minorHAnsi" w:hAnsiTheme="minorHAnsi"/>
          <w:color w:val="000000"/>
        </w:rPr>
        <w:t xml:space="preserve"> atď.) riešené a evidované pod novým programom s názvom ERASMUS+.   </w:t>
      </w:r>
    </w:p>
    <w:p w:rsidR="00560D9A" w:rsidRPr="002D7A10" w:rsidRDefault="00560D9A" w:rsidP="00632285">
      <w:pPr>
        <w:rPr>
          <w:rFonts w:asciiTheme="minorHAnsi" w:hAnsiTheme="minorHAnsi"/>
          <w:color w:val="000000"/>
        </w:rPr>
      </w:pPr>
    </w:p>
    <w:p w:rsidR="00560D9A" w:rsidRPr="002D7A10" w:rsidRDefault="00560D9A" w:rsidP="00632285">
      <w:pPr>
        <w:rPr>
          <w:rFonts w:asciiTheme="minorHAnsi" w:hAnsiTheme="minorHAnsi"/>
          <w:color w:val="000000"/>
        </w:rPr>
      </w:pPr>
    </w:p>
    <w:p w:rsidR="00560D9A" w:rsidRPr="002D7A10" w:rsidRDefault="00560D9A" w:rsidP="00560D9A">
      <w:pPr>
        <w:pStyle w:val="Nadpis2"/>
        <w:rPr>
          <w:rFonts w:asciiTheme="minorHAnsi" w:eastAsia="MS Mincho" w:hAnsiTheme="minorHAnsi"/>
          <w:sz w:val="24"/>
          <w:szCs w:val="24"/>
        </w:rPr>
      </w:pPr>
      <w:bookmarkStart w:id="71" w:name="_Toc448261608"/>
      <w:r w:rsidRPr="002D7A10">
        <w:rPr>
          <w:rFonts w:asciiTheme="minorHAnsi" w:eastAsia="MS Mincho" w:hAnsiTheme="minorHAnsi"/>
          <w:sz w:val="24"/>
          <w:szCs w:val="24"/>
        </w:rPr>
        <w:t>Účasť na veľtrhoch vzdelávania a iné propagačné aktivity</w:t>
      </w:r>
      <w:bookmarkEnd w:id="71"/>
    </w:p>
    <w:p w:rsidR="00560D9A" w:rsidRPr="002D7A10" w:rsidRDefault="00560D9A" w:rsidP="00560D9A">
      <w:pPr>
        <w:rPr>
          <w:rFonts w:asciiTheme="minorHAnsi" w:hAnsiTheme="minorHAnsi"/>
          <w:color w:val="000000"/>
        </w:rPr>
      </w:pPr>
      <w:r w:rsidRPr="002D7A10">
        <w:rPr>
          <w:rFonts w:asciiTheme="minorHAnsi" w:hAnsiTheme="minorHAnsi"/>
        </w:rPr>
        <w:t xml:space="preserve">V októbri 2015 sa STU zúčastnilo po prvýkrát mimo SR a Českej republiky na veľtrh vzdelávania </w:t>
      </w:r>
      <w:r w:rsidRPr="002D7A10">
        <w:rPr>
          <w:rFonts w:asciiTheme="minorHAnsi" w:hAnsiTheme="minorHAnsi"/>
          <w:b/>
        </w:rPr>
        <w:t>„</w:t>
      </w:r>
      <w:proofErr w:type="spellStart"/>
      <w:r w:rsidRPr="002D7A10">
        <w:rPr>
          <w:rStyle w:val="Siln"/>
          <w:rFonts w:asciiTheme="minorHAnsi" w:hAnsiTheme="minorHAnsi"/>
          <w:b w:val="0"/>
        </w:rPr>
        <w:t>The</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European</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Higher</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Education</w:t>
      </w:r>
      <w:proofErr w:type="spellEnd"/>
      <w:r w:rsidRPr="002D7A10">
        <w:rPr>
          <w:rStyle w:val="Siln"/>
          <w:rFonts w:asciiTheme="minorHAnsi" w:hAnsiTheme="minorHAnsi"/>
          <w:b w:val="0"/>
        </w:rPr>
        <w:t xml:space="preserve"> Fair </w:t>
      </w:r>
      <w:proofErr w:type="spellStart"/>
      <w:r w:rsidRPr="002D7A10">
        <w:rPr>
          <w:rStyle w:val="Siln"/>
          <w:rFonts w:asciiTheme="minorHAnsi" w:hAnsiTheme="minorHAnsi"/>
          <w:b w:val="0"/>
        </w:rPr>
        <w:t>Kazakhstan</w:t>
      </w:r>
      <w:proofErr w:type="spellEnd"/>
      <w:r w:rsidRPr="002D7A10">
        <w:rPr>
          <w:rStyle w:val="Siln"/>
          <w:rFonts w:asciiTheme="minorHAnsi" w:hAnsiTheme="minorHAnsi"/>
          <w:b w:val="0"/>
        </w:rPr>
        <w:t xml:space="preserve"> 2015</w:t>
      </w:r>
      <w:r w:rsidRPr="002D7A10">
        <w:rPr>
          <w:rFonts w:asciiTheme="minorHAnsi" w:hAnsiTheme="minorHAnsi"/>
          <w:b/>
        </w:rPr>
        <w:t>“</w:t>
      </w:r>
      <w:r w:rsidRPr="002D7A10">
        <w:rPr>
          <w:rFonts w:asciiTheme="minorHAnsi" w:hAnsiTheme="minorHAnsi"/>
        </w:rPr>
        <w:t xml:space="preserve"> v </w:t>
      </w:r>
      <w:proofErr w:type="spellStart"/>
      <w:r w:rsidRPr="002D7A10">
        <w:rPr>
          <w:rFonts w:asciiTheme="minorHAnsi" w:hAnsiTheme="minorHAnsi"/>
        </w:rPr>
        <w:t>Almate</w:t>
      </w:r>
      <w:proofErr w:type="spellEnd"/>
      <w:r w:rsidRPr="002D7A10">
        <w:rPr>
          <w:rFonts w:asciiTheme="minorHAnsi" w:hAnsiTheme="minorHAnsi"/>
        </w:rPr>
        <w:t xml:space="preserve"> v Kazachstane. Na veľtrhu sa prezentovalo 80 vystavovateľov (univerzít, akademických inšti</w:t>
      </w:r>
      <w:r w:rsidR="00596775" w:rsidRPr="002D7A10">
        <w:rPr>
          <w:rFonts w:asciiTheme="minorHAnsi" w:hAnsiTheme="minorHAnsi"/>
        </w:rPr>
        <w:t>túcií i agentúr) z</w:t>
      </w:r>
      <w:r w:rsidRPr="002D7A10">
        <w:rPr>
          <w:rFonts w:asciiTheme="minorHAnsi" w:hAnsiTheme="minorHAnsi"/>
        </w:rPr>
        <w:t xml:space="preserve"> Európy a Kazachstanu. Prezentovalo sa nielen v stánkoch, ale aj v užších pracovných skupinách a sekciách, kde bola možnosť nadviazania bližšej spolupráce ešte intenzívnejšia. Po ukončení veľtrhu sa konala konferencia </w:t>
      </w:r>
      <w:r w:rsidRPr="002D7A10">
        <w:rPr>
          <w:rFonts w:asciiTheme="minorHAnsi" w:hAnsiTheme="minorHAnsi"/>
          <w:b/>
        </w:rPr>
        <w:t>„</w:t>
      </w:r>
      <w:proofErr w:type="spellStart"/>
      <w:r w:rsidRPr="002D7A10">
        <w:rPr>
          <w:rStyle w:val="Siln"/>
          <w:rFonts w:asciiTheme="minorHAnsi" w:hAnsiTheme="minorHAnsi"/>
          <w:b w:val="0"/>
        </w:rPr>
        <w:t>The</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Cooperation</w:t>
      </w:r>
      <w:proofErr w:type="spellEnd"/>
      <w:r w:rsidRPr="002D7A10">
        <w:rPr>
          <w:rStyle w:val="Siln"/>
          <w:rFonts w:asciiTheme="minorHAnsi" w:hAnsiTheme="minorHAnsi"/>
          <w:b w:val="0"/>
        </w:rPr>
        <w:t xml:space="preserve"> in </w:t>
      </w:r>
      <w:proofErr w:type="spellStart"/>
      <w:r w:rsidRPr="002D7A10">
        <w:rPr>
          <w:rStyle w:val="Siln"/>
          <w:rFonts w:asciiTheme="minorHAnsi" w:hAnsiTheme="minorHAnsi"/>
          <w:b w:val="0"/>
        </w:rPr>
        <w:t>the</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higher</w:t>
      </w:r>
      <w:proofErr w:type="spellEnd"/>
      <w:r w:rsidRPr="002D7A10">
        <w:rPr>
          <w:rStyle w:val="Siln"/>
          <w:rFonts w:asciiTheme="minorHAnsi" w:hAnsiTheme="minorHAnsi"/>
          <w:b w:val="0"/>
        </w:rPr>
        <w:t>‐</w:t>
      </w:r>
      <w:proofErr w:type="spellStart"/>
      <w:r w:rsidRPr="002D7A10">
        <w:rPr>
          <w:rStyle w:val="Siln"/>
          <w:rFonts w:asciiTheme="minorHAnsi" w:hAnsiTheme="minorHAnsi"/>
          <w:b w:val="0"/>
        </w:rPr>
        <w:t>education</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sphere</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between</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the</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European</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Union</w:t>
      </w:r>
      <w:proofErr w:type="spellEnd"/>
      <w:r w:rsidRPr="002D7A10">
        <w:rPr>
          <w:rStyle w:val="Siln"/>
          <w:rFonts w:asciiTheme="minorHAnsi" w:hAnsiTheme="minorHAnsi"/>
          <w:b w:val="0"/>
        </w:rPr>
        <w:t xml:space="preserve"> and </w:t>
      </w:r>
      <w:proofErr w:type="spellStart"/>
      <w:r w:rsidRPr="002D7A10">
        <w:rPr>
          <w:rStyle w:val="Siln"/>
          <w:rFonts w:asciiTheme="minorHAnsi" w:hAnsiTheme="minorHAnsi"/>
          <w:b w:val="0"/>
        </w:rPr>
        <w:t>the</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Republic</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of</w:t>
      </w:r>
      <w:proofErr w:type="spellEnd"/>
      <w:r w:rsidRPr="002D7A10">
        <w:rPr>
          <w:rStyle w:val="Siln"/>
          <w:rFonts w:asciiTheme="minorHAnsi" w:hAnsiTheme="minorHAnsi"/>
          <w:b w:val="0"/>
        </w:rPr>
        <w:t xml:space="preserve"> </w:t>
      </w:r>
      <w:proofErr w:type="spellStart"/>
      <w:r w:rsidRPr="002D7A10">
        <w:rPr>
          <w:rStyle w:val="Siln"/>
          <w:rFonts w:asciiTheme="minorHAnsi" w:hAnsiTheme="minorHAnsi"/>
          <w:b w:val="0"/>
        </w:rPr>
        <w:t>Kazakhstan</w:t>
      </w:r>
      <w:proofErr w:type="spellEnd"/>
      <w:r w:rsidRPr="002D7A10">
        <w:rPr>
          <w:rFonts w:asciiTheme="minorHAnsi" w:hAnsiTheme="minorHAnsi"/>
        </w:rPr>
        <w:t>".</w:t>
      </w:r>
    </w:p>
    <w:p w:rsidR="00560D9A" w:rsidRPr="002D7A10" w:rsidRDefault="00560D9A" w:rsidP="00560D9A">
      <w:pPr>
        <w:rPr>
          <w:rFonts w:asciiTheme="minorHAnsi" w:hAnsiTheme="minorHAnsi"/>
        </w:rPr>
      </w:pPr>
      <w:r w:rsidRPr="002D7A10">
        <w:rPr>
          <w:rFonts w:asciiTheme="minorHAnsi" w:hAnsiTheme="minorHAnsi"/>
          <w:color w:val="000000"/>
        </w:rPr>
        <w:t>V</w:t>
      </w:r>
      <w:r w:rsidRPr="002D7A10">
        <w:rPr>
          <w:rFonts w:asciiTheme="minorHAnsi" w:hAnsiTheme="minorHAnsi"/>
        </w:rPr>
        <w:t xml:space="preserve"> spolupráci s </w:t>
      </w:r>
      <w:proofErr w:type="spellStart"/>
      <w:r w:rsidRPr="002D7A10">
        <w:rPr>
          <w:rFonts w:asciiTheme="minorHAnsi" w:hAnsiTheme="minorHAnsi"/>
        </w:rPr>
        <w:t>Eurasian</w:t>
      </w:r>
      <w:proofErr w:type="spellEnd"/>
      <w:r w:rsidRPr="002D7A10">
        <w:rPr>
          <w:rFonts w:asciiTheme="minorHAnsi" w:hAnsiTheme="minorHAnsi"/>
        </w:rPr>
        <w:t xml:space="preserve"> </w:t>
      </w:r>
      <w:proofErr w:type="spellStart"/>
      <w:r w:rsidRPr="002D7A10">
        <w:rPr>
          <w:rFonts w:asciiTheme="minorHAnsi" w:hAnsiTheme="minorHAnsi"/>
        </w:rPr>
        <w:t>Academy</w:t>
      </w:r>
      <w:proofErr w:type="spellEnd"/>
      <w:r w:rsidRPr="002D7A10">
        <w:rPr>
          <w:rFonts w:asciiTheme="minorHAnsi" w:hAnsiTheme="minorHAnsi"/>
        </w:rPr>
        <w:t xml:space="preserve"> zorganizoval útvar medzinárodných vzťahov STU (UMV) i návštevu  študentov z troch fakúlt Karagandskej štátnej technickej  univerzity z Kazachstanu (Karaganda State </w:t>
      </w:r>
      <w:proofErr w:type="spellStart"/>
      <w:r w:rsidRPr="002D7A10">
        <w:rPr>
          <w:rFonts w:asciiTheme="minorHAnsi" w:hAnsiTheme="minorHAnsi"/>
        </w:rPr>
        <w:t>Technical</w:t>
      </w:r>
      <w:proofErr w:type="spellEnd"/>
      <w:r w:rsidRPr="002D7A10">
        <w:rPr>
          <w:rFonts w:asciiTheme="minorHAnsi" w:hAnsiTheme="minorHAnsi"/>
        </w:rPr>
        <w:t xml:space="preserve"> </w:t>
      </w:r>
      <w:proofErr w:type="spellStart"/>
      <w:r w:rsidRPr="002D7A10">
        <w:rPr>
          <w:rFonts w:asciiTheme="minorHAnsi" w:hAnsiTheme="minorHAnsi"/>
        </w:rPr>
        <w:t>University</w:t>
      </w:r>
      <w:proofErr w:type="spellEnd"/>
      <w:r w:rsidRPr="002D7A10">
        <w:rPr>
          <w:rFonts w:asciiTheme="minorHAnsi" w:hAnsiTheme="minorHAnsi"/>
        </w:rPr>
        <w:t>) s cieľom prezentácie  STU a oboznámenia sa s možnosť</w:t>
      </w:r>
      <w:r w:rsidR="00596775" w:rsidRPr="002D7A10">
        <w:rPr>
          <w:rFonts w:asciiTheme="minorHAnsi" w:hAnsiTheme="minorHAnsi"/>
        </w:rPr>
        <w:t>ami stáží, študijných pobytov a</w:t>
      </w:r>
      <w:r w:rsidRPr="002D7A10">
        <w:rPr>
          <w:rFonts w:asciiTheme="minorHAnsi" w:hAnsiTheme="minorHAnsi"/>
        </w:rPr>
        <w:t xml:space="preserve"> štúdia na jednotlivých fakultách STU.</w:t>
      </w:r>
    </w:p>
    <w:p w:rsidR="00560D9A" w:rsidRPr="002D7A10" w:rsidRDefault="00560D9A" w:rsidP="00560D9A">
      <w:pPr>
        <w:rPr>
          <w:rFonts w:asciiTheme="minorHAnsi" w:hAnsiTheme="minorHAnsi"/>
        </w:rPr>
      </w:pPr>
      <w:r w:rsidRPr="002D7A10">
        <w:rPr>
          <w:rFonts w:asciiTheme="minorHAnsi" w:hAnsiTheme="minorHAnsi"/>
        </w:rPr>
        <w:t xml:space="preserve">S cieľom poskytnúť informácie  zahraničným študentom prichádzajúcim na </w:t>
      </w:r>
      <w:proofErr w:type="spellStart"/>
      <w:r w:rsidRPr="002D7A10">
        <w:rPr>
          <w:rFonts w:asciiTheme="minorHAnsi" w:hAnsiTheme="minorHAnsi"/>
        </w:rPr>
        <w:t>mobilitný</w:t>
      </w:r>
      <w:proofErr w:type="spellEnd"/>
      <w:r w:rsidRPr="002D7A10">
        <w:rPr>
          <w:rFonts w:asciiTheme="minorHAnsi" w:hAnsiTheme="minorHAnsi"/>
        </w:rPr>
        <w:t xml:space="preserve"> pobyt na Slovenskú technickú univerzitu v Bratislave sa v septembri uskutočnila prezentácia o STU. V spolupráci so študentskou organizáciou </w:t>
      </w:r>
      <w:proofErr w:type="spellStart"/>
      <w:r w:rsidRPr="002D7A10">
        <w:rPr>
          <w:rFonts w:asciiTheme="minorHAnsi" w:hAnsiTheme="minorHAnsi"/>
        </w:rPr>
        <w:t>Erasmus</w:t>
      </w:r>
      <w:proofErr w:type="spellEnd"/>
      <w:r w:rsidRPr="002D7A10">
        <w:rPr>
          <w:rFonts w:asciiTheme="minorHAnsi" w:hAnsiTheme="minorHAnsi"/>
        </w:rPr>
        <w:t xml:space="preserve"> </w:t>
      </w:r>
      <w:proofErr w:type="spellStart"/>
      <w:r w:rsidRPr="002D7A10">
        <w:rPr>
          <w:rFonts w:asciiTheme="minorHAnsi" w:hAnsiTheme="minorHAnsi"/>
        </w:rPr>
        <w:t>Students</w:t>
      </w:r>
      <w:proofErr w:type="spellEnd"/>
      <w:r w:rsidRPr="002D7A10">
        <w:rPr>
          <w:rFonts w:asciiTheme="minorHAnsi" w:hAnsiTheme="minorHAnsi"/>
        </w:rPr>
        <w:t xml:space="preserve"> </w:t>
      </w:r>
      <w:proofErr w:type="spellStart"/>
      <w:r w:rsidRPr="002D7A10">
        <w:rPr>
          <w:rFonts w:asciiTheme="minorHAnsi" w:hAnsiTheme="minorHAnsi"/>
        </w:rPr>
        <w:t>Network</w:t>
      </w:r>
      <w:proofErr w:type="spellEnd"/>
      <w:r w:rsidRPr="002D7A10">
        <w:rPr>
          <w:rFonts w:asciiTheme="minorHAnsi" w:hAnsiTheme="minorHAnsi"/>
        </w:rPr>
        <w:t xml:space="preserve"> zamestnanci UMV  sprostredkovali </w:t>
      </w:r>
      <w:r w:rsidR="00596775" w:rsidRPr="002D7A10">
        <w:rPr>
          <w:rFonts w:asciiTheme="minorHAnsi" w:hAnsiTheme="minorHAnsi"/>
        </w:rPr>
        <w:t xml:space="preserve">študentom </w:t>
      </w:r>
      <w:r w:rsidRPr="002D7A10">
        <w:rPr>
          <w:rFonts w:asciiTheme="minorHAnsi" w:hAnsiTheme="minorHAnsi"/>
        </w:rPr>
        <w:t>informácie o</w:t>
      </w:r>
      <w:r w:rsidR="00596775" w:rsidRPr="002D7A10">
        <w:rPr>
          <w:rFonts w:asciiTheme="minorHAnsi" w:hAnsiTheme="minorHAnsi"/>
        </w:rPr>
        <w:t> </w:t>
      </w:r>
      <w:r w:rsidRPr="002D7A10">
        <w:rPr>
          <w:rFonts w:asciiTheme="minorHAnsi" w:hAnsiTheme="minorHAnsi"/>
        </w:rPr>
        <w:t>štúdiu</w:t>
      </w:r>
      <w:r w:rsidR="00596775" w:rsidRPr="002D7A10">
        <w:rPr>
          <w:rFonts w:asciiTheme="minorHAnsi" w:hAnsiTheme="minorHAnsi"/>
        </w:rPr>
        <w:t xml:space="preserve"> aj o krajine, </w:t>
      </w:r>
      <w:r w:rsidRPr="002D7A10">
        <w:rPr>
          <w:rFonts w:asciiTheme="minorHAnsi" w:hAnsiTheme="minorHAnsi"/>
        </w:rPr>
        <w:t>oboznám</w:t>
      </w:r>
      <w:r w:rsidR="00596775" w:rsidRPr="002D7A10">
        <w:rPr>
          <w:rFonts w:asciiTheme="minorHAnsi" w:hAnsiTheme="minorHAnsi"/>
        </w:rPr>
        <w:t>ili ich</w:t>
      </w:r>
      <w:r w:rsidRPr="002D7A10">
        <w:rPr>
          <w:rFonts w:asciiTheme="minorHAnsi" w:hAnsiTheme="minorHAnsi"/>
        </w:rPr>
        <w:t xml:space="preserve"> so systémom štúdia na univerzite, organizačnými a administratívnymi náležitosťami a ďalšími informáciami, ktoré im môžu byť  pri ich pobyte užitočné. </w:t>
      </w:r>
    </w:p>
    <w:p w:rsidR="00B51749" w:rsidRPr="002D7A10" w:rsidRDefault="00B51749" w:rsidP="00B51749">
      <w:pPr>
        <w:rPr>
          <w:rFonts w:asciiTheme="minorHAnsi" w:hAnsiTheme="minorHAnsi"/>
          <w:color w:val="FF0000"/>
          <w:lang w:eastAsia="cs-CZ"/>
        </w:rPr>
      </w:pPr>
    </w:p>
    <w:p w:rsidR="00B51749" w:rsidRDefault="00B51749" w:rsidP="00B51749">
      <w:pPr>
        <w:pStyle w:val="Nadpis2"/>
        <w:rPr>
          <w:rFonts w:asciiTheme="minorHAnsi" w:hAnsiTheme="minorHAnsi"/>
          <w:color w:val="auto"/>
          <w:sz w:val="24"/>
          <w:szCs w:val="24"/>
        </w:rPr>
      </w:pPr>
      <w:bookmarkStart w:id="72" w:name="_Toc349024726"/>
      <w:bookmarkStart w:id="73" w:name="_Toc448261609"/>
      <w:r w:rsidRPr="002D7A10">
        <w:rPr>
          <w:rFonts w:asciiTheme="minorHAnsi" w:hAnsiTheme="minorHAnsi"/>
          <w:color w:val="auto"/>
          <w:sz w:val="24"/>
          <w:szCs w:val="24"/>
        </w:rPr>
        <w:t>Mobility študentov a </w:t>
      </w:r>
      <w:bookmarkEnd w:id="72"/>
      <w:r w:rsidRPr="002D7A10">
        <w:rPr>
          <w:rFonts w:asciiTheme="minorHAnsi" w:hAnsiTheme="minorHAnsi"/>
          <w:color w:val="auto"/>
          <w:sz w:val="24"/>
          <w:szCs w:val="24"/>
        </w:rPr>
        <w:t>zamestnancov</w:t>
      </w:r>
      <w:bookmarkEnd w:id="73"/>
      <w:r w:rsidR="00DC7369">
        <w:rPr>
          <w:rFonts w:asciiTheme="minorHAnsi" w:hAnsiTheme="minorHAnsi"/>
          <w:color w:val="auto"/>
          <w:sz w:val="24"/>
          <w:szCs w:val="24"/>
        </w:rPr>
        <w:t xml:space="preserve"> </w:t>
      </w:r>
    </w:p>
    <w:p w:rsidR="00DC7369" w:rsidRPr="00DC7369" w:rsidRDefault="00DC7369" w:rsidP="00DC7369">
      <w:pPr>
        <w:rPr>
          <w:lang w:eastAsia="cs-CZ"/>
        </w:rPr>
      </w:pPr>
    </w:p>
    <w:p w:rsidR="00647715" w:rsidRPr="002D7A10" w:rsidRDefault="00647715" w:rsidP="00647715">
      <w:pPr>
        <w:rPr>
          <w:rFonts w:asciiTheme="minorHAnsi" w:eastAsia="Times New Roman" w:hAnsiTheme="minorHAnsi"/>
          <w:color w:val="000000"/>
          <w:lang w:eastAsia="ko-KR"/>
        </w:rPr>
      </w:pPr>
      <w:r w:rsidRPr="002D7A10">
        <w:rPr>
          <w:rFonts w:asciiTheme="minorHAnsi" w:eastAsia="Times New Roman" w:hAnsiTheme="minorHAnsi"/>
          <w:color w:val="000000"/>
          <w:lang w:eastAsia="ko-KR"/>
        </w:rPr>
        <w:t xml:space="preserve">Mobilita študentov, vysokoškolských učiteľov a výskumných pracovníkov je prínosom pre krajiny pôvodu a ich </w:t>
      </w:r>
      <w:proofErr w:type="spellStart"/>
      <w:r w:rsidRPr="002D7A10">
        <w:rPr>
          <w:rFonts w:asciiTheme="minorHAnsi" w:eastAsia="Times New Roman" w:hAnsiTheme="minorHAnsi"/>
          <w:color w:val="000000"/>
          <w:lang w:eastAsia="ko-KR"/>
        </w:rPr>
        <w:t>alma-mater</w:t>
      </w:r>
      <w:proofErr w:type="spellEnd"/>
      <w:r w:rsidRPr="002D7A10">
        <w:rPr>
          <w:rFonts w:asciiTheme="minorHAnsi" w:eastAsia="Times New Roman" w:hAnsiTheme="minorHAnsi"/>
          <w:color w:val="000000"/>
          <w:lang w:eastAsia="ko-KR"/>
        </w:rPr>
        <w:t>, ale aj pre h</w:t>
      </w:r>
      <w:r w:rsidR="00596775" w:rsidRPr="002D7A10">
        <w:rPr>
          <w:rFonts w:asciiTheme="minorHAnsi" w:eastAsia="Times New Roman" w:hAnsiTheme="minorHAnsi"/>
          <w:color w:val="000000"/>
          <w:lang w:eastAsia="ko-KR"/>
        </w:rPr>
        <w:t>ostiteľské krajiny a inštitúcie</w:t>
      </w:r>
      <w:r w:rsidRPr="002D7A10">
        <w:rPr>
          <w:rFonts w:asciiTheme="minorHAnsi" w:eastAsia="Times New Roman" w:hAnsiTheme="minorHAnsi"/>
          <w:color w:val="000000"/>
          <w:lang w:eastAsia="ko-KR"/>
        </w:rPr>
        <w:t>.</w:t>
      </w:r>
    </w:p>
    <w:p w:rsidR="00647715" w:rsidRPr="002D7A10" w:rsidRDefault="00647715" w:rsidP="00647715">
      <w:pPr>
        <w:rPr>
          <w:rFonts w:asciiTheme="minorHAnsi" w:eastAsia="Times New Roman" w:hAnsiTheme="minorHAnsi"/>
          <w:color w:val="000000"/>
          <w:lang w:eastAsia="ko-KR"/>
        </w:rPr>
      </w:pPr>
      <w:r w:rsidRPr="002D7A10">
        <w:rPr>
          <w:rFonts w:asciiTheme="minorHAnsi" w:eastAsia="Times New Roman" w:hAnsiTheme="minorHAnsi"/>
          <w:color w:val="000000"/>
          <w:lang w:eastAsia="ko-KR"/>
        </w:rPr>
        <w:t>Mobility učiteľov a výskumných za</w:t>
      </w:r>
      <w:r w:rsidR="00596775" w:rsidRPr="002D7A10">
        <w:rPr>
          <w:rFonts w:asciiTheme="minorHAnsi" w:eastAsia="Times New Roman" w:hAnsiTheme="minorHAnsi"/>
          <w:color w:val="000000"/>
          <w:lang w:eastAsia="ko-KR"/>
        </w:rPr>
        <w:t>mestnancov sú zamerané najmä na</w:t>
      </w:r>
      <w:r w:rsidRPr="002D7A10">
        <w:rPr>
          <w:rFonts w:asciiTheme="minorHAnsi" w:eastAsia="Times New Roman" w:hAnsiTheme="minorHAnsi"/>
          <w:color w:val="000000"/>
          <w:lang w:eastAsia="ko-KR"/>
        </w:rPr>
        <w:t xml:space="preserve"> výučb</w:t>
      </w:r>
      <w:r w:rsidR="00596775" w:rsidRPr="002D7A10">
        <w:rPr>
          <w:rFonts w:asciiTheme="minorHAnsi" w:eastAsia="Times New Roman" w:hAnsiTheme="minorHAnsi"/>
          <w:color w:val="000000"/>
          <w:lang w:eastAsia="ko-KR"/>
        </w:rPr>
        <w:t xml:space="preserve">u a výskum </w:t>
      </w:r>
      <w:r w:rsidRPr="002D7A10">
        <w:rPr>
          <w:rFonts w:asciiTheme="minorHAnsi" w:eastAsia="Times New Roman" w:hAnsiTheme="minorHAnsi"/>
          <w:color w:val="000000"/>
          <w:lang w:eastAsia="ko-KR"/>
        </w:rPr>
        <w:t xml:space="preserve">na partnerskej inštitúcii. V prípade mobilít administratívnych zamestnancov ide predovšetkým o školenia. </w:t>
      </w:r>
    </w:p>
    <w:p w:rsidR="00647715" w:rsidRPr="002D7A10" w:rsidRDefault="00647715" w:rsidP="00647715">
      <w:pPr>
        <w:rPr>
          <w:rFonts w:asciiTheme="minorHAnsi" w:eastAsia="Times New Roman" w:hAnsiTheme="minorHAnsi"/>
          <w:color w:val="000000"/>
          <w:lang w:eastAsia="ko-KR"/>
        </w:rPr>
      </w:pPr>
      <w:r w:rsidRPr="002D7A10">
        <w:rPr>
          <w:rFonts w:asciiTheme="minorHAnsi" w:eastAsia="Times New Roman" w:hAnsiTheme="minorHAnsi"/>
          <w:color w:val="000000"/>
          <w:lang w:eastAsia="ko-KR"/>
        </w:rPr>
        <w:t xml:space="preserve">Univerzita realizovala mobility študentov, svojich zamestnancov a prijímanie zahraničných zamestnancov prevažne cez nasledujúce medzinárodné programy: </w:t>
      </w:r>
    </w:p>
    <w:p w:rsidR="00647715" w:rsidRPr="002D7A10" w:rsidRDefault="00647715" w:rsidP="00D31559">
      <w:pPr>
        <w:numPr>
          <w:ilvl w:val="0"/>
          <w:numId w:val="22"/>
        </w:numPr>
        <w:rPr>
          <w:rFonts w:asciiTheme="minorHAnsi" w:eastAsia="Times New Roman" w:hAnsiTheme="minorHAnsi" w:cs="Arial"/>
          <w:color w:val="000000"/>
          <w:lang w:eastAsia="ko-KR"/>
        </w:rPr>
      </w:pPr>
      <w:proofErr w:type="spellStart"/>
      <w:r w:rsidRPr="002D7A10">
        <w:rPr>
          <w:rFonts w:asciiTheme="minorHAnsi" w:eastAsia="Times New Roman" w:hAnsiTheme="minorHAnsi" w:cs="Arial"/>
          <w:color w:val="000000"/>
          <w:lang w:eastAsia="ko-KR"/>
        </w:rPr>
        <w:t>Erasmus</w:t>
      </w:r>
      <w:proofErr w:type="spellEnd"/>
      <w:r w:rsidRPr="002D7A10">
        <w:rPr>
          <w:rFonts w:asciiTheme="minorHAnsi" w:eastAsia="Times New Roman" w:hAnsiTheme="minorHAnsi" w:cs="Arial"/>
          <w:color w:val="000000"/>
          <w:lang w:eastAsia="ko-KR"/>
        </w:rPr>
        <w:t>+ podporuje mobility študentov, učiteľov a zamestnancov zo zdrojov Európskej únie.</w:t>
      </w:r>
    </w:p>
    <w:p w:rsidR="00647715" w:rsidRPr="002D7A10" w:rsidRDefault="00647715" w:rsidP="00D31559">
      <w:pPr>
        <w:numPr>
          <w:ilvl w:val="0"/>
          <w:numId w:val="22"/>
        </w:numPr>
        <w:rPr>
          <w:rFonts w:asciiTheme="minorHAnsi" w:eastAsia="Times New Roman" w:hAnsiTheme="minorHAnsi" w:cs="Arial"/>
          <w:strike/>
          <w:color w:val="000000"/>
          <w:lang w:eastAsia="ko-KR"/>
        </w:rPr>
      </w:pPr>
      <w:r w:rsidRPr="002D7A10">
        <w:rPr>
          <w:rFonts w:asciiTheme="minorHAnsi" w:eastAsia="Times New Roman" w:hAnsiTheme="minorHAnsi" w:cs="Arial"/>
          <w:color w:val="000000"/>
          <w:lang w:eastAsia="ko-KR"/>
        </w:rPr>
        <w:t>Národný štipendijný program Slovenskej republiky (NŠP) – určený na podporu mobilít študentov, doktorandov, vysokoškolských učiteľov, a výskumných/umeleckých zamestnancov. Je financovaný Ministerstvom školstva, vedy, výskumu a športu SR.</w:t>
      </w:r>
    </w:p>
    <w:p w:rsidR="00647715" w:rsidRPr="002D7A10" w:rsidRDefault="00647715" w:rsidP="00D31559">
      <w:pPr>
        <w:numPr>
          <w:ilvl w:val="0"/>
          <w:numId w:val="22"/>
        </w:numPr>
        <w:rPr>
          <w:rFonts w:asciiTheme="minorHAnsi" w:eastAsia="Times New Roman" w:hAnsiTheme="minorHAnsi"/>
          <w:color w:val="000000"/>
          <w:lang w:eastAsia="ko-KR"/>
        </w:rPr>
      </w:pPr>
      <w:r w:rsidRPr="002D7A10">
        <w:rPr>
          <w:rFonts w:asciiTheme="minorHAnsi" w:eastAsia="Times New Roman" w:hAnsiTheme="minorHAnsi" w:cs="Arial"/>
          <w:color w:val="000000"/>
          <w:lang w:eastAsia="ko-KR"/>
        </w:rPr>
        <w:t>CEEPUS - stredoeurópsky výmenný program pre univerzitné štúdiá podporuje akademické mobility v strednej, východnej a juhovýchodnej Európe, prispieva k európskej integrácii a zdôrazňuje</w:t>
      </w:r>
      <w:r w:rsidRPr="002D7A10">
        <w:rPr>
          <w:rFonts w:asciiTheme="minorHAnsi" w:eastAsia="Times New Roman" w:hAnsiTheme="minorHAnsi"/>
          <w:color w:val="000000"/>
          <w:lang w:eastAsia="ko-KR"/>
        </w:rPr>
        <w:t xml:space="preserve"> regionálne špecifiká.</w:t>
      </w:r>
    </w:p>
    <w:p w:rsidR="00647715" w:rsidRPr="002D7A10" w:rsidRDefault="00647715" w:rsidP="00647715">
      <w:pPr>
        <w:rPr>
          <w:rFonts w:asciiTheme="minorHAnsi" w:eastAsia="Times New Roman" w:hAnsiTheme="minorHAnsi"/>
          <w:color w:val="000000"/>
          <w:lang w:eastAsia="ko-KR"/>
        </w:rPr>
      </w:pPr>
    </w:p>
    <w:p w:rsidR="00647715" w:rsidRPr="002D7A10" w:rsidRDefault="00647715" w:rsidP="00647715">
      <w:pPr>
        <w:rPr>
          <w:rFonts w:asciiTheme="minorHAnsi" w:eastAsia="Times New Roman" w:hAnsiTheme="minorHAnsi"/>
          <w:lang w:eastAsia="ko-KR"/>
        </w:rPr>
      </w:pPr>
      <w:r w:rsidRPr="002D7A10">
        <w:rPr>
          <w:rFonts w:asciiTheme="minorHAnsi" w:eastAsia="Times New Roman" w:hAnsiTheme="minorHAnsi"/>
          <w:color w:val="000000"/>
          <w:lang w:eastAsia="ko-KR"/>
        </w:rPr>
        <w:t xml:space="preserve">S veľkou prevahou sa realizujú mobility študentov i zamestnancov cez program </w:t>
      </w:r>
      <w:proofErr w:type="spellStart"/>
      <w:r w:rsidRPr="002D7A10">
        <w:rPr>
          <w:rFonts w:asciiTheme="minorHAnsi" w:eastAsia="Times New Roman" w:hAnsiTheme="minorHAnsi"/>
          <w:color w:val="000000"/>
          <w:lang w:eastAsia="ko-KR"/>
        </w:rPr>
        <w:t>Erasmus</w:t>
      </w:r>
      <w:proofErr w:type="spellEnd"/>
      <w:r w:rsidRPr="002D7A10">
        <w:rPr>
          <w:rFonts w:asciiTheme="minorHAnsi" w:eastAsia="Times New Roman" w:hAnsiTheme="minorHAnsi"/>
          <w:color w:val="000000"/>
          <w:lang w:eastAsia="ko-KR"/>
        </w:rPr>
        <w:t>+. Prehľad o študentských mobilitách v rámci tohto programu je v tabuľke. Viac informácií je uvedených v </w:t>
      </w:r>
      <w:r w:rsidRPr="002D7A10">
        <w:rPr>
          <w:rFonts w:asciiTheme="minorHAnsi" w:eastAsia="Times New Roman" w:hAnsiTheme="minorHAnsi"/>
          <w:lang w:eastAsia="ko-KR"/>
        </w:rPr>
        <w:t>kapitole 3 tejto výročnej správy Informácie o akademickej mobilite študentov STU.</w:t>
      </w:r>
    </w:p>
    <w:p w:rsidR="00647715" w:rsidRPr="002D7A10" w:rsidRDefault="00647715" w:rsidP="00647715">
      <w:pPr>
        <w:tabs>
          <w:tab w:val="left" w:pos="3210"/>
        </w:tabs>
        <w:rPr>
          <w:rFonts w:asciiTheme="minorHAnsi" w:eastAsia="Times New Roman" w:hAnsiTheme="minorHAnsi"/>
          <w:lang w:eastAsia="ko-KR"/>
        </w:rPr>
      </w:pPr>
      <w:r w:rsidRPr="002D7A10">
        <w:rPr>
          <w:rFonts w:asciiTheme="minorHAnsi" w:eastAsia="Times New Roman" w:hAnsiTheme="minorHAnsi"/>
          <w:lang w:eastAsia="ko-KR"/>
        </w:rPr>
        <w:tab/>
      </w:r>
    </w:p>
    <w:p w:rsidR="00647715" w:rsidRPr="00BC2677" w:rsidRDefault="00647715" w:rsidP="00647715">
      <w:pPr>
        <w:rPr>
          <w:rFonts w:asciiTheme="minorHAnsi" w:eastAsia="Times New Roman" w:hAnsiTheme="minorHAnsi"/>
          <w:b/>
          <w:sz w:val="20"/>
          <w:szCs w:val="20"/>
          <w:lang w:eastAsia="ko-KR"/>
        </w:rPr>
      </w:pPr>
      <w:r w:rsidRPr="00BC2677">
        <w:rPr>
          <w:rFonts w:asciiTheme="minorHAnsi" w:eastAsia="Times New Roman" w:hAnsiTheme="minorHAnsi"/>
          <w:b/>
          <w:sz w:val="20"/>
          <w:szCs w:val="20"/>
          <w:lang w:eastAsia="ko-KR"/>
        </w:rPr>
        <w:t xml:space="preserve">Tabuľka 11.3: Mobility študentov v rámci ERASMUS+ v akademickom roku 2014/15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149"/>
        <w:gridCol w:w="1276"/>
      </w:tblGrid>
      <w:tr w:rsidR="00647715" w:rsidRPr="00BC2677" w:rsidTr="00911364">
        <w:tc>
          <w:tcPr>
            <w:tcW w:w="2253" w:type="dxa"/>
            <w:vMerge w:val="restart"/>
            <w:shd w:val="clear" w:color="auto" w:fill="auto"/>
          </w:tcPr>
          <w:p w:rsidR="00647715" w:rsidRPr="00BC2677" w:rsidRDefault="00647715" w:rsidP="00911364">
            <w:pPr>
              <w:jc w:val="center"/>
              <w:rPr>
                <w:rFonts w:asciiTheme="minorHAnsi" w:eastAsia="Times New Roman" w:hAnsiTheme="minorHAnsi"/>
                <w:color w:val="000000"/>
                <w:sz w:val="20"/>
                <w:szCs w:val="20"/>
                <w:lang w:eastAsia="ko-KR"/>
              </w:rPr>
            </w:pPr>
            <w:r w:rsidRPr="00BC2677">
              <w:rPr>
                <w:rFonts w:asciiTheme="minorHAnsi" w:eastAsia="Times New Roman" w:hAnsiTheme="minorHAnsi"/>
                <w:b/>
                <w:color w:val="000000"/>
                <w:sz w:val="20"/>
                <w:szCs w:val="20"/>
                <w:lang w:eastAsia="ko-KR"/>
              </w:rPr>
              <w:t>STU</w:t>
            </w:r>
          </w:p>
        </w:tc>
        <w:tc>
          <w:tcPr>
            <w:tcW w:w="2425" w:type="dxa"/>
            <w:gridSpan w:val="2"/>
            <w:shd w:val="clear" w:color="auto" w:fill="auto"/>
          </w:tcPr>
          <w:p w:rsidR="00647715" w:rsidRPr="00BC2677" w:rsidRDefault="00647715" w:rsidP="00911364">
            <w:pPr>
              <w:jc w:val="center"/>
              <w:rPr>
                <w:rFonts w:asciiTheme="minorHAnsi" w:eastAsia="Times New Roman" w:hAnsiTheme="minorHAnsi"/>
                <w:color w:val="000000"/>
                <w:sz w:val="20"/>
                <w:szCs w:val="20"/>
                <w:lang w:eastAsia="ko-KR"/>
              </w:rPr>
            </w:pPr>
            <w:r w:rsidRPr="00BC2677">
              <w:rPr>
                <w:rFonts w:asciiTheme="minorHAnsi" w:eastAsia="Times New Roman" w:hAnsiTheme="minorHAnsi"/>
                <w:b/>
                <w:color w:val="000000"/>
                <w:sz w:val="20"/>
                <w:szCs w:val="20"/>
                <w:lang w:eastAsia="ko-KR"/>
              </w:rPr>
              <w:t>ERASMUS</w:t>
            </w:r>
          </w:p>
        </w:tc>
      </w:tr>
      <w:tr w:rsidR="00647715" w:rsidRPr="00BC2677" w:rsidTr="00911364">
        <w:tc>
          <w:tcPr>
            <w:tcW w:w="2253" w:type="dxa"/>
            <w:vMerge/>
            <w:shd w:val="clear" w:color="auto" w:fill="auto"/>
          </w:tcPr>
          <w:p w:rsidR="00647715" w:rsidRPr="00BC2677" w:rsidRDefault="00647715" w:rsidP="00911364">
            <w:pPr>
              <w:jc w:val="center"/>
              <w:rPr>
                <w:rFonts w:asciiTheme="minorHAnsi" w:eastAsia="Times New Roman" w:hAnsiTheme="minorHAnsi"/>
                <w:color w:val="000000"/>
                <w:sz w:val="20"/>
                <w:szCs w:val="20"/>
                <w:lang w:eastAsia="ko-KR"/>
              </w:rPr>
            </w:pPr>
          </w:p>
        </w:tc>
        <w:tc>
          <w:tcPr>
            <w:tcW w:w="1149" w:type="dxa"/>
            <w:shd w:val="clear" w:color="auto" w:fill="auto"/>
          </w:tcPr>
          <w:p w:rsidR="00647715" w:rsidRPr="00BC2677" w:rsidRDefault="00647715" w:rsidP="00911364">
            <w:pPr>
              <w:jc w:val="center"/>
              <w:rPr>
                <w:rFonts w:asciiTheme="minorHAnsi" w:eastAsia="Times New Roman" w:hAnsiTheme="minorHAnsi"/>
                <w:color w:val="000000"/>
                <w:sz w:val="20"/>
                <w:szCs w:val="20"/>
                <w:lang w:eastAsia="ko-KR"/>
              </w:rPr>
            </w:pPr>
            <w:r w:rsidRPr="00BC2677">
              <w:rPr>
                <w:rFonts w:asciiTheme="minorHAnsi" w:eastAsia="Times New Roman" w:hAnsiTheme="minorHAnsi"/>
                <w:b/>
                <w:color w:val="000000"/>
                <w:sz w:val="20"/>
                <w:szCs w:val="20"/>
                <w:lang w:eastAsia="ko-KR"/>
              </w:rPr>
              <w:t>Vyslaní</w:t>
            </w:r>
          </w:p>
        </w:tc>
        <w:tc>
          <w:tcPr>
            <w:tcW w:w="1276" w:type="dxa"/>
            <w:shd w:val="clear" w:color="auto" w:fill="auto"/>
          </w:tcPr>
          <w:p w:rsidR="00647715" w:rsidRPr="00BC2677" w:rsidRDefault="00647715" w:rsidP="00911364">
            <w:pPr>
              <w:jc w:val="center"/>
              <w:rPr>
                <w:rFonts w:asciiTheme="minorHAnsi" w:eastAsia="Times New Roman" w:hAnsiTheme="minorHAnsi"/>
                <w:color w:val="000000"/>
                <w:sz w:val="20"/>
                <w:szCs w:val="20"/>
                <w:lang w:eastAsia="ko-KR"/>
              </w:rPr>
            </w:pPr>
            <w:r w:rsidRPr="00BC2677">
              <w:rPr>
                <w:rFonts w:asciiTheme="minorHAnsi" w:eastAsia="Times New Roman" w:hAnsiTheme="minorHAnsi"/>
                <w:b/>
                <w:color w:val="000000"/>
                <w:sz w:val="20"/>
                <w:szCs w:val="20"/>
                <w:lang w:eastAsia="ko-KR"/>
              </w:rPr>
              <w:t>Prijatí</w:t>
            </w:r>
          </w:p>
        </w:tc>
      </w:tr>
      <w:tr w:rsidR="00647715" w:rsidRPr="00BC2677" w:rsidTr="00911364">
        <w:tc>
          <w:tcPr>
            <w:tcW w:w="2253" w:type="dxa"/>
            <w:shd w:val="clear" w:color="auto" w:fill="auto"/>
          </w:tcPr>
          <w:p w:rsidR="00647715" w:rsidRPr="00BC2677" w:rsidRDefault="00647715" w:rsidP="00911364">
            <w:pPr>
              <w:jc w:val="center"/>
              <w:rPr>
                <w:rFonts w:asciiTheme="minorHAnsi" w:hAnsiTheme="minorHAnsi"/>
                <w:color w:val="000000"/>
                <w:sz w:val="20"/>
                <w:szCs w:val="20"/>
                <w:lang w:eastAsia="sk-SK"/>
              </w:rPr>
            </w:pPr>
            <w:r w:rsidRPr="00BC2677">
              <w:rPr>
                <w:rFonts w:asciiTheme="minorHAnsi" w:hAnsiTheme="minorHAnsi"/>
                <w:b/>
                <w:bCs/>
                <w:color w:val="000000"/>
                <w:sz w:val="20"/>
                <w:szCs w:val="20"/>
                <w:lang w:eastAsia="sk-SK"/>
              </w:rPr>
              <w:t>SvF</w:t>
            </w:r>
          </w:p>
        </w:tc>
        <w:tc>
          <w:tcPr>
            <w:tcW w:w="1149"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84</w:t>
            </w:r>
          </w:p>
        </w:tc>
        <w:tc>
          <w:tcPr>
            <w:tcW w:w="1276"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32</w:t>
            </w:r>
          </w:p>
        </w:tc>
      </w:tr>
      <w:tr w:rsidR="00647715" w:rsidRPr="00BC2677" w:rsidTr="00911364">
        <w:tc>
          <w:tcPr>
            <w:tcW w:w="2253" w:type="dxa"/>
            <w:shd w:val="clear" w:color="auto" w:fill="auto"/>
          </w:tcPr>
          <w:p w:rsidR="00647715" w:rsidRPr="00BC2677" w:rsidRDefault="00647715" w:rsidP="00911364">
            <w:pPr>
              <w:jc w:val="center"/>
              <w:rPr>
                <w:rFonts w:asciiTheme="minorHAnsi" w:hAnsiTheme="minorHAnsi"/>
                <w:color w:val="000000"/>
                <w:sz w:val="20"/>
                <w:szCs w:val="20"/>
                <w:lang w:eastAsia="sk-SK"/>
              </w:rPr>
            </w:pPr>
            <w:r w:rsidRPr="00BC2677">
              <w:rPr>
                <w:rFonts w:asciiTheme="minorHAnsi" w:hAnsiTheme="minorHAnsi"/>
                <w:b/>
                <w:bCs/>
                <w:color w:val="000000"/>
                <w:sz w:val="20"/>
                <w:szCs w:val="20"/>
                <w:lang w:eastAsia="sk-SK"/>
              </w:rPr>
              <w:t>SjF</w:t>
            </w:r>
          </w:p>
        </w:tc>
        <w:tc>
          <w:tcPr>
            <w:tcW w:w="1149"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29</w:t>
            </w:r>
          </w:p>
        </w:tc>
        <w:tc>
          <w:tcPr>
            <w:tcW w:w="1276"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11</w:t>
            </w:r>
          </w:p>
        </w:tc>
      </w:tr>
      <w:tr w:rsidR="00647715" w:rsidRPr="00BC2677" w:rsidTr="00911364">
        <w:tc>
          <w:tcPr>
            <w:tcW w:w="2253" w:type="dxa"/>
            <w:shd w:val="clear" w:color="auto" w:fill="auto"/>
          </w:tcPr>
          <w:p w:rsidR="00647715" w:rsidRPr="00BC2677" w:rsidRDefault="00647715" w:rsidP="00911364">
            <w:pPr>
              <w:jc w:val="center"/>
              <w:rPr>
                <w:rFonts w:asciiTheme="minorHAnsi" w:hAnsiTheme="minorHAnsi"/>
                <w:color w:val="000000"/>
                <w:sz w:val="20"/>
                <w:szCs w:val="20"/>
                <w:lang w:eastAsia="sk-SK"/>
              </w:rPr>
            </w:pPr>
            <w:r w:rsidRPr="00BC2677">
              <w:rPr>
                <w:rFonts w:asciiTheme="minorHAnsi" w:hAnsiTheme="minorHAnsi"/>
                <w:b/>
                <w:bCs/>
                <w:color w:val="000000"/>
                <w:sz w:val="20"/>
                <w:szCs w:val="20"/>
                <w:lang w:eastAsia="sk-SK"/>
              </w:rPr>
              <w:t>FEI</w:t>
            </w:r>
          </w:p>
        </w:tc>
        <w:tc>
          <w:tcPr>
            <w:tcW w:w="1149"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23</w:t>
            </w:r>
          </w:p>
        </w:tc>
        <w:tc>
          <w:tcPr>
            <w:tcW w:w="1276"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11</w:t>
            </w:r>
          </w:p>
        </w:tc>
      </w:tr>
      <w:tr w:rsidR="00647715" w:rsidRPr="00BC2677" w:rsidTr="00911364">
        <w:tc>
          <w:tcPr>
            <w:tcW w:w="2253" w:type="dxa"/>
            <w:shd w:val="clear" w:color="auto" w:fill="auto"/>
          </w:tcPr>
          <w:p w:rsidR="00647715" w:rsidRPr="00BC2677" w:rsidRDefault="00647715" w:rsidP="00911364">
            <w:pPr>
              <w:jc w:val="center"/>
              <w:rPr>
                <w:rFonts w:asciiTheme="minorHAnsi" w:hAnsiTheme="minorHAnsi"/>
                <w:color w:val="000000"/>
                <w:sz w:val="20"/>
                <w:szCs w:val="20"/>
                <w:lang w:eastAsia="sk-SK"/>
              </w:rPr>
            </w:pPr>
            <w:r w:rsidRPr="00BC2677">
              <w:rPr>
                <w:rFonts w:asciiTheme="minorHAnsi" w:hAnsiTheme="minorHAnsi"/>
                <w:b/>
                <w:bCs/>
                <w:color w:val="000000"/>
                <w:sz w:val="20"/>
                <w:szCs w:val="20"/>
                <w:lang w:eastAsia="sk-SK"/>
              </w:rPr>
              <w:t>FCHPT</w:t>
            </w:r>
          </w:p>
        </w:tc>
        <w:tc>
          <w:tcPr>
            <w:tcW w:w="1149"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24</w:t>
            </w:r>
          </w:p>
        </w:tc>
        <w:tc>
          <w:tcPr>
            <w:tcW w:w="1276"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13</w:t>
            </w:r>
          </w:p>
        </w:tc>
      </w:tr>
      <w:tr w:rsidR="00647715" w:rsidRPr="00BC2677" w:rsidTr="00911364">
        <w:tc>
          <w:tcPr>
            <w:tcW w:w="2253" w:type="dxa"/>
            <w:shd w:val="clear" w:color="auto" w:fill="auto"/>
          </w:tcPr>
          <w:p w:rsidR="00647715" w:rsidRPr="00BC2677" w:rsidRDefault="00647715" w:rsidP="00911364">
            <w:pPr>
              <w:jc w:val="center"/>
              <w:rPr>
                <w:rFonts w:asciiTheme="minorHAnsi" w:hAnsiTheme="minorHAnsi"/>
                <w:color w:val="000000"/>
                <w:sz w:val="20"/>
                <w:szCs w:val="20"/>
                <w:lang w:eastAsia="sk-SK"/>
              </w:rPr>
            </w:pPr>
            <w:r w:rsidRPr="00BC2677">
              <w:rPr>
                <w:rFonts w:asciiTheme="minorHAnsi" w:hAnsiTheme="minorHAnsi"/>
                <w:b/>
                <w:bCs/>
                <w:color w:val="000000"/>
                <w:sz w:val="20"/>
                <w:szCs w:val="20"/>
                <w:lang w:eastAsia="sk-SK"/>
              </w:rPr>
              <w:t>FA</w:t>
            </w:r>
          </w:p>
        </w:tc>
        <w:tc>
          <w:tcPr>
            <w:tcW w:w="1149"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111</w:t>
            </w:r>
          </w:p>
        </w:tc>
        <w:tc>
          <w:tcPr>
            <w:tcW w:w="1276"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25</w:t>
            </w:r>
          </w:p>
        </w:tc>
      </w:tr>
      <w:tr w:rsidR="00647715" w:rsidRPr="00BC2677" w:rsidTr="00911364">
        <w:tc>
          <w:tcPr>
            <w:tcW w:w="2253" w:type="dxa"/>
            <w:shd w:val="clear" w:color="auto" w:fill="auto"/>
          </w:tcPr>
          <w:p w:rsidR="00647715" w:rsidRPr="00BC2677" w:rsidRDefault="00647715" w:rsidP="00911364">
            <w:pPr>
              <w:jc w:val="center"/>
              <w:rPr>
                <w:rFonts w:asciiTheme="minorHAnsi" w:hAnsiTheme="minorHAnsi"/>
                <w:color w:val="000000"/>
                <w:sz w:val="20"/>
                <w:szCs w:val="20"/>
                <w:lang w:eastAsia="sk-SK"/>
              </w:rPr>
            </w:pPr>
            <w:r w:rsidRPr="00BC2677">
              <w:rPr>
                <w:rFonts w:asciiTheme="minorHAnsi" w:hAnsiTheme="minorHAnsi"/>
                <w:b/>
                <w:bCs/>
                <w:color w:val="000000"/>
                <w:sz w:val="20"/>
                <w:szCs w:val="20"/>
                <w:lang w:eastAsia="sk-SK"/>
              </w:rPr>
              <w:t>MTF</w:t>
            </w:r>
          </w:p>
        </w:tc>
        <w:tc>
          <w:tcPr>
            <w:tcW w:w="1149"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13</w:t>
            </w:r>
          </w:p>
        </w:tc>
        <w:tc>
          <w:tcPr>
            <w:tcW w:w="1276"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2</w:t>
            </w:r>
          </w:p>
        </w:tc>
      </w:tr>
      <w:tr w:rsidR="00647715" w:rsidRPr="00BC2677" w:rsidTr="00911364">
        <w:tc>
          <w:tcPr>
            <w:tcW w:w="2253" w:type="dxa"/>
            <w:shd w:val="clear" w:color="auto" w:fill="auto"/>
          </w:tcPr>
          <w:p w:rsidR="00647715" w:rsidRPr="00BC2677" w:rsidRDefault="00647715" w:rsidP="00911364">
            <w:pPr>
              <w:jc w:val="center"/>
              <w:rPr>
                <w:rFonts w:asciiTheme="minorHAnsi" w:hAnsiTheme="minorHAnsi"/>
                <w:color w:val="000000"/>
                <w:sz w:val="20"/>
                <w:szCs w:val="20"/>
                <w:lang w:eastAsia="sk-SK"/>
              </w:rPr>
            </w:pPr>
            <w:r w:rsidRPr="00BC2677">
              <w:rPr>
                <w:rFonts w:asciiTheme="minorHAnsi" w:hAnsiTheme="minorHAnsi"/>
                <w:b/>
                <w:bCs/>
                <w:color w:val="000000"/>
                <w:sz w:val="20"/>
                <w:szCs w:val="20"/>
                <w:lang w:eastAsia="sk-SK"/>
              </w:rPr>
              <w:t>FIIT</w:t>
            </w:r>
          </w:p>
        </w:tc>
        <w:tc>
          <w:tcPr>
            <w:tcW w:w="1149"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12</w:t>
            </w:r>
          </w:p>
        </w:tc>
        <w:tc>
          <w:tcPr>
            <w:tcW w:w="1276"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2</w:t>
            </w:r>
          </w:p>
        </w:tc>
      </w:tr>
      <w:tr w:rsidR="00647715" w:rsidRPr="00BC2677" w:rsidTr="00911364">
        <w:tc>
          <w:tcPr>
            <w:tcW w:w="2253" w:type="dxa"/>
            <w:shd w:val="clear" w:color="auto" w:fill="auto"/>
          </w:tcPr>
          <w:p w:rsidR="00647715" w:rsidRPr="00BC2677" w:rsidRDefault="00647715" w:rsidP="00911364">
            <w:pPr>
              <w:jc w:val="center"/>
              <w:rPr>
                <w:rFonts w:asciiTheme="minorHAnsi" w:hAnsiTheme="minorHAnsi"/>
                <w:color w:val="000000"/>
                <w:sz w:val="20"/>
                <w:szCs w:val="20"/>
                <w:lang w:eastAsia="sk-SK"/>
              </w:rPr>
            </w:pPr>
            <w:r w:rsidRPr="00BC2677">
              <w:rPr>
                <w:rFonts w:asciiTheme="minorHAnsi" w:hAnsiTheme="minorHAnsi"/>
                <w:b/>
                <w:bCs/>
                <w:color w:val="000000"/>
                <w:sz w:val="20"/>
                <w:szCs w:val="20"/>
                <w:lang w:eastAsia="sk-SK"/>
              </w:rPr>
              <w:t>ÚM</w:t>
            </w:r>
          </w:p>
        </w:tc>
        <w:tc>
          <w:tcPr>
            <w:tcW w:w="1149"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9</w:t>
            </w:r>
          </w:p>
        </w:tc>
        <w:tc>
          <w:tcPr>
            <w:tcW w:w="1276" w:type="dxa"/>
            <w:shd w:val="clear" w:color="auto" w:fill="auto"/>
          </w:tcPr>
          <w:p w:rsidR="00647715" w:rsidRPr="00BC2677" w:rsidRDefault="00647715" w:rsidP="00911364">
            <w:pPr>
              <w:jc w:val="center"/>
              <w:rPr>
                <w:rFonts w:asciiTheme="minorHAnsi" w:eastAsia="Times New Roman" w:hAnsiTheme="minorHAnsi"/>
                <w:color w:val="000000" w:themeColor="text1"/>
                <w:sz w:val="20"/>
                <w:szCs w:val="20"/>
                <w:lang w:eastAsia="ko-KR"/>
              </w:rPr>
            </w:pPr>
            <w:r w:rsidRPr="00BC2677">
              <w:rPr>
                <w:rFonts w:asciiTheme="minorHAnsi" w:eastAsia="Times New Roman" w:hAnsiTheme="minorHAnsi"/>
                <w:color w:val="000000" w:themeColor="text1"/>
                <w:sz w:val="20"/>
                <w:szCs w:val="20"/>
                <w:lang w:eastAsia="ko-KR"/>
              </w:rPr>
              <w:t>4</w:t>
            </w:r>
          </w:p>
        </w:tc>
      </w:tr>
      <w:tr w:rsidR="00647715" w:rsidRPr="00BC2677" w:rsidTr="00911364">
        <w:tc>
          <w:tcPr>
            <w:tcW w:w="2253" w:type="dxa"/>
            <w:shd w:val="clear" w:color="auto" w:fill="auto"/>
          </w:tcPr>
          <w:p w:rsidR="00647715" w:rsidRPr="00BC2677" w:rsidRDefault="00647715" w:rsidP="00911364">
            <w:pPr>
              <w:jc w:val="center"/>
              <w:rPr>
                <w:rFonts w:asciiTheme="minorHAnsi" w:hAnsiTheme="minorHAnsi"/>
                <w:color w:val="000000"/>
                <w:sz w:val="20"/>
                <w:szCs w:val="20"/>
                <w:lang w:eastAsia="sk-SK"/>
              </w:rPr>
            </w:pPr>
            <w:r w:rsidRPr="00BC2677">
              <w:rPr>
                <w:rFonts w:asciiTheme="minorHAnsi" w:hAnsiTheme="minorHAnsi"/>
                <w:b/>
                <w:bCs/>
                <w:color w:val="000000"/>
                <w:sz w:val="20"/>
                <w:szCs w:val="20"/>
                <w:lang w:eastAsia="sk-SK"/>
              </w:rPr>
              <w:t>Spolu</w:t>
            </w:r>
          </w:p>
        </w:tc>
        <w:tc>
          <w:tcPr>
            <w:tcW w:w="1149" w:type="dxa"/>
            <w:shd w:val="clear" w:color="auto" w:fill="auto"/>
          </w:tcPr>
          <w:p w:rsidR="00647715" w:rsidRPr="00BC2677" w:rsidRDefault="00647715" w:rsidP="00911364">
            <w:pPr>
              <w:jc w:val="center"/>
              <w:rPr>
                <w:rFonts w:asciiTheme="minorHAnsi" w:eastAsia="Times New Roman" w:hAnsiTheme="minorHAnsi"/>
                <w:b/>
                <w:color w:val="000000" w:themeColor="text1"/>
                <w:sz w:val="20"/>
                <w:szCs w:val="20"/>
                <w:lang w:eastAsia="ko-KR"/>
              </w:rPr>
            </w:pPr>
            <w:r w:rsidRPr="00BC2677">
              <w:rPr>
                <w:rFonts w:asciiTheme="minorHAnsi" w:eastAsia="Times New Roman" w:hAnsiTheme="minorHAnsi"/>
                <w:b/>
                <w:color w:val="000000" w:themeColor="text1"/>
                <w:sz w:val="20"/>
                <w:szCs w:val="20"/>
                <w:lang w:eastAsia="ko-KR"/>
              </w:rPr>
              <w:t>305</w:t>
            </w:r>
          </w:p>
        </w:tc>
        <w:tc>
          <w:tcPr>
            <w:tcW w:w="1276" w:type="dxa"/>
            <w:shd w:val="clear" w:color="auto" w:fill="auto"/>
          </w:tcPr>
          <w:p w:rsidR="00647715" w:rsidRPr="00BC2677" w:rsidRDefault="00647715" w:rsidP="00911364">
            <w:pPr>
              <w:jc w:val="center"/>
              <w:rPr>
                <w:rFonts w:asciiTheme="minorHAnsi" w:eastAsia="Times New Roman" w:hAnsiTheme="minorHAnsi"/>
                <w:b/>
                <w:color w:val="000000" w:themeColor="text1"/>
                <w:sz w:val="20"/>
                <w:szCs w:val="20"/>
                <w:lang w:eastAsia="ko-KR"/>
              </w:rPr>
            </w:pPr>
            <w:r w:rsidRPr="00BC2677">
              <w:rPr>
                <w:rFonts w:asciiTheme="minorHAnsi" w:eastAsia="Times New Roman" w:hAnsiTheme="minorHAnsi"/>
                <w:b/>
                <w:color w:val="000000" w:themeColor="text1"/>
                <w:sz w:val="20"/>
                <w:szCs w:val="20"/>
                <w:lang w:eastAsia="ko-KR"/>
              </w:rPr>
              <w:t>100</w:t>
            </w:r>
          </w:p>
        </w:tc>
      </w:tr>
    </w:tbl>
    <w:p w:rsidR="00647715" w:rsidRPr="00BC2677" w:rsidRDefault="00647715" w:rsidP="00647715">
      <w:pPr>
        <w:rPr>
          <w:rFonts w:asciiTheme="minorHAnsi" w:eastAsia="Times New Roman" w:hAnsiTheme="minorHAnsi"/>
          <w:color w:val="FF0000"/>
          <w:sz w:val="20"/>
          <w:szCs w:val="20"/>
          <w:lang w:eastAsia="ko-KR"/>
        </w:rPr>
      </w:pPr>
    </w:p>
    <w:p w:rsidR="00B51749" w:rsidRPr="002D7A10" w:rsidRDefault="00B51749" w:rsidP="00B51749">
      <w:pPr>
        <w:pStyle w:val="Zkladntext2"/>
        <w:rPr>
          <w:rFonts w:asciiTheme="minorHAnsi" w:hAnsiTheme="minorHAnsi"/>
          <w:color w:val="FF0000"/>
          <w:sz w:val="24"/>
          <w:szCs w:val="24"/>
        </w:rPr>
      </w:pPr>
    </w:p>
    <w:p w:rsidR="00B51749" w:rsidRPr="002D7A10" w:rsidRDefault="00B51749" w:rsidP="00B51749">
      <w:pPr>
        <w:pStyle w:val="Nadpis2"/>
        <w:rPr>
          <w:rFonts w:asciiTheme="minorHAnsi" w:hAnsiTheme="minorHAnsi"/>
          <w:color w:val="auto"/>
          <w:sz w:val="24"/>
          <w:szCs w:val="24"/>
        </w:rPr>
      </w:pPr>
      <w:r w:rsidRPr="002D7A10">
        <w:rPr>
          <w:rFonts w:asciiTheme="minorHAnsi" w:hAnsiTheme="minorHAnsi"/>
          <w:color w:val="FF0000"/>
          <w:sz w:val="24"/>
          <w:szCs w:val="24"/>
        </w:rPr>
        <w:t xml:space="preserve"> </w:t>
      </w:r>
      <w:bookmarkStart w:id="74" w:name="_Toc448261610"/>
      <w:r w:rsidRPr="002D7A10">
        <w:rPr>
          <w:rFonts w:asciiTheme="minorHAnsi" w:hAnsiTheme="minorHAnsi"/>
          <w:color w:val="auto"/>
          <w:sz w:val="24"/>
          <w:szCs w:val="24"/>
        </w:rPr>
        <w:t>Pôsobenie STU v medzinárodných organizáciách a sieťach</w:t>
      </w:r>
      <w:bookmarkEnd w:id="74"/>
      <w:r w:rsidRPr="002D7A10">
        <w:rPr>
          <w:rFonts w:asciiTheme="minorHAnsi" w:hAnsiTheme="minorHAnsi"/>
          <w:color w:val="auto"/>
          <w:sz w:val="24"/>
          <w:szCs w:val="24"/>
        </w:rPr>
        <w:t xml:space="preserve"> </w:t>
      </w:r>
    </w:p>
    <w:p w:rsidR="00647715" w:rsidRPr="002D7A10" w:rsidRDefault="00647715" w:rsidP="00647715">
      <w:pPr>
        <w:spacing w:line="223" w:lineRule="auto"/>
        <w:rPr>
          <w:rFonts w:asciiTheme="minorHAnsi" w:eastAsia="Times New Roman" w:hAnsiTheme="minorHAnsi"/>
          <w:color w:val="000000"/>
          <w:lang w:eastAsia="sk-SK"/>
        </w:rPr>
      </w:pPr>
      <w:r w:rsidRPr="002D7A10">
        <w:rPr>
          <w:rFonts w:asciiTheme="minorHAnsi" w:hAnsiTheme="minorHAnsi"/>
        </w:rPr>
        <w:t>Slovenská technická univerzita v Bratislave a jej jednotlivé súčasti - fakulty, ústav a jednotliví zamestnanci</w:t>
      </w:r>
      <w:r w:rsidR="00596775" w:rsidRPr="002D7A10">
        <w:rPr>
          <w:rFonts w:asciiTheme="minorHAnsi" w:hAnsiTheme="minorHAnsi"/>
        </w:rPr>
        <w:t>,</w:t>
      </w:r>
      <w:r w:rsidRPr="002D7A10">
        <w:rPr>
          <w:rFonts w:asciiTheme="minorHAnsi" w:hAnsiTheme="minorHAnsi"/>
        </w:rPr>
        <w:t xml:space="preserve"> sa podieľajú na medzinárodnej spolupráci pôsobením vo významných európskych a svetových odborných, vedeckých, technických, umeleckých organizáciách, sieťach a združeniach s cieľom vytvárania spoločného európskeho priestoru a zviditeľnenia univerzity v európskom i svetovom kontexte. S rastúcou mierou globalizácie rastie aj význam spolupráce univerzity so zahraničnými akademickými inštitúciami. Aj členstvom v medzinárodne uznávaných organizáciách a združeniach sa vytvára platforma pre pozitívnu propagáciu STU v globálnom kontexte. Je to jeden z prostriedkov na získavanie nových informácií a budovanie kontaktov pre zapojenie sa do ďalších, medzinárodných aktivít.</w:t>
      </w:r>
    </w:p>
    <w:p w:rsidR="00647715" w:rsidRPr="002D7A10" w:rsidRDefault="00647715" w:rsidP="00647715">
      <w:pPr>
        <w:spacing w:line="223" w:lineRule="auto"/>
        <w:rPr>
          <w:rFonts w:asciiTheme="minorHAnsi" w:eastAsia="Times New Roman" w:hAnsiTheme="minorHAnsi"/>
          <w:color w:val="000000"/>
          <w:lang w:eastAsia="sk-SK"/>
        </w:rPr>
      </w:pPr>
    </w:p>
    <w:p w:rsidR="00647715" w:rsidRPr="002D7A10" w:rsidRDefault="00647715" w:rsidP="00647715">
      <w:pPr>
        <w:spacing w:line="223" w:lineRule="auto"/>
        <w:rPr>
          <w:rFonts w:asciiTheme="minorHAnsi" w:eastAsia="Times New Roman" w:hAnsiTheme="minorHAnsi"/>
          <w:lang w:eastAsia="sk-SK"/>
        </w:rPr>
      </w:pPr>
      <w:r w:rsidRPr="002D7A10">
        <w:rPr>
          <w:rFonts w:asciiTheme="minorHAnsi" w:eastAsia="Times New Roman" w:hAnsiTheme="minorHAnsi"/>
          <w:lang w:eastAsia="sk-SK"/>
        </w:rPr>
        <w:t xml:space="preserve">STU je inštitucionálny člen v nasledujúcich organizáciách: </w:t>
      </w:r>
    </w:p>
    <w:p w:rsidR="00647715" w:rsidRPr="002D7A10" w:rsidRDefault="00647715" w:rsidP="00D31559">
      <w:pPr>
        <w:numPr>
          <w:ilvl w:val="0"/>
          <w:numId w:val="9"/>
        </w:numPr>
        <w:rPr>
          <w:rFonts w:asciiTheme="minorHAnsi" w:eastAsia="Times New Roman" w:hAnsiTheme="minorHAnsi"/>
          <w:lang w:eastAsia="sk-SK"/>
        </w:rPr>
      </w:pPr>
      <w:proofErr w:type="spellStart"/>
      <w:r w:rsidRPr="002D7A10">
        <w:rPr>
          <w:rFonts w:asciiTheme="minorHAnsi" w:eastAsia="Times New Roman" w:hAnsiTheme="minorHAnsi"/>
          <w:lang w:eastAsia="sk-SK"/>
        </w:rPr>
        <w:t>European</w:t>
      </w:r>
      <w:proofErr w:type="spellEnd"/>
      <w:r w:rsidRPr="002D7A10">
        <w:rPr>
          <w:rFonts w:asciiTheme="minorHAnsi" w:eastAsia="Times New Roman" w:hAnsiTheme="minorHAnsi"/>
          <w:lang w:eastAsia="sk-SK"/>
        </w:rPr>
        <w:t xml:space="preserve"> </w:t>
      </w:r>
      <w:proofErr w:type="spellStart"/>
      <w:r w:rsidRPr="002D7A10">
        <w:rPr>
          <w:rFonts w:asciiTheme="minorHAnsi" w:eastAsia="Times New Roman" w:hAnsiTheme="minorHAnsi"/>
          <w:lang w:eastAsia="sk-SK"/>
        </w:rPr>
        <w:t>University</w:t>
      </w:r>
      <w:proofErr w:type="spellEnd"/>
      <w:r w:rsidRPr="002D7A10">
        <w:rPr>
          <w:rFonts w:asciiTheme="minorHAnsi" w:eastAsia="Times New Roman" w:hAnsiTheme="minorHAnsi"/>
          <w:lang w:eastAsia="sk-SK"/>
        </w:rPr>
        <w:t xml:space="preserve"> </w:t>
      </w:r>
      <w:proofErr w:type="spellStart"/>
      <w:r w:rsidRPr="002D7A10">
        <w:rPr>
          <w:rFonts w:asciiTheme="minorHAnsi" w:eastAsia="Times New Roman" w:hAnsiTheme="minorHAnsi"/>
          <w:lang w:eastAsia="sk-SK"/>
        </w:rPr>
        <w:t>Association</w:t>
      </w:r>
      <w:proofErr w:type="spellEnd"/>
      <w:r w:rsidRPr="002D7A10">
        <w:rPr>
          <w:rFonts w:asciiTheme="minorHAnsi" w:eastAsia="Times New Roman" w:hAnsiTheme="minorHAnsi"/>
          <w:lang w:eastAsia="sk-SK"/>
        </w:rPr>
        <w:t xml:space="preserve"> (EUA) </w:t>
      </w:r>
    </w:p>
    <w:p w:rsidR="00647715" w:rsidRPr="002D7A10" w:rsidRDefault="00647715" w:rsidP="00647715">
      <w:pPr>
        <w:spacing w:line="223" w:lineRule="auto"/>
        <w:ind w:left="170"/>
        <w:rPr>
          <w:rFonts w:asciiTheme="minorHAnsi" w:eastAsia="Times New Roman" w:hAnsiTheme="minorHAnsi"/>
          <w:lang w:eastAsia="sk-SK"/>
        </w:rPr>
      </w:pPr>
      <w:r w:rsidRPr="002D7A10">
        <w:rPr>
          <w:rFonts w:asciiTheme="minorHAnsi" w:eastAsia="Times New Roman" w:hAnsiTheme="minorHAnsi"/>
          <w:lang w:eastAsia="sk-SK"/>
        </w:rPr>
        <w:t xml:space="preserve">Patrí k najvýznamnejším organizáciám ovplyvňujúcim vysokoškolskú a vedeckú politiku Európskej únie. </w:t>
      </w:r>
      <w:r w:rsidR="00DC7369">
        <w:rPr>
          <w:rFonts w:asciiTheme="minorHAnsi" w:eastAsia="Times New Roman" w:hAnsiTheme="minorHAnsi"/>
          <w:lang w:eastAsia="sk-SK"/>
        </w:rPr>
        <w:t>P</w:t>
      </w:r>
      <w:r w:rsidRPr="002D7A10">
        <w:rPr>
          <w:rFonts w:asciiTheme="minorHAnsi" w:eastAsia="Times New Roman" w:hAnsiTheme="minorHAnsi"/>
          <w:lang w:eastAsia="sk-SK"/>
        </w:rPr>
        <w:t>oskytuje jedinečné odborné hodnotenie vysokoškolského vzdelávania a vedy, ako i platformu na výmenu skúseností, predstáv a vízií smerovania v predmetnej oblasti. STU je jej dlhoročným členom.</w:t>
      </w:r>
    </w:p>
    <w:p w:rsidR="00647715" w:rsidRPr="002D7A10" w:rsidRDefault="00647715" w:rsidP="00D31559">
      <w:pPr>
        <w:numPr>
          <w:ilvl w:val="0"/>
          <w:numId w:val="9"/>
        </w:numPr>
        <w:rPr>
          <w:rFonts w:asciiTheme="minorHAnsi" w:eastAsia="Times New Roman" w:hAnsiTheme="minorHAnsi"/>
          <w:lang w:eastAsia="sk-SK"/>
        </w:rPr>
      </w:pPr>
      <w:proofErr w:type="spellStart"/>
      <w:r w:rsidRPr="002D7A10">
        <w:rPr>
          <w:rFonts w:asciiTheme="minorHAnsi" w:eastAsia="Times New Roman" w:hAnsiTheme="minorHAnsi"/>
          <w:lang w:eastAsia="sk-SK"/>
        </w:rPr>
        <w:t>European</w:t>
      </w:r>
      <w:proofErr w:type="spellEnd"/>
      <w:r w:rsidRPr="002D7A10">
        <w:rPr>
          <w:rFonts w:asciiTheme="minorHAnsi" w:eastAsia="Times New Roman" w:hAnsiTheme="minorHAnsi"/>
          <w:lang w:eastAsia="sk-SK"/>
        </w:rPr>
        <w:t xml:space="preserve"> Society </w:t>
      </w:r>
      <w:proofErr w:type="spellStart"/>
      <w:r w:rsidRPr="002D7A10">
        <w:rPr>
          <w:rFonts w:asciiTheme="minorHAnsi" w:eastAsia="Times New Roman" w:hAnsiTheme="minorHAnsi"/>
          <w:lang w:eastAsia="sk-SK"/>
        </w:rPr>
        <w:t>for</w:t>
      </w:r>
      <w:proofErr w:type="spellEnd"/>
      <w:r w:rsidRPr="002D7A10">
        <w:rPr>
          <w:rFonts w:asciiTheme="minorHAnsi" w:eastAsia="Times New Roman" w:hAnsiTheme="minorHAnsi"/>
          <w:lang w:eastAsia="sk-SK"/>
        </w:rPr>
        <w:t> </w:t>
      </w:r>
      <w:proofErr w:type="spellStart"/>
      <w:r w:rsidRPr="002D7A10">
        <w:rPr>
          <w:rFonts w:asciiTheme="minorHAnsi" w:eastAsia="Times New Roman" w:hAnsiTheme="minorHAnsi"/>
          <w:lang w:eastAsia="sk-SK"/>
        </w:rPr>
        <w:t>Engineering</w:t>
      </w:r>
      <w:proofErr w:type="spellEnd"/>
      <w:r w:rsidRPr="002D7A10">
        <w:rPr>
          <w:rFonts w:asciiTheme="minorHAnsi" w:eastAsia="Times New Roman" w:hAnsiTheme="minorHAnsi"/>
          <w:lang w:eastAsia="sk-SK"/>
        </w:rPr>
        <w:t xml:space="preserve"> </w:t>
      </w:r>
      <w:proofErr w:type="spellStart"/>
      <w:r w:rsidRPr="002D7A10">
        <w:rPr>
          <w:rFonts w:asciiTheme="minorHAnsi" w:eastAsia="Times New Roman" w:hAnsiTheme="minorHAnsi"/>
          <w:lang w:eastAsia="sk-SK"/>
        </w:rPr>
        <w:t>Education</w:t>
      </w:r>
      <w:proofErr w:type="spellEnd"/>
      <w:r w:rsidRPr="002D7A10">
        <w:rPr>
          <w:rFonts w:asciiTheme="minorHAnsi" w:eastAsia="Times New Roman" w:hAnsiTheme="minorHAnsi"/>
          <w:lang w:eastAsia="sk-SK"/>
        </w:rPr>
        <w:t xml:space="preserve"> (SEFI) </w:t>
      </w:r>
    </w:p>
    <w:p w:rsidR="00647715" w:rsidRPr="002D7A10" w:rsidRDefault="00647715" w:rsidP="00647715">
      <w:pPr>
        <w:spacing w:line="223" w:lineRule="auto"/>
        <w:ind w:left="170"/>
        <w:rPr>
          <w:rFonts w:asciiTheme="minorHAnsi" w:eastAsia="Times New Roman" w:hAnsiTheme="minorHAnsi"/>
          <w:lang w:eastAsia="sk-SK"/>
        </w:rPr>
      </w:pPr>
      <w:r w:rsidRPr="002D7A10">
        <w:rPr>
          <w:rFonts w:asciiTheme="minorHAnsi" w:eastAsia="Times New Roman" w:hAnsiTheme="minorHAnsi"/>
          <w:lang w:eastAsia="sk-SK"/>
        </w:rPr>
        <w:t>STU ako technicky orientovaná univerzita je dlhodobým členom nezávislého medzinárodného fóra pre diskusie o problémoch a možnostiach ich riešenia v inžinierskom vzdelávaní. Okrem iného je cieľom SEFI prispieť k rozvoju a zlepšeniu vysokoškolského inžinierskeho štúdia a zlepšiť komunikáciu a mobilitu profesorov, a celkovo výskumných pracovníkov a študentov v Európe.</w:t>
      </w:r>
    </w:p>
    <w:p w:rsidR="00647715" w:rsidRPr="002D7A10" w:rsidRDefault="00647715" w:rsidP="00D31559">
      <w:pPr>
        <w:pStyle w:val="Odsekzoznamu"/>
        <w:numPr>
          <w:ilvl w:val="0"/>
          <w:numId w:val="9"/>
        </w:numPr>
        <w:spacing w:after="0" w:line="223" w:lineRule="auto"/>
        <w:rPr>
          <w:rFonts w:asciiTheme="minorHAnsi" w:eastAsia="Times New Roman" w:hAnsiTheme="minorHAnsi"/>
          <w:sz w:val="24"/>
          <w:szCs w:val="24"/>
          <w:lang w:eastAsia="sk-SK"/>
        </w:rPr>
      </w:pPr>
      <w:r w:rsidRPr="002D7A10">
        <w:rPr>
          <w:rFonts w:asciiTheme="minorHAnsi" w:hAnsiTheme="minorHAnsi"/>
          <w:sz w:val="24"/>
          <w:szCs w:val="24"/>
        </w:rPr>
        <w:t>Vision2020 (</w:t>
      </w:r>
      <w:proofErr w:type="spellStart"/>
      <w:r w:rsidRPr="002D7A10">
        <w:rPr>
          <w:rFonts w:asciiTheme="minorHAnsi" w:hAnsiTheme="minorHAnsi"/>
          <w:sz w:val="24"/>
          <w:szCs w:val="24"/>
        </w:rPr>
        <w:t>Vision</w:t>
      </w:r>
      <w:proofErr w:type="spellEnd"/>
      <w:r w:rsidRPr="002D7A10">
        <w:rPr>
          <w:rFonts w:asciiTheme="minorHAnsi" w:hAnsiTheme="minorHAnsi"/>
          <w:sz w:val="24"/>
          <w:szCs w:val="24"/>
        </w:rPr>
        <w:t xml:space="preserve"> 2020 </w:t>
      </w:r>
      <w:proofErr w:type="spellStart"/>
      <w:r w:rsidRPr="002D7A10">
        <w:rPr>
          <w:rFonts w:asciiTheme="minorHAnsi" w:hAnsiTheme="minorHAnsi"/>
          <w:sz w:val="24"/>
          <w:szCs w:val="24"/>
        </w:rPr>
        <w:t>The</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Horizon</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Network</w:t>
      </w:r>
      <w:proofErr w:type="spellEnd"/>
      <w:r w:rsidRPr="002D7A10">
        <w:rPr>
          <w:rFonts w:asciiTheme="minorHAnsi" w:hAnsiTheme="minorHAnsi"/>
          <w:sz w:val="24"/>
          <w:szCs w:val="24"/>
        </w:rPr>
        <w:t>)</w:t>
      </w:r>
    </w:p>
    <w:p w:rsidR="00647715" w:rsidRPr="002D7A10" w:rsidRDefault="00647715" w:rsidP="00647715">
      <w:pPr>
        <w:pStyle w:val="Odsekzoznamu"/>
        <w:spacing w:after="0" w:line="223" w:lineRule="auto"/>
        <w:ind w:left="170"/>
        <w:rPr>
          <w:rFonts w:asciiTheme="minorHAnsi" w:hAnsiTheme="minorHAnsi"/>
          <w:sz w:val="24"/>
          <w:szCs w:val="24"/>
        </w:rPr>
      </w:pPr>
      <w:r w:rsidRPr="002D7A10">
        <w:rPr>
          <w:rFonts w:asciiTheme="minorHAnsi" w:hAnsiTheme="minorHAnsi"/>
          <w:sz w:val="24"/>
          <w:szCs w:val="24"/>
        </w:rPr>
        <w:t xml:space="preserve">Je inovatívnou platformou pre výskumné organizácie a firmy, ktoré sú účastníkmi programu Horizont 2020. Združuje predovšetkým excelentné </w:t>
      </w:r>
      <w:r w:rsidRPr="002D7A10">
        <w:rPr>
          <w:rFonts w:asciiTheme="minorHAnsi" w:hAnsiTheme="minorHAnsi"/>
          <w:sz w:val="24"/>
          <w:szCs w:val="24"/>
        </w:rPr>
        <w:lastRenderedPageBreak/>
        <w:t>organizácie/univerzity/firmy,  ktoré sú vysoko aktívne v Európe v oblasti výskumu a inovácií. V súčasnosti združuje  56 členských organizácií.</w:t>
      </w:r>
    </w:p>
    <w:p w:rsidR="00647715" w:rsidRPr="002D7A10" w:rsidRDefault="00647715" w:rsidP="00D31559">
      <w:pPr>
        <w:pStyle w:val="Odsekzoznamu"/>
        <w:numPr>
          <w:ilvl w:val="0"/>
          <w:numId w:val="9"/>
        </w:numPr>
        <w:spacing w:after="0" w:line="223" w:lineRule="auto"/>
        <w:rPr>
          <w:rFonts w:asciiTheme="minorHAnsi" w:hAnsiTheme="minorHAnsi"/>
          <w:sz w:val="24"/>
          <w:szCs w:val="24"/>
        </w:rPr>
      </w:pPr>
      <w:proofErr w:type="spellStart"/>
      <w:r w:rsidRPr="002D7A10">
        <w:rPr>
          <w:rFonts w:asciiTheme="minorHAnsi" w:hAnsiTheme="minorHAnsi"/>
          <w:sz w:val="24"/>
          <w:szCs w:val="24"/>
        </w:rPr>
        <w:t>European</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Sustainable</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Energy</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Innovation</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Alliance</w:t>
      </w:r>
      <w:proofErr w:type="spellEnd"/>
      <w:r w:rsidRPr="002D7A10">
        <w:rPr>
          <w:rFonts w:asciiTheme="minorHAnsi" w:hAnsiTheme="minorHAnsi"/>
          <w:sz w:val="24"/>
          <w:szCs w:val="24"/>
        </w:rPr>
        <w:t xml:space="preserve"> (</w:t>
      </w:r>
      <w:proofErr w:type="spellStart"/>
      <w:r w:rsidRPr="002D7A10">
        <w:rPr>
          <w:rFonts w:asciiTheme="minorHAnsi" w:hAnsiTheme="minorHAnsi"/>
          <w:sz w:val="24"/>
          <w:szCs w:val="24"/>
        </w:rPr>
        <w:t>eseia</w:t>
      </w:r>
      <w:proofErr w:type="spellEnd"/>
      <w:r w:rsidRPr="002D7A10">
        <w:rPr>
          <w:rFonts w:asciiTheme="minorHAnsi" w:hAnsiTheme="minorHAnsi"/>
          <w:sz w:val="24"/>
          <w:szCs w:val="24"/>
        </w:rPr>
        <w:t xml:space="preserve">) </w:t>
      </w:r>
    </w:p>
    <w:p w:rsidR="00647715" w:rsidRPr="002D7A10" w:rsidRDefault="00647715" w:rsidP="00647715">
      <w:pPr>
        <w:pStyle w:val="Odsekzoznamu"/>
        <w:spacing w:after="0" w:line="223" w:lineRule="auto"/>
        <w:ind w:left="170"/>
        <w:rPr>
          <w:rFonts w:asciiTheme="minorHAnsi" w:hAnsiTheme="minorHAnsi"/>
          <w:sz w:val="24"/>
          <w:szCs w:val="24"/>
        </w:rPr>
      </w:pPr>
      <w:r w:rsidRPr="002D7A10">
        <w:rPr>
          <w:rFonts w:asciiTheme="minorHAnsi" w:hAnsiTheme="minorHAnsi"/>
          <w:sz w:val="24"/>
          <w:szCs w:val="24"/>
        </w:rPr>
        <w:t xml:space="preserve">Európska inovačná asociácia v oblasti obnoviteľných zdrojov energie - </w:t>
      </w:r>
      <w:r w:rsidRPr="002D7A10">
        <w:rPr>
          <w:rFonts w:asciiTheme="minorHAnsi" w:eastAsia="Times New Roman" w:hAnsiTheme="minorHAnsi"/>
          <w:sz w:val="24"/>
          <w:szCs w:val="24"/>
          <w:lang w:eastAsia="sk-SK"/>
        </w:rPr>
        <w:t xml:space="preserve">je vedúcim združením organizácií naprieč sektormi na poli udržateľných energetických systémov, od zásobovania energiou až po spotrebu energie v oblasti výskumu, výučby a inovácie. </w:t>
      </w:r>
      <w:proofErr w:type="spellStart"/>
      <w:r w:rsidRPr="002D7A10">
        <w:rPr>
          <w:rFonts w:asciiTheme="minorHAnsi" w:eastAsia="Times New Roman" w:hAnsiTheme="minorHAnsi"/>
          <w:sz w:val="24"/>
          <w:szCs w:val="24"/>
          <w:lang w:eastAsia="sk-SK"/>
        </w:rPr>
        <w:t>Eseia</w:t>
      </w:r>
      <w:proofErr w:type="spellEnd"/>
      <w:r w:rsidRPr="002D7A10">
        <w:rPr>
          <w:rFonts w:asciiTheme="minorHAnsi" w:eastAsia="Times New Roman" w:hAnsiTheme="minorHAnsi"/>
          <w:sz w:val="24"/>
          <w:szCs w:val="24"/>
          <w:lang w:eastAsia="sk-SK"/>
        </w:rPr>
        <w:t xml:space="preserve"> bola v rámci programu Horizont 2020 validovaná ako výskumná nezisková organizácia. </w:t>
      </w:r>
      <w:r w:rsidRPr="002D7A10">
        <w:rPr>
          <w:rFonts w:asciiTheme="minorHAnsi" w:eastAsia="Times New Roman" w:hAnsiTheme="minorHAnsi"/>
          <w:sz w:val="24"/>
          <w:szCs w:val="24"/>
          <w:lang w:eastAsia="sk-SK"/>
        </w:rPr>
        <w:br/>
        <w:t xml:space="preserve">Členovia asociácie sa venujú implementácii obnoviteľných zdrojov energie a trvalo udržateľných technológií v Európe. </w:t>
      </w:r>
      <w:proofErr w:type="spellStart"/>
      <w:r w:rsidRPr="002D7A10">
        <w:rPr>
          <w:rFonts w:asciiTheme="minorHAnsi" w:eastAsia="Times New Roman" w:hAnsiTheme="minorHAnsi"/>
          <w:sz w:val="24"/>
          <w:szCs w:val="24"/>
          <w:lang w:eastAsia="sk-SK"/>
        </w:rPr>
        <w:t>Eseia</w:t>
      </w:r>
      <w:proofErr w:type="spellEnd"/>
      <w:r w:rsidRPr="002D7A10">
        <w:rPr>
          <w:rFonts w:asciiTheme="minorHAnsi" w:eastAsia="Times New Roman" w:hAnsiTheme="minorHAnsi"/>
          <w:sz w:val="24"/>
          <w:szCs w:val="24"/>
          <w:lang w:eastAsia="sk-SK"/>
        </w:rPr>
        <w:t xml:space="preserve"> vyvinula vlastné programy na vzdelávanie a odbornú prípravu.</w:t>
      </w:r>
    </w:p>
    <w:p w:rsidR="00647715" w:rsidRPr="002D7A10" w:rsidRDefault="00647715" w:rsidP="00647715">
      <w:pPr>
        <w:spacing w:line="223" w:lineRule="auto"/>
        <w:rPr>
          <w:rFonts w:asciiTheme="minorHAnsi" w:eastAsia="Times New Roman" w:hAnsiTheme="minorHAnsi"/>
          <w:color w:val="000000"/>
          <w:lang w:eastAsia="sk-SK"/>
        </w:rPr>
      </w:pPr>
    </w:p>
    <w:p w:rsidR="00647715" w:rsidRPr="002D7A10" w:rsidRDefault="00647715" w:rsidP="00647715">
      <w:pPr>
        <w:spacing w:line="223" w:lineRule="auto"/>
        <w:rPr>
          <w:rFonts w:asciiTheme="minorHAnsi" w:eastAsia="Times New Roman" w:hAnsiTheme="minorHAnsi"/>
          <w:color w:val="000000"/>
          <w:lang w:eastAsia="sk-SK"/>
        </w:rPr>
      </w:pPr>
      <w:r w:rsidRPr="002D7A10">
        <w:rPr>
          <w:rFonts w:asciiTheme="minorHAnsi" w:eastAsia="Times New Roman" w:hAnsiTheme="minorHAnsi"/>
          <w:color w:val="000000"/>
          <w:lang w:eastAsia="sk-SK"/>
        </w:rPr>
        <w:t xml:space="preserve">Fakulty STU sú inštitucionálnymi členmi medzinárodných organizácií, ktorých zameranie korešponduje s odborným zameraním fakúlt: </w:t>
      </w:r>
    </w:p>
    <w:p w:rsidR="00647715" w:rsidRPr="002D7A10" w:rsidRDefault="00647715" w:rsidP="00647715">
      <w:pPr>
        <w:rPr>
          <w:rFonts w:asciiTheme="minorHAnsi" w:eastAsia="Times New Roman" w:hAnsiTheme="minorHAnsi"/>
          <w:lang w:eastAsia="sk-SK"/>
        </w:rPr>
      </w:pPr>
      <w:r w:rsidRPr="002D7A10">
        <w:rPr>
          <w:rFonts w:asciiTheme="minorHAnsi" w:eastAsia="Times New Roman" w:hAnsiTheme="minorHAnsi"/>
          <w:b/>
          <w:bCs/>
          <w:lang w:eastAsia="sk-SK"/>
        </w:rPr>
        <w:t>Stavebná fakulta</w:t>
      </w:r>
      <w:r w:rsidRPr="002D7A10">
        <w:rPr>
          <w:rFonts w:asciiTheme="minorHAnsi" w:eastAsia="Times New Roman" w:hAnsiTheme="minorHAnsi"/>
          <w:u w:val="single"/>
          <w:lang w:eastAsia="sk-SK"/>
        </w:rPr>
        <w:t>:</w:t>
      </w:r>
    </w:p>
    <w:p w:rsidR="00647715" w:rsidRPr="002D7A10" w:rsidRDefault="00647715" w:rsidP="00481942">
      <w:pPr>
        <w:numPr>
          <w:ilvl w:val="0"/>
          <w:numId w:val="26"/>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Federation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of</w:t>
      </w:r>
      <w:proofErr w:type="spellEnd"/>
      <w:r w:rsidRPr="002D7A10">
        <w:rPr>
          <w:rFonts w:asciiTheme="minorHAnsi" w:eastAsia="Times New Roman" w:hAnsiTheme="minorHAnsi"/>
          <w:color w:val="000000" w:themeColor="text1"/>
          <w:lang w:eastAsia="sk-SK"/>
        </w:rPr>
        <w:t> </w:t>
      </w:r>
      <w:proofErr w:type="spellStart"/>
      <w:r w:rsidRPr="002D7A10">
        <w:rPr>
          <w:rFonts w:asciiTheme="minorHAnsi" w:eastAsia="Times New Roman" w:hAnsiTheme="minorHAnsi"/>
          <w:color w:val="000000" w:themeColor="text1"/>
          <w:lang w:eastAsia="sk-SK"/>
        </w:rPr>
        <w:t>European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Heating</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Ventilation</w:t>
      </w:r>
      <w:proofErr w:type="spellEnd"/>
      <w:r w:rsidRPr="002D7A10">
        <w:rPr>
          <w:rFonts w:asciiTheme="minorHAnsi" w:eastAsia="Times New Roman" w:hAnsiTheme="minorHAnsi"/>
          <w:color w:val="000000" w:themeColor="text1"/>
          <w:lang w:eastAsia="sk-SK"/>
        </w:rPr>
        <w:t xml:space="preserve"> and </w:t>
      </w:r>
      <w:proofErr w:type="spellStart"/>
      <w:r w:rsidRPr="002D7A10">
        <w:rPr>
          <w:rFonts w:asciiTheme="minorHAnsi" w:eastAsia="Times New Roman" w:hAnsiTheme="minorHAnsi"/>
          <w:color w:val="000000" w:themeColor="text1"/>
          <w:lang w:eastAsia="sk-SK"/>
        </w:rPr>
        <w:t>Air-conditioning</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Associations</w:t>
      </w:r>
      <w:proofErr w:type="spellEnd"/>
      <w:r w:rsidRPr="002D7A10">
        <w:rPr>
          <w:rFonts w:asciiTheme="minorHAnsi" w:eastAsia="Times New Roman" w:hAnsiTheme="minorHAnsi"/>
          <w:color w:val="000000" w:themeColor="text1"/>
          <w:lang w:eastAsia="sk-SK"/>
        </w:rPr>
        <w:t xml:space="preserve"> (</w:t>
      </w:r>
      <w:hyperlink r:id="rId59" w:history="1">
        <w:r w:rsidRPr="002D7A10">
          <w:rPr>
            <w:rFonts w:asciiTheme="minorHAnsi" w:eastAsia="Times New Roman" w:hAnsiTheme="minorHAnsi"/>
            <w:color w:val="000000" w:themeColor="text1"/>
            <w:lang w:eastAsia="sk-SK"/>
          </w:rPr>
          <w:t>REHVA</w:t>
        </w:r>
      </w:hyperlink>
      <w:r w:rsidRPr="002D7A10">
        <w:rPr>
          <w:rFonts w:asciiTheme="minorHAnsi" w:eastAsia="Times New Roman" w:hAnsiTheme="minorHAnsi"/>
          <w:color w:val="000000" w:themeColor="text1"/>
          <w:lang w:eastAsia="sk-SK"/>
        </w:rPr>
        <w:t>)</w:t>
      </w:r>
    </w:p>
    <w:p w:rsidR="00647715" w:rsidRPr="002D7A10" w:rsidRDefault="00647715" w:rsidP="00647715">
      <w:pPr>
        <w:rPr>
          <w:rFonts w:asciiTheme="minorHAnsi" w:eastAsia="Times New Roman" w:hAnsiTheme="minorHAnsi"/>
          <w:color w:val="000000" w:themeColor="text1"/>
          <w:lang w:eastAsia="sk-SK"/>
        </w:rPr>
      </w:pPr>
      <w:r w:rsidRPr="002D7A10">
        <w:rPr>
          <w:rFonts w:asciiTheme="minorHAnsi" w:eastAsia="Times New Roman" w:hAnsiTheme="minorHAnsi"/>
          <w:b/>
          <w:bCs/>
          <w:color w:val="000000" w:themeColor="text1"/>
          <w:lang w:eastAsia="sk-SK"/>
        </w:rPr>
        <w:t>Strojnícka fakulta:</w:t>
      </w:r>
    </w:p>
    <w:p w:rsidR="00647715" w:rsidRPr="002D7A10" w:rsidRDefault="00647715" w:rsidP="00481942">
      <w:pPr>
        <w:numPr>
          <w:ilvl w:val="0"/>
          <w:numId w:val="27"/>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Federation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of</w:t>
      </w:r>
      <w:proofErr w:type="spellEnd"/>
      <w:r w:rsidRPr="002D7A10">
        <w:rPr>
          <w:rFonts w:asciiTheme="minorHAnsi" w:eastAsia="Times New Roman" w:hAnsiTheme="minorHAnsi"/>
          <w:color w:val="000000" w:themeColor="text1"/>
          <w:lang w:eastAsia="sk-SK"/>
        </w:rPr>
        <w:t> </w:t>
      </w:r>
      <w:proofErr w:type="spellStart"/>
      <w:r w:rsidRPr="002D7A10">
        <w:rPr>
          <w:rFonts w:asciiTheme="minorHAnsi" w:eastAsia="Times New Roman" w:hAnsiTheme="minorHAnsi"/>
          <w:color w:val="000000" w:themeColor="text1"/>
          <w:lang w:eastAsia="sk-SK"/>
        </w:rPr>
        <w:t>European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Materials</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Societies</w:t>
      </w:r>
      <w:proofErr w:type="spellEnd"/>
      <w:r w:rsidRPr="002D7A10">
        <w:rPr>
          <w:rFonts w:asciiTheme="minorHAnsi" w:eastAsia="Times New Roman" w:hAnsiTheme="minorHAnsi"/>
          <w:color w:val="000000" w:themeColor="text1"/>
          <w:lang w:eastAsia="sk-SK"/>
        </w:rPr>
        <w:t xml:space="preserve"> (</w:t>
      </w:r>
      <w:hyperlink r:id="rId60" w:history="1">
        <w:r w:rsidRPr="002D7A10">
          <w:rPr>
            <w:rFonts w:asciiTheme="minorHAnsi" w:eastAsia="Times New Roman" w:hAnsiTheme="minorHAnsi"/>
            <w:color w:val="000000" w:themeColor="text1"/>
            <w:lang w:eastAsia="sk-SK"/>
          </w:rPr>
          <w:t>FEMS</w:t>
        </w:r>
      </w:hyperlink>
      <w:r w:rsidRPr="002D7A10">
        <w:rPr>
          <w:rFonts w:asciiTheme="minorHAnsi" w:eastAsia="Times New Roman" w:hAnsiTheme="minorHAnsi"/>
          <w:color w:val="000000" w:themeColor="text1"/>
          <w:lang w:eastAsia="sk-SK"/>
        </w:rPr>
        <w:t>)</w:t>
      </w:r>
    </w:p>
    <w:p w:rsidR="00647715" w:rsidRPr="002D7A10" w:rsidRDefault="00647715" w:rsidP="00481942">
      <w:pPr>
        <w:numPr>
          <w:ilvl w:val="0"/>
          <w:numId w:val="28"/>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European</w:t>
      </w:r>
      <w:proofErr w:type="spellEnd"/>
      <w:r w:rsidRPr="002D7A10">
        <w:rPr>
          <w:rFonts w:asciiTheme="minorHAnsi" w:eastAsia="Times New Roman" w:hAnsiTheme="minorHAnsi"/>
          <w:color w:val="000000" w:themeColor="text1"/>
          <w:lang w:eastAsia="sk-SK"/>
        </w:rPr>
        <w:t xml:space="preserve"> Automobile </w:t>
      </w:r>
      <w:proofErr w:type="spellStart"/>
      <w:r w:rsidRPr="002D7A10">
        <w:rPr>
          <w:rFonts w:asciiTheme="minorHAnsi" w:eastAsia="Times New Roman" w:hAnsiTheme="minorHAnsi"/>
          <w:color w:val="000000" w:themeColor="text1"/>
          <w:lang w:eastAsia="sk-SK"/>
        </w:rPr>
        <w:t>Enginneers</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Cooperation</w:t>
      </w:r>
      <w:proofErr w:type="spellEnd"/>
      <w:r w:rsidRPr="002D7A10">
        <w:rPr>
          <w:rFonts w:asciiTheme="minorHAnsi" w:eastAsia="Times New Roman" w:hAnsiTheme="minorHAnsi"/>
          <w:color w:val="000000" w:themeColor="text1"/>
          <w:lang w:eastAsia="sk-SK"/>
        </w:rPr>
        <w:t xml:space="preserve"> (</w:t>
      </w:r>
      <w:hyperlink r:id="rId61" w:history="1">
        <w:r w:rsidRPr="002D7A10">
          <w:rPr>
            <w:rFonts w:asciiTheme="minorHAnsi" w:eastAsia="Times New Roman" w:hAnsiTheme="minorHAnsi"/>
            <w:color w:val="000000" w:themeColor="text1"/>
            <w:lang w:eastAsia="sk-SK"/>
          </w:rPr>
          <w:t>EAEC</w:t>
        </w:r>
      </w:hyperlink>
      <w:r w:rsidRPr="002D7A10">
        <w:rPr>
          <w:rFonts w:asciiTheme="minorHAnsi" w:eastAsia="Times New Roman" w:hAnsiTheme="minorHAnsi"/>
          <w:color w:val="000000" w:themeColor="text1"/>
          <w:lang w:eastAsia="sk-SK"/>
        </w:rPr>
        <w:t>)</w:t>
      </w:r>
    </w:p>
    <w:p w:rsidR="00647715" w:rsidRPr="002D7A10" w:rsidRDefault="00647715" w:rsidP="00481942">
      <w:pPr>
        <w:numPr>
          <w:ilvl w:val="0"/>
          <w:numId w:val="29"/>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International</w:t>
      </w:r>
      <w:proofErr w:type="spellEnd"/>
      <w:r w:rsidRPr="002D7A10">
        <w:rPr>
          <w:rFonts w:asciiTheme="minorHAnsi" w:eastAsia="Times New Roman" w:hAnsiTheme="minorHAnsi"/>
          <w:color w:val="000000" w:themeColor="text1"/>
          <w:lang w:eastAsia="sk-SK"/>
        </w:rPr>
        <w:t xml:space="preserve"> Society </w:t>
      </w:r>
      <w:proofErr w:type="spellStart"/>
      <w:r w:rsidRPr="002D7A10">
        <w:rPr>
          <w:rFonts w:asciiTheme="minorHAnsi" w:eastAsia="Times New Roman" w:hAnsiTheme="minorHAnsi"/>
          <w:color w:val="000000" w:themeColor="text1"/>
          <w:lang w:eastAsia="sk-SK"/>
        </w:rPr>
        <w:t>for</w:t>
      </w:r>
      <w:proofErr w:type="spellEnd"/>
      <w:r w:rsidRPr="002D7A10">
        <w:rPr>
          <w:rFonts w:asciiTheme="minorHAnsi" w:eastAsia="Times New Roman" w:hAnsiTheme="minorHAnsi"/>
          <w:color w:val="000000" w:themeColor="text1"/>
          <w:lang w:eastAsia="sk-SK"/>
        </w:rPr>
        <w:t> </w:t>
      </w:r>
      <w:proofErr w:type="spellStart"/>
      <w:r w:rsidRPr="002D7A10">
        <w:rPr>
          <w:rFonts w:asciiTheme="minorHAnsi" w:eastAsia="Times New Roman" w:hAnsiTheme="minorHAnsi"/>
          <w:color w:val="000000" w:themeColor="text1"/>
          <w:lang w:eastAsia="sk-SK"/>
        </w:rPr>
        <w:t>Geometry</w:t>
      </w:r>
      <w:proofErr w:type="spellEnd"/>
      <w:r w:rsidRPr="002D7A10">
        <w:rPr>
          <w:rFonts w:asciiTheme="minorHAnsi" w:eastAsia="Times New Roman" w:hAnsiTheme="minorHAnsi"/>
          <w:color w:val="000000" w:themeColor="text1"/>
          <w:lang w:eastAsia="sk-SK"/>
        </w:rPr>
        <w:t xml:space="preserve"> and </w:t>
      </w:r>
      <w:proofErr w:type="spellStart"/>
      <w:r w:rsidRPr="002D7A10">
        <w:rPr>
          <w:rFonts w:asciiTheme="minorHAnsi" w:eastAsia="Times New Roman" w:hAnsiTheme="minorHAnsi"/>
          <w:color w:val="000000" w:themeColor="text1"/>
          <w:lang w:eastAsia="sk-SK"/>
        </w:rPr>
        <w:t>Graphics</w:t>
      </w:r>
      <w:proofErr w:type="spellEnd"/>
      <w:r w:rsidRPr="002D7A10">
        <w:rPr>
          <w:rFonts w:asciiTheme="minorHAnsi" w:eastAsia="Times New Roman" w:hAnsiTheme="minorHAnsi"/>
          <w:color w:val="000000" w:themeColor="text1"/>
          <w:lang w:eastAsia="sk-SK"/>
        </w:rPr>
        <w:t xml:space="preserve"> (</w:t>
      </w:r>
      <w:hyperlink r:id="rId62" w:history="1">
        <w:r w:rsidRPr="002D7A10">
          <w:rPr>
            <w:rFonts w:asciiTheme="minorHAnsi" w:eastAsia="Times New Roman" w:hAnsiTheme="minorHAnsi"/>
            <w:color w:val="000000" w:themeColor="text1"/>
            <w:lang w:eastAsia="sk-SK"/>
          </w:rPr>
          <w:t>ISGG</w:t>
        </w:r>
      </w:hyperlink>
      <w:r w:rsidRPr="002D7A10">
        <w:rPr>
          <w:rFonts w:asciiTheme="minorHAnsi" w:eastAsia="Times New Roman" w:hAnsiTheme="minorHAnsi"/>
          <w:color w:val="000000" w:themeColor="text1"/>
          <w:lang w:eastAsia="sk-SK"/>
        </w:rPr>
        <w:t>)</w:t>
      </w:r>
    </w:p>
    <w:p w:rsidR="00647715" w:rsidRPr="002D7A10" w:rsidRDefault="00647715" w:rsidP="00481942">
      <w:pPr>
        <w:numPr>
          <w:ilvl w:val="0"/>
          <w:numId w:val="30"/>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International</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Federation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of</w:t>
      </w:r>
      <w:proofErr w:type="spellEnd"/>
      <w:r w:rsidRPr="002D7A10">
        <w:rPr>
          <w:rFonts w:asciiTheme="minorHAnsi" w:eastAsia="Times New Roman" w:hAnsiTheme="minorHAnsi"/>
          <w:color w:val="000000" w:themeColor="text1"/>
          <w:lang w:eastAsia="sk-SK"/>
        </w:rPr>
        <w:t> </w:t>
      </w:r>
      <w:proofErr w:type="spellStart"/>
      <w:r w:rsidRPr="002D7A10">
        <w:rPr>
          <w:rFonts w:asciiTheme="minorHAnsi" w:eastAsia="Times New Roman" w:hAnsiTheme="minorHAnsi"/>
          <w:color w:val="000000" w:themeColor="text1"/>
          <w:lang w:eastAsia="sk-SK"/>
        </w:rPr>
        <w:t>Automatic</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Control</w:t>
      </w:r>
      <w:proofErr w:type="spellEnd"/>
      <w:r w:rsidRPr="002D7A10">
        <w:rPr>
          <w:rFonts w:asciiTheme="minorHAnsi" w:eastAsia="Times New Roman" w:hAnsiTheme="minorHAnsi"/>
          <w:color w:val="000000" w:themeColor="text1"/>
          <w:lang w:eastAsia="sk-SK"/>
        </w:rPr>
        <w:t xml:space="preserve"> (</w:t>
      </w:r>
      <w:hyperlink r:id="rId63" w:history="1">
        <w:r w:rsidRPr="002D7A10">
          <w:rPr>
            <w:rFonts w:asciiTheme="minorHAnsi" w:eastAsia="Times New Roman" w:hAnsiTheme="minorHAnsi"/>
            <w:color w:val="000000" w:themeColor="text1"/>
            <w:lang w:eastAsia="sk-SK"/>
          </w:rPr>
          <w:t>IFAC</w:t>
        </w:r>
      </w:hyperlink>
      <w:r w:rsidRPr="002D7A10">
        <w:rPr>
          <w:rFonts w:asciiTheme="minorHAnsi" w:eastAsia="Times New Roman" w:hAnsiTheme="minorHAnsi"/>
          <w:color w:val="000000" w:themeColor="text1"/>
          <w:lang w:eastAsia="sk-SK"/>
        </w:rPr>
        <w:t>)</w:t>
      </w:r>
    </w:p>
    <w:p w:rsidR="00647715" w:rsidRPr="002D7A10" w:rsidRDefault="00647715" w:rsidP="00481942">
      <w:pPr>
        <w:numPr>
          <w:ilvl w:val="0"/>
          <w:numId w:val="31"/>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International</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Institute</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of</w:t>
      </w:r>
      <w:proofErr w:type="spellEnd"/>
      <w:r w:rsidRPr="002D7A10">
        <w:rPr>
          <w:rFonts w:asciiTheme="minorHAnsi" w:eastAsia="Times New Roman" w:hAnsiTheme="minorHAnsi"/>
          <w:color w:val="000000" w:themeColor="text1"/>
          <w:lang w:eastAsia="sk-SK"/>
        </w:rPr>
        <w:t> </w:t>
      </w:r>
      <w:proofErr w:type="spellStart"/>
      <w:r w:rsidRPr="002D7A10">
        <w:rPr>
          <w:rFonts w:asciiTheme="minorHAnsi" w:eastAsia="Times New Roman" w:hAnsiTheme="minorHAnsi"/>
          <w:color w:val="000000" w:themeColor="text1"/>
          <w:lang w:eastAsia="sk-SK"/>
        </w:rPr>
        <w:t>Noise</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Control</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Engineering</w:t>
      </w:r>
      <w:proofErr w:type="spellEnd"/>
      <w:r w:rsidRPr="002D7A10">
        <w:rPr>
          <w:rFonts w:asciiTheme="minorHAnsi" w:eastAsia="Times New Roman" w:hAnsiTheme="minorHAnsi"/>
          <w:color w:val="000000" w:themeColor="text1"/>
          <w:lang w:eastAsia="sk-SK"/>
        </w:rPr>
        <w:t xml:space="preserve"> (</w:t>
      </w:r>
      <w:hyperlink r:id="rId64" w:history="1">
        <w:r w:rsidRPr="002D7A10">
          <w:rPr>
            <w:rFonts w:asciiTheme="minorHAnsi" w:eastAsia="Times New Roman" w:hAnsiTheme="minorHAnsi"/>
            <w:color w:val="000000" w:themeColor="text1"/>
            <w:lang w:eastAsia="sk-SK"/>
          </w:rPr>
          <w:t>I-INCE</w:t>
        </w:r>
      </w:hyperlink>
      <w:r w:rsidRPr="002D7A10">
        <w:rPr>
          <w:rFonts w:asciiTheme="minorHAnsi" w:eastAsia="Times New Roman" w:hAnsiTheme="minorHAnsi"/>
          <w:color w:val="000000" w:themeColor="text1"/>
          <w:lang w:eastAsia="sk-SK"/>
        </w:rPr>
        <w:t>)</w:t>
      </w:r>
    </w:p>
    <w:p w:rsidR="00647715" w:rsidRPr="002D7A10" w:rsidRDefault="00647715" w:rsidP="00481942">
      <w:pPr>
        <w:numPr>
          <w:ilvl w:val="0"/>
          <w:numId w:val="32"/>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International</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Institute</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of</w:t>
      </w:r>
      <w:proofErr w:type="spellEnd"/>
      <w:r w:rsidRPr="002D7A10">
        <w:rPr>
          <w:rFonts w:asciiTheme="minorHAnsi" w:eastAsia="Times New Roman" w:hAnsiTheme="minorHAnsi"/>
          <w:color w:val="000000" w:themeColor="text1"/>
          <w:lang w:eastAsia="sk-SK"/>
        </w:rPr>
        <w:t> </w:t>
      </w:r>
      <w:proofErr w:type="spellStart"/>
      <w:r w:rsidRPr="002D7A10">
        <w:rPr>
          <w:rFonts w:asciiTheme="minorHAnsi" w:eastAsia="Times New Roman" w:hAnsiTheme="minorHAnsi"/>
          <w:color w:val="000000" w:themeColor="text1"/>
          <w:lang w:eastAsia="sk-SK"/>
        </w:rPr>
        <w:t>Refrigeration</w:t>
      </w:r>
      <w:proofErr w:type="spellEnd"/>
      <w:r w:rsidRPr="002D7A10">
        <w:rPr>
          <w:rFonts w:asciiTheme="minorHAnsi" w:eastAsia="Times New Roman" w:hAnsiTheme="minorHAnsi"/>
          <w:color w:val="000000" w:themeColor="text1"/>
          <w:lang w:eastAsia="sk-SK"/>
        </w:rPr>
        <w:t xml:space="preserve"> (</w:t>
      </w:r>
      <w:hyperlink r:id="rId65" w:history="1">
        <w:r w:rsidRPr="002D7A10">
          <w:rPr>
            <w:rFonts w:asciiTheme="minorHAnsi" w:eastAsia="Times New Roman" w:hAnsiTheme="minorHAnsi"/>
            <w:color w:val="000000" w:themeColor="text1"/>
            <w:lang w:eastAsia="sk-SK"/>
          </w:rPr>
          <w:t>IIR</w:t>
        </w:r>
      </w:hyperlink>
      <w:r w:rsidRPr="002D7A10">
        <w:rPr>
          <w:rFonts w:asciiTheme="minorHAnsi" w:eastAsia="Times New Roman" w:hAnsiTheme="minorHAnsi"/>
          <w:color w:val="000000" w:themeColor="text1"/>
          <w:lang w:eastAsia="sk-SK"/>
        </w:rPr>
        <w:t>)</w:t>
      </w:r>
    </w:p>
    <w:p w:rsidR="00647715" w:rsidRPr="002D7A10" w:rsidRDefault="00647715" w:rsidP="00481942">
      <w:pPr>
        <w:numPr>
          <w:ilvl w:val="0"/>
          <w:numId w:val="33"/>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International</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Federation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for</w:t>
      </w:r>
      <w:proofErr w:type="spellEnd"/>
      <w:r w:rsidRPr="002D7A10">
        <w:rPr>
          <w:rFonts w:asciiTheme="minorHAnsi" w:eastAsia="Times New Roman" w:hAnsiTheme="minorHAnsi"/>
          <w:color w:val="000000" w:themeColor="text1"/>
          <w:lang w:eastAsia="sk-SK"/>
        </w:rPr>
        <w:t> </w:t>
      </w:r>
      <w:proofErr w:type="spellStart"/>
      <w:r w:rsidRPr="002D7A10">
        <w:rPr>
          <w:rFonts w:asciiTheme="minorHAnsi" w:eastAsia="Times New Roman" w:hAnsiTheme="minorHAnsi"/>
          <w:color w:val="000000" w:themeColor="text1"/>
          <w:lang w:eastAsia="sk-SK"/>
        </w:rPr>
        <w:t>the</w:t>
      </w:r>
      <w:proofErr w:type="spellEnd"/>
      <w:r w:rsidRPr="002D7A10">
        <w:rPr>
          <w:rFonts w:asciiTheme="minorHAnsi" w:eastAsia="Times New Roman" w:hAnsiTheme="minorHAnsi"/>
          <w:color w:val="000000" w:themeColor="text1"/>
          <w:lang w:eastAsia="sk-SK"/>
        </w:rPr>
        <w:t> </w:t>
      </w:r>
      <w:proofErr w:type="spellStart"/>
      <w:r w:rsidRPr="002D7A10">
        <w:rPr>
          <w:rFonts w:asciiTheme="minorHAnsi" w:eastAsia="Times New Roman" w:hAnsiTheme="minorHAnsi"/>
          <w:color w:val="000000" w:themeColor="text1"/>
          <w:lang w:eastAsia="sk-SK"/>
        </w:rPr>
        <w:t>Promotion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of</w:t>
      </w:r>
      <w:proofErr w:type="spellEnd"/>
      <w:r w:rsidRPr="002D7A10">
        <w:rPr>
          <w:rFonts w:asciiTheme="minorHAnsi" w:eastAsia="Times New Roman" w:hAnsiTheme="minorHAnsi"/>
          <w:color w:val="000000" w:themeColor="text1"/>
          <w:lang w:eastAsia="sk-SK"/>
        </w:rPr>
        <w:t> </w:t>
      </w:r>
      <w:proofErr w:type="spellStart"/>
      <w:r w:rsidRPr="002D7A10">
        <w:rPr>
          <w:rFonts w:asciiTheme="minorHAnsi" w:eastAsia="Times New Roman" w:hAnsiTheme="minorHAnsi"/>
          <w:color w:val="000000" w:themeColor="text1"/>
          <w:lang w:eastAsia="sk-SK"/>
        </w:rPr>
        <w:t>Mechanism</w:t>
      </w:r>
      <w:proofErr w:type="spellEnd"/>
      <w:r w:rsidRPr="002D7A10">
        <w:rPr>
          <w:rFonts w:asciiTheme="minorHAnsi" w:eastAsia="Times New Roman" w:hAnsiTheme="minorHAnsi"/>
          <w:color w:val="000000" w:themeColor="text1"/>
          <w:lang w:eastAsia="sk-SK"/>
        </w:rPr>
        <w:t xml:space="preserve"> and </w:t>
      </w:r>
      <w:proofErr w:type="spellStart"/>
      <w:r w:rsidRPr="002D7A10">
        <w:rPr>
          <w:rFonts w:asciiTheme="minorHAnsi" w:eastAsia="Times New Roman" w:hAnsiTheme="minorHAnsi"/>
          <w:color w:val="000000" w:themeColor="text1"/>
          <w:lang w:eastAsia="sk-SK"/>
        </w:rPr>
        <w:t>Machine</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Science</w:t>
      </w:r>
      <w:proofErr w:type="spellEnd"/>
      <w:r w:rsidRPr="002D7A10">
        <w:rPr>
          <w:rFonts w:asciiTheme="minorHAnsi" w:eastAsia="Times New Roman" w:hAnsiTheme="minorHAnsi"/>
          <w:color w:val="000000" w:themeColor="text1"/>
          <w:lang w:eastAsia="sk-SK"/>
        </w:rPr>
        <w:t>  (</w:t>
      </w:r>
      <w:proofErr w:type="spellStart"/>
      <w:r w:rsidR="002C13A2">
        <w:fldChar w:fldCharType="begin"/>
      </w:r>
      <w:r w:rsidR="002C13A2">
        <w:instrText xml:space="preserve"> HYPERLINK "http://www.iftomm.org/" </w:instrText>
      </w:r>
      <w:r w:rsidR="002C13A2">
        <w:fldChar w:fldCharType="separate"/>
      </w:r>
      <w:r w:rsidRPr="002D7A10">
        <w:rPr>
          <w:rFonts w:asciiTheme="minorHAnsi" w:eastAsia="Times New Roman" w:hAnsiTheme="minorHAnsi"/>
          <w:color w:val="000000" w:themeColor="text1"/>
          <w:lang w:eastAsia="sk-SK"/>
        </w:rPr>
        <w:t>IFToMM</w:t>
      </w:r>
      <w:proofErr w:type="spellEnd"/>
      <w:r w:rsidR="002C13A2">
        <w:rPr>
          <w:rFonts w:asciiTheme="minorHAnsi" w:eastAsia="Times New Roman" w:hAnsiTheme="minorHAnsi"/>
          <w:color w:val="000000" w:themeColor="text1"/>
          <w:lang w:eastAsia="sk-SK"/>
        </w:rPr>
        <w:fldChar w:fldCharType="end"/>
      </w:r>
      <w:r w:rsidRPr="002D7A10">
        <w:rPr>
          <w:rFonts w:asciiTheme="minorHAnsi" w:eastAsia="Times New Roman" w:hAnsiTheme="minorHAnsi"/>
          <w:color w:val="000000" w:themeColor="text1"/>
          <w:lang w:eastAsia="sk-SK"/>
        </w:rPr>
        <w:t>)</w:t>
      </w:r>
    </w:p>
    <w:p w:rsidR="00647715" w:rsidRPr="002D7A10" w:rsidRDefault="00647715" w:rsidP="00481942">
      <w:pPr>
        <w:numPr>
          <w:ilvl w:val="0"/>
          <w:numId w:val="34"/>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Fedération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Internationale</w:t>
      </w:r>
      <w:proofErr w:type="spellEnd"/>
      <w:r w:rsidRPr="002D7A10">
        <w:rPr>
          <w:rFonts w:asciiTheme="minorHAnsi" w:eastAsia="Times New Roman" w:hAnsiTheme="minorHAnsi"/>
          <w:color w:val="000000" w:themeColor="text1"/>
          <w:lang w:eastAsia="sk-SK"/>
        </w:rPr>
        <w:t xml:space="preserve"> des </w:t>
      </w:r>
      <w:proofErr w:type="spellStart"/>
      <w:r w:rsidRPr="002D7A10">
        <w:rPr>
          <w:rFonts w:asciiTheme="minorHAnsi" w:eastAsia="Times New Roman" w:hAnsiTheme="minorHAnsi"/>
          <w:color w:val="000000" w:themeColor="text1"/>
          <w:lang w:eastAsia="sk-SK"/>
        </w:rPr>
        <w:t>Societés</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d'Ingénieurs</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de</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Techniques</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de</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l'Automobile</w:t>
      </w:r>
      <w:proofErr w:type="spellEnd"/>
      <w:r w:rsidRPr="002D7A10">
        <w:rPr>
          <w:rFonts w:asciiTheme="minorHAnsi" w:eastAsia="Times New Roman" w:hAnsiTheme="minorHAnsi"/>
          <w:color w:val="000000" w:themeColor="text1"/>
          <w:lang w:eastAsia="sk-SK"/>
        </w:rPr>
        <w:t xml:space="preserve"> (</w:t>
      </w:r>
      <w:hyperlink r:id="rId66" w:history="1">
        <w:r w:rsidRPr="002D7A10">
          <w:rPr>
            <w:rFonts w:asciiTheme="minorHAnsi" w:eastAsia="Times New Roman" w:hAnsiTheme="minorHAnsi"/>
            <w:color w:val="000000" w:themeColor="text1"/>
            <w:lang w:eastAsia="sk-SK"/>
          </w:rPr>
          <w:t>FISITA</w:t>
        </w:r>
      </w:hyperlink>
      <w:r w:rsidRPr="002D7A10">
        <w:rPr>
          <w:rFonts w:asciiTheme="minorHAnsi" w:eastAsia="Times New Roman" w:hAnsiTheme="minorHAnsi"/>
          <w:color w:val="000000" w:themeColor="text1"/>
          <w:lang w:eastAsia="sk-SK"/>
        </w:rPr>
        <w:t>)</w:t>
      </w:r>
    </w:p>
    <w:p w:rsidR="00647715" w:rsidRPr="002D7A10" w:rsidRDefault="002C13A2" w:rsidP="00481942">
      <w:pPr>
        <w:numPr>
          <w:ilvl w:val="0"/>
          <w:numId w:val="35"/>
        </w:numPr>
        <w:jc w:val="left"/>
        <w:rPr>
          <w:rFonts w:asciiTheme="minorHAnsi" w:eastAsia="Times New Roman" w:hAnsiTheme="minorHAnsi"/>
          <w:color w:val="000000" w:themeColor="text1"/>
          <w:lang w:eastAsia="sk-SK"/>
        </w:rPr>
      </w:pPr>
      <w:hyperlink r:id="rId67" w:history="1">
        <w:r w:rsidR="00647715" w:rsidRPr="002D7A10">
          <w:rPr>
            <w:rFonts w:asciiTheme="minorHAnsi" w:eastAsia="Times New Roman" w:hAnsiTheme="minorHAnsi"/>
            <w:color w:val="000000" w:themeColor="text1"/>
            <w:lang w:eastAsia="sk-SK"/>
          </w:rPr>
          <w:t xml:space="preserve">Česká </w:t>
        </w:r>
        <w:proofErr w:type="spellStart"/>
        <w:r w:rsidR="00647715" w:rsidRPr="002D7A10">
          <w:rPr>
            <w:rFonts w:asciiTheme="minorHAnsi" w:eastAsia="Times New Roman" w:hAnsiTheme="minorHAnsi"/>
            <w:color w:val="000000" w:themeColor="text1"/>
            <w:lang w:eastAsia="sk-SK"/>
          </w:rPr>
          <w:t>slévárenská</w:t>
        </w:r>
        <w:proofErr w:type="spellEnd"/>
        <w:r w:rsidR="00647715" w:rsidRPr="002D7A10">
          <w:rPr>
            <w:rFonts w:asciiTheme="minorHAnsi" w:eastAsia="Times New Roman" w:hAnsiTheme="minorHAnsi"/>
            <w:color w:val="000000" w:themeColor="text1"/>
            <w:lang w:eastAsia="sk-SK"/>
          </w:rPr>
          <w:t xml:space="preserve"> </w:t>
        </w:r>
        <w:proofErr w:type="spellStart"/>
        <w:r w:rsidR="00647715" w:rsidRPr="002D7A10">
          <w:rPr>
            <w:rFonts w:asciiTheme="minorHAnsi" w:eastAsia="Times New Roman" w:hAnsiTheme="minorHAnsi"/>
            <w:color w:val="000000" w:themeColor="text1"/>
            <w:lang w:eastAsia="sk-SK"/>
          </w:rPr>
          <w:t>společnost</w:t>
        </w:r>
        <w:proofErr w:type="spellEnd"/>
      </w:hyperlink>
    </w:p>
    <w:p w:rsidR="00647715" w:rsidRPr="002D7A10" w:rsidRDefault="00647715" w:rsidP="00647715">
      <w:pPr>
        <w:rPr>
          <w:rFonts w:asciiTheme="minorHAnsi" w:eastAsia="Times New Roman" w:hAnsiTheme="minorHAnsi"/>
          <w:lang w:eastAsia="sk-SK"/>
        </w:rPr>
      </w:pPr>
      <w:proofErr w:type="spellStart"/>
      <w:r w:rsidRPr="002D7A10">
        <w:rPr>
          <w:rFonts w:asciiTheme="minorHAnsi" w:eastAsia="Times New Roman" w:hAnsiTheme="minorHAnsi"/>
          <w:b/>
          <w:bCs/>
          <w:lang w:eastAsia="sk-SK"/>
        </w:rPr>
        <w:t>Materiálovotechnologická</w:t>
      </w:r>
      <w:proofErr w:type="spellEnd"/>
      <w:r w:rsidRPr="002D7A10">
        <w:rPr>
          <w:rFonts w:asciiTheme="minorHAnsi" w:eastAsia="Times New Roman" w:hAnsiTheme="minorHAnsi"/>
          <w:b/>
          <w:bCs/>
          <w:lang w:eastAsia="sk-SK"/>
        </w:rPr>
        <w:t xml:space="preserve"> fakulta v Trnave:</w:t>
      </w:r>
    </w:p>
    <w:p w:rsidR="00647715" w:rsidRPr="002D7A10" w:rsidRDefault="00647715" w:rsidP="00481942">
      <w:pPr>
        <w:numPr>
          <w:ilvl w:val="0"/>
          <w:numId w:val="36"/>
        </w:numPr>
        <w:jc w:val="left"/>
        <w:rPr>
          <w:rFonts w:asciiTheme="minorHAnsi" w:eastAsia="Times New Roman" w:hAnsiTheme="minorHAnsi"/>
          <w:lang w:eastAsia="sk-SK"/>
        </w:rPr>
      </w:pPr>
      <w:proofErr w:type="spellStart"/>
      <w:r w:rsidRPr="002D7A10">
        <w:rPr>
          <w:rFonts w:asciiTheme="minorHAnsi" w:eastAsia="Times New Roman" w:hAnsiTheme="minorHAnsi"/>
          <w:lang w:eastAsia="sk-SK"/>
        </w:rPr>
        <w:t>European</w:t>
      </w:r>
      <w:proofErr w:type="spellEnd"/>
      <w:r w:rsidRPr="002D7A10">
        <w:rPr>
          <w:rFonts w:asciiTheme="minorHAnsi" w:eastAsia="Times New Roman" w:hAnsiTheme="minorHAnsi"/>
          <w:lang w:eastAsia="sk-SK"/>
        </w:rPr>
        <w:t xml:space="preserve"> </w:t>
      </w:r>
      <w:proofErr w:type="spellStart"/>
      <w:r w:rsidRPr="002D7A10">
        <w:rPr>
          <w:rFonts w:asciiTheme="minorHAnsi" w:eastAsia="Times New Roman" w:hAnsiTheme="minorHAnsi"/>
          <w:lang w:eastAsia="sk-SK"/>
        </w:rPr>
        <w:t>Alliance</w:t>
      </w:r>
      <w:proofErr w:type="spellEnd"/>
      <w:r w:rsidRPr="002D7A10">
        <w:rPr>
          <w:rFonts w:asciiTheme="minorHAnsi" w:eastAsia="Times New Roman" w:hAnsiTheme="minorHAnsi"/>
          <w:lang w:eastAsia="sk-SK"/>
        </w:rPr>
        <w:t xml:space="preserve"> </w:t>
      </w:r>
      <w:proofErr w:type="spellStart"/>
      <w:r w:rsidRPr="002D7A10">
        <w:rPr>
          <w:rFonts w:asciiTheme="minorHAnsi" w:eastAsia="Times New Roman" w:hAnsiTheme="minorHAnsi"/>
          <w:lang w:eastAsia="sk-SK"/>
        </w:rPr>
        <w:t>for</w:t>
      </w:r>
      <w:proofErr w:type="spellEnd"/>
      <w:r w:rsidRPr="002D7A10">
        <w:rPr>
          <w:rFonts w:asciiTheme="minorHAnsi" w:eastAsia="Times New Roman" w:hAnsiTheme="minorHAnsi"/>
          <w:lang w:eastAsia="sk-SK"/>
        </w:rPr>
        <w:t> </w:t>
      </w:r>
      <w:proofErr w:type="spellStart"/>
      <w:r w:rsidRPr="002D7A10">
        <w:rPr>
          <w:rFonts w:asciiTheme="minorHAnsi" w:eastAsia="Times New Roman" w:hAnsiTheme="minorHAnsi"/>
          <w:color w:val="000000" w:themeColor="text1"/>
          <w:lang w:eastAsia="sk-SK"/>
        </w:rPr>
        <w:t>Innovation</w:t>
      </w:r>
      <w:proofErr w:type="spellEnd"/>
      <w:r w:rsidRPr="002D7A10">
        <w:rPr>
          <w:rFonts w:asciiTheme="minorHAnsi" w:eastAsia="Times New Roman" w:hAnsiTheme="minorHAnsi"/>
          <w:color w:val="000000" w:themeColor="text1"/>
          <w:lang w:eastAsia="sk-SK"/>
        </w:rPr>
        <w:t xml:space="preserve"> (</w:t>
      </w:r>
      <w:hyperlink r:id="rId68" w:history="1">
        <w:r w:rsidRPr="002D7A10">
          <w:rPr>
            <w:rFonts w:asciiTheme="minorHAnsi" w:eastAsia="Times New Roman" w:hAnsiTheme="minorHAnsi"/>
            <w:color w:val="000000" w:themeColor="text1"/>
            <w:lang w:eastAsia="sk-SK"/>
          </w:rPr>
          <w:t>EAI</w:t>
        </w:r>
      </w:hyperlink>
      <w:r w:rsidRPr="002D7A10">
        <w:rPr>
          <w:rFonts w:asciiTheme="minorHAnsi" w:eastAsia="Times New Roman" w:hAnsiTheme="minorHAnsi"/>
          <w:color w:val="000000" w:themeColor="text1"/>
          <w:lang w:eastAsia="sk-SK"/>
        </w:rPr>
        <w:t>)</w:t>
      </w:r>
    </w:p>
    <w:p w:rsidR="00647715" w:rsidRPr="002D7A10" w:rsidRDefault="00647715" w:rsidP="00481942">
      <w:pPr>
        <w:numPr>
          <w:ilvl w:val="0"/>
          <w:numId w:val="37"/>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European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Virtual</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Institute</w:t>
      </w:r>
      <w:proofErr w:type="spellEnd"/>
      <w:r w:rsidRPr="002D7A10">
        <w:rPr>
          <w:rFonts w:asciiTheme="minorHAnsi" w:eastAsia="Times New Roman" w:hAnsiTheme="minorHAnsi"/>
          <w:color w:val="000000" w:themeColor="text1"/>
          <w:lang w:eastAsia="sk-SK"/>
        </w:rPr>
        <w:t xml:space="preserve"> on </w:t>
      </w:r>
      <w:proofErr w:type="spellStart"/>
      <w:r w:rsidRPr="002D7A10">
        <w:rPr>
          <w:rFonts w:asciiTheme="minorHAnsi" w:eastAsia="Times New Roman" w:hAnsiTheme="minorHAnsi"/>
          <w:color w:val="000000" w:themeColor="text1"/>
          <w:lang w:eastAsia="sk-SK"/>
        </w:rPr>
        <w:t>Knowledge-based</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Multifunctional</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Materials</w:t>
      </w:r>
      <w:proofErr w:type="spellEnd"/>
      <w:r w:rsidRPr="002D7A10">
        <w:rPr>
          <w:rFonts w:asciiTheme="minorHAnsi" w:eastAsia="Times New Roman" w:hAnsiTheme="minorHAnsi"/>
          <w:color w:val="000000" w:themeColor="text1"/>
          <w:lang w:eastAsia="sk-SK"/>
        </w:rPr>
        <w:t xml:space="preserve"> AISBL (</w:t>
      </w:r>
      <w:hyperlink r:id="rId69" w:history="1">
        <w:r w:rsidRPr="002D7A10">
          <w:rPr>
            <w:rFonts w:asciiTheme="minorHAnsi" w:eastAsia="Times New Roman" w:hAnsiTheme="minorHAnsi"/>
            <w:color w:val="000000" w:themeColor="text1"/>
            <w:lang w:eastAsia="sk-SK"/>
          </w:rPr>
          <w:t>KMM-VIN</w:t>
        </w:r>
      </w:hyperlink>
      <w:r w:rsidRPr="002D7A10">
        <w:rPr>
          <w:rFonts w:asciiTheme="minorHAnsi" w:eastAsia="Times New Roman" w:hAnsiTheme="minorHAnsi"/>
          <w:color w:val="000000" w:themeColor="text1"/>
          <w:lang w:eastAsia="sk-SK"/>
        </w:rPr>
        <w:t>)</w:t>
      </w:r>
    </w:p>
    <w:p w:rsidR="00647715" w:rsidRPr="002D7A10" w:rsidRDefault="00647715" w:rsidP="00481942">
      <w:pPr>
        <w:numPr>
          <w:ilvl w:val="0"/>
          <w:numId w:val="38"/>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European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Network</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Education</w:t>
      </w:r>
      <w:proofErr w:type="spellEnd"/>
      <w:r w:rsidRPr="002D7A10">
        <w:rPr>
          <w:rFonts w:asciiTheme="minorHAnsi" w:eastAsia="Times New Roman" w:hAnsiTheme="minorHAnsi"/>
          <w:color w:val="000000" w:themeColor="text1"/>
          <w:lang w:eastAsia="sk-SK"/>
        </w:rPr>
        <w:t xml:space="preserve"> and </w:t>
      </w:r>
      <w:proofErr w:type="spellStart"/>
      <w:r w:rsidRPr="002D7A10">
        <w:rPr>
          <w:rFonts w:asciiTheme="minorHAnsi" w:eastAsia="Times New Roman" w:hAnsiTheme="minorHAnsi"/>
          <w:color w:val="000000" w:themeColor="text1"/>
          <w:lang w:eastAsia="sk-SK"/>
        </w:rPr>
        <w:t>Training</w:t>
      </w:r>
      <w:proofErr w:type="spellEnd"/>
      <w:r w:rsidRPr="002D7A10">
        <w:rPr>
          <w:rFonts w:asciiTheme="minorHAnsi" w:eastAsia="Times New Roman" w:hAnsiTheme="minorHAnsi"/>
          <w:color w:val="000000" w:themeColor="text1"/>
          <w:lang w:eastAsia="sk-SK"/>
        </w:rPr>
        <w:t xml:space="preserve"> in </w:t>
      </w:r>
      <w:proofErr w:type="spellStart"/>
      <w:r w:rsidRPr="002D7A10">
        <w:rPr>
          <w:rFonts w:asciiTheme="minorHAnsi" w:eastAsia="Times New Roman" w:hAnsiTheme="minorHAnsi"/>
          <w:color w:val="000000" w:themeColor="text1"/>
          <w:lang w:eastAsia="sk-SK"/>
        </w:rPr>
        <w:t>Occupational</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Safety</w:t>
      </w:r>
      <w:proofErr w:type="spellEnd"/>
      <w:r w:rsidRPr="002D7A10">
        <w:rPr>
          <w:rFonts w:asciiTheme="minorHAnsi" w:eastAsia="Times New Roman" w:hAnsiTheme="minorHAnsi"/>
          <w:color w:val="000000" w:themeColor="text1"/>
          <w:lang w:eastAsia="sk-SK"/>
        </w:rPr>
        <w:t xml:space="preserve"> and </w:t>
      </w:r>
      <w:proofErr w:type="spellStart"/>
      <w:r w:rsidRPr="002D7A10">
        <w:rPr>
          <w:rFonts w:asciiTheme="minorHAnsi" w:eastAsia="Times New Roman" w:hAnsiTheme="minorHAnsi"/>
          <w:color w:val="000000" w:themeColor="text1"/>
          <w:lang w:eastAsia="sk-SK"/>
        </w:rPr>
        <w:t>Health</w:t>
      </w:r>
      <w:proofErr w:type="spellEnd"/>
      <w:r w:rsidRPr="002D7A10">
        <w:rPr>
          <w:rFonts w:asciiTheme="minorHAnsi" w:eastAsia="Times New Roman" w:hAnsiTheme="minorHAnsi"/>
          <w:color w:val="000000" w:themeColor="text1"/>
          <w:lang w:eastAsia="sk-SK"/>
        </w:rPr>
        <w:t xml:space="preserve"> (</w:t>
      </w:r>
      <w:hyperlink r:id="rId70" w:history="1">
        <w:r w:rsidRPr="002D7A10">
          <w:rPr>
            <w:rFonts w:asciiTheme="minorHAnsi" w:eastAsia="Times New Roman" w:hAnsiTheme="minorHAnsi"/>
            <w:color w:val="000000" w:themeColor="text1"/>
            <w:lang w:eastAsia="sk-SK"/>
          </w:rPr>
          <w:t>ENETOSH</w:t>
        </w:r>
      </w:hyperlink>
      <w:r w:rsidRPr="002D7A10">
        <w:rPr>
          <w:rFonts w:asciiTheme="minorHAnsi" w:eastAsia="Times New Roman" w:hAnsiTheme="minorHAnsi"/>
          <w:color w:val="000000" w:themeColor="text1"/>
          <w:lang w:eastAsia="sk-SK"/>
        </w:rPr>
        <w:t>)</w:t>
      </w:r>
    </w:p>
    <w:p w:rsidR="00647715" w:rsidRPr="002D7A10" w:rsidRDefault="00647715" w:rsidP="00481942">
      <w:pPr>
        <w:numPr>
          <w:ilvl w:val="0"/>
          <w:numId w:val="39"/>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European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Platform</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of</w:t>
      </w:r>
      <w:proofErr w:type="spellEnd"/>
      <w:r w:rsidRPr="002D7A10">
        <w:rPr>
          <w:rFonts w:asciiTheme="minorHAnsi" w:eastAsia="Times New Roman" w:hAnsiTheme="minorHAnsi"/>
          <w:color w:val="000000" w:themeColor="text1"/>
          <w:lang w:eastAsia="sk-SK"/>
        </w:rPr>
        <w:t> </w:t>
      </w:r>
      <w:proofErr w:type="spellStart"/>
      <w:r w:rsidRPr="002D7A10">
        <w:rPr>
          <w:rFonts w:asciiTheme="minorHAnsi" w:eastAsia="Times New Roman" w:hAnsiTheme="minorHAnsi"/>
          <w:color w:val="000000" w:themeColor="text1"/>
          <w:lang w:eastAsia="sk-SK"/>
        </w:rPr>
        <w:t>Women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Scientists</w:t>
      </w:r>
      <w:proofErr w:type="spellEnd"/>
      <w:r w:rsidRPr="002D7A10">
        <w:rPr>
          <w:rFonts w:asciiTheme="minorHAnsi" w:eastAsia="Times New Roman" w:hAnsiTheme="minorHAnsi"/>
          <w:color w:val="000000" w:themeColor="text1"/>
          <w:lang w:eastAsia="sk-SK"/>
        </w:rPr>
        <w:t xml:space="preserve"> (</w:t>
      </w:r>
      <w:hyperlink r:id="rId71" w:history="1">
        <w:r w:rsidRPr="002D7A10">
          <w:rPr>
            <w:rFonts w:asciiTheme="minorHAnsi" w:eastAsia="Times New Roman" w:hAnsiTheme="minorHAnsi"/>
            <w:color w:val="000000" w:themeColor="text1"/>
            <w:lang w:eastAsia="sk-SK"/>
          </w:rPr>
          <w:t>EPWS</w:t>
        </w:r>
      </w:hyperlink>
      <w:r w:rsidRPr="002D7A10">
        <w:rPr>
          <w:rFonts w:asciiTheme="minorHAnsi" w:eastAsia="Times New Roman" w:hAnsiTheme="minorHAnsi"/>
          <w:color w:val="000000" w:themeColor="text1"/>
          <w:lang w:eastAsia="sk-SK"/>
        </w:rPr>
        <w:t>)</w:t>
      </w:r>
    </w:p>
    <w:p w:rsidR="00647715" w:rsidRPr="002D7A10" w:rsidRDefault="00647715" w:rsidP="00481942">
      <w:pPr>
        <w:numPr>
          <w:ilvl w:val="0"/>
          <w:numId w:val="40"/>
        </w:numPr>
        <w:jc w:val="left"/>
        <w:rPr>
          <w:rFonts w:asciiTheme="minorHAnsi" w:eastAsia="Times New Roman" w:hAnsiTheme="minorHAnsi"/>
          <w:color w:val="000000" w:themeColor="text1"/>
          <w:lang w:eastAsia="sk-SK"/>
        </w:rPr>
      </w:pPr>
      <w:proofErr w:type="spellStart"/>
      <w:r w:rsidRPr="002D7A10">
        <w:rPr>
          <w:rFonts w:asciiTheme="minorHAnsi" w:eastAsia="Times New Roman" w:hAnsiTheme="minorHAnsi"/>
          <w:color w:val="000000" w:themeColor="text1"/>
          <w:lang w:eastAsia="sk-SK"/>
        </w:rPr>
        <w:t>Asociace</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pro</w:t>
      </w:r>
      <w:proofErr w:type="spellEnd"/>
      <w:r w:rsidRPr="002D7A10">
        <w:rPr>
          <w:rFonts w:asciiTheme="minorHAnsi" w:eastAsia="Times New Roman" w:hAnsiTheme="minorHAnsi"/>
          <w:color w:val="000000" w:themeColor="text1"/>
          <w:lang w:eastAsia="sk-SK"/>
        </w:rPr>
        <w:t xml:space="preserve"> tepelné </w:t>
      </w:r>
      <w:proofErr w:type="spellStart"/>
      <w:r w:rsidRPr="002D7A10">
        <w:rPr>
          <w:rFonts w:asciiTheme="minorHAnsi" w:eastAsia="Times New Roman" w:hAnsiTheme="minorHAnsi"/>
          <w:color w:val="000000" w:themeColor="text1"/>
          <w:lang w:eastAsia="sk-SK"/>
        </w:rPr>
        <w:t>zpracování</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kovů</w:t>
      </w:r>
      <w:proofErr w:type="spellEnd"/>
      <w:r w:rsidRPr="002D7A10">
        <w:rPr>
          <w:rFonts w:asciiTheme="minorHAnsi" w:eastAsia="Times New Roman" w:hAnsiTheme="minorHAnsi"/>
          <w:color w:val="000000" w:themeColor="text1"/>
          <w:lang w:eastAsia="sk-SK"/>
        </w:rPr>
        <w:t xml:space="preserve"> (</w:t>
      </w:r>
      <w:hyperlink r:id="rId72" w:history="1">
        <w:r w:rsidRPr="002D7A10">
          <w:rPr>
            <w:rFonts w:asciiTheme="minorHAnsi" w:eastAsia="Times New Roman" w:hAnsiTheme="minorHAnsi"/>
            <w:color w:val="000000" w:themeColor="text1"/>
            <w:lang w:eastAsia="sk-SK"/>
          </w:rPr>
          <w:t>ATZK</w:t>
        </w:r>
      </w:hyperlink>
      <w:r w:rsidRPr="002D7A10">
        <w:rPr>
          <w:rFonts w:asciiTheme="minorHAnsi" w:eastAsia="Times New Roman" w:hAnsiTheme="minorHAnsi"/>
          <w:color w:val="000000" w:themeColor="text1"/>
          <w:lang w:eastAsia="sk-SK"/>
        </w:rPr>
        <w:t>)</w:t>
      </w:r>
    </w:p>
    <w:p w:rsidR="00647715" w:rsidRPr="002D7A10" w:rsidRDefault="00647715" w:rsidP="00481942">
      <w:pPr>
        <w:numPr>
          <w:ilvl w:val="0"/>
          <w:numId w:val="41"/>
        </w:numPr>
        <w:jc w:val="left"/>
        <w:rPr>
          <w:rFonts w:asciiTheme="minorHAnsi" w:eastAsia="Times New Roman" w:hAnsiTheme="minorHAnsi"/>
          <w:lang w:eastAsia="sk-SK"/>
        </w:rPr>
      </w:pPr>
      <w:r w:rsidRPr="002D7A10">
        <w:rPr>
          <w:rFonts w:asciiTheme="minorHAnsi" w:eastAsia="Times New Roman" w:hAnsiTheme="minorHAnsi"/>
          <w:color w:val="000000" w:themeColor="text1"/>
          <w:lang w:eastAsia="sk-SK"/>
        </w:rPr>
        <w:t xml:space="preserve">EEDC AISBL C/O SEFI AISBL </w:t>
      </w:r>
      <w:proofErr w:type="spellStart"/>
      <w:r w:rsidRPr="002D7A10">
        <w:rPr>
          <w:rFonts w:asciiTheme="minorHAnsi" w:eastAsia="Times New Roman" w:hAnsiTheme="minorHAnsi"/>
          <w:color w:val="000000" w:themeColor="text1"/>
          <w:lang w:eastAsia="sk-SK"/>
        </w:rPr>
        <w:t>European</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color w:val="000000" w:themeColor="text1"/>
          <w:lang w:eastAsia="sk-SK"/>
        </w:rPr>
        <w:t>Engineering</w:t>
      </w:r>
      <w:proofErr w:type="spellEnd"/>
      <w:r w:rsidRPr="002D7A10">
        <w:rPr>
          <w:rFonts w:asciiTheme="minorHAnsi" w:eastAsia="Times New Roman" w:hAnsiTheme="minorHAnsi"/>
          <w:color w:val="000000" w:themeColor="text1"/>
          <w:lang w:eastAsia="sk-SK"/>
        </w:rPr>
        <w:t xml:space="preserve"> </w:t>
      </w:r>
      <w:proofErr w:type="spellStart"/>
      <w:r w:rsidRPr="002D7A10">
        <w:rPr>
          <w:rFonts w:asciiTheme="minorHAnsi" w:eastAsia="Times New Roman" w:hAnsiTheme="minorHAnsi"/>
          <w:lang w:eastAsia="sk-SK"/>
        </w:rPr>
        <w:t>Deans</w:t>
      </w:r>
      <w:proofErr w:type="spellEnd"/>
      <w:r w:rsidRPr="002D7A10">
        <w:rPr>
          <w:rFonts w:asciiTheme="minorHAnsi" w:eastAsia="Times New Roman" w:hAnsiTheme="minorHAnsi"/>
          <w:lang w:eastAsia="sk-SK"/>
        </w:rPr>
        <w:t xml:space="preserve"> </w:t>
      </w:r>
      <w:proofErr w:type="spellStart"/>
      <w:r w:rsidRPr="002D7A10">
        <w:rPr>
          <w:rFonts w:asciiTheme="minorHAnsi" w:eastAsia="Times New Roman" w:hAnsiTheme="minorHAnsi"/>
          <w:lang w:eastAsia="sk-SK"/>
        </w:rPr>
        <w:t>Council</w:t>
      </w:r>
      <w:proofErr w:type="spellEnd"/>
    </w:p>
    <w:p w:rsidR="00647715" w:rsidRPr="002D7A10" w:rsidRDefault="00647715" w:rsidP="00647715">
      <w:pPr>
        <w:rPr>
          <w:rFonts w:asciiTheme="minorHAnsi" w:eastAsia="Times New Roman" w:hAnsiTheme="minorHAnsi"/>
          <w:lang w:eastAsia="sk-SK"/>
        </w:rPr>
      </w:pPr>
      <w:r w:rsidRPr="002D7A10">
        <w:rPr>
          <w:rFonts w:asciiTheme="minorHAnsi" w:eastAsia="Times New Roman" w:hAnsiTheme="minorHAnsi"/>
          <w:b/>
          <w:bCs/>
          <w:lang w:eastAsia="sk-SK"/>
        </w:rPr>
        <w:t>Ústav manažmentu:</w:t>
      </w:r>
    </w:p>
    <w:p w:rsidR="00647715" w:rsidRPr="002D7A10" w:rsidRDefault="00647715" w:rsidP="00481942">
      <w:pPr>
        <w:numPr>
          <w:ilvl w:val="0"/>
          <w:numId w:val="42"/>
        </w:numPr>
        <w:jc w:val="left"/>
        <w:rPr>
          <w:rFonts w:asciiTheme="minorHAnsi" w:eastAsia="Times New Roman" w:hAnsiTheme="minorHAnsi"/>
          <w:lang w:eastAsia="sk-SK"/>
        </w:rPr>
      </w:pPr>
      <w:proofErr w:type="spellStart"/>
      <w:r w:rsidRPr="002D7A10">
        <w:rPr>
          <w:rFonts w:asciiTheme="minorHAnsi" w:eastAsia="Times New Roman" w:hAnsiTheme="minorHAnsi"/>
          <w:lang w:eastAsia="sk-SK"/>
        </w:rPr>
        <w:t>Network</w:t>
      </w:r>
      <w:proofErr w:type="spellEnd"/>
      <w:r w:rsidRPr="002D7A10">
        <w:rPr>
          <w:rFonts w:asciiTheme="minorHAnsi" w:eastAsia="Times New Roman" w:hAnsiTheme="minorHAnsi"/>
          <w:lang w:eastAsia="sk-SK"/>
        </w:rPr>
        <w:t xml:space="preserve"> </w:t>
      </w:r>
      <w:proofErr w:type="spellStart"/>
      <w:r w:rsidRPr="002D7A10">
        <w:rPr>
          <w:rFonts w:asciiTheme="minorHAnsi" w:eastAsia="Times New Roman" w:hAnsiTheme="minorHAnsi"/>
          <w:lang w:eastAsia="sk-SK"/>
        </w:rPr>
        <w:t>of</w:t>
      </w:r>
      <w:proofErr w:type="spellEnd"/>
      <w:r w:rsidRPr="002D7A10">
        <w:rPr>
          <w:rFonts w:asciiTheme="minorHAnsi" w:eastAsia="Times New Roman" w:hAnsiTheme="minorHAnsi"/>
          <w:lang w:eastAsia="sk-SK"/>
        </w:rPr>
        <w:t> </w:t>
      </w:r>
      <w:proofErr w:type="spellStart"/>
      <w:r w:rsidRPr="002D7A10">
        <w:rPr>
          <w:rFonts w:asciiTheme="minorHAnsi" w:eastAsia="Times New Roman" w:hAnsiTheme="minorHAnsi"/>
          <w:lang w:eastAsia="sk-SK"/>
        </w:rPr>
        <w:t>Spatial</w:t>
      </w:r>
      <w:proofErr w:type="spellEnd"/>
      <w:r w:rsidRPr="002D7A10">
        <w:rPr>
          <w:rFonts w:asciiTheme="minorHAnsi" w:eastAsia="Times New Roman" w:hAnsiTheme="minorHAnsi"/>
          <w:lang w:eastAsia="sk-SK"/>
        </w:rPr>
        <w:t xml:space="preserve"> </w:t>
      </w:r>
      <w:proofErr w:type="spellStart"/>
      <w:r w:rsidRPr="002D7A10">
        <w:rPr>
          <w:rFonts w:asciiTheme="minorHAnsi" w:eastAsia="Times New Roman" w:hAnsiTheme="minorHAnsi"/>
          <w:lang w:eastAsia="sk-SK"/>
        </w:rPr>
        <w:t>Research</w:t>
      </w:r>
      <w:proofErr w:type="spellEnd"/>
      <w:r w:rsidRPr="002D7A10">
        <w:rPr>
          <w:rFonts w:asciiTheme="minorHAnsi" w:eastAsia="Times New Roman" w:hAnsiTheme="minorHAnsi"/>
          <w:lang w:eastAsia="sk-SK"/>
        </w:rPr>
        <w:t xml:space="preserve"> and </w:t>
      </w:r>
      <w:proofErr w:type="spellStart"/>
      <w:r w:rsidRPr="002D7A10">
        <w:rPr>
          <w:rFonts w:asciiTheme="minorHAnsi" w:eastAsia="Times New Roman" w:hAnsiTheme="minorHAnsi"/>
          <w:lang w:eastAsia="sk-SK"/>
        </w:rPr>
        <w:t>Planning</w:t>
      </w:r>
      <w:proofErr w:type="spellEnd"/>
      <w:r w:rsidRPr="002D7A10">
        <w:rPr>
          <w:rFonts w:asciiTheme="minorHAnsi" w:eastAsia="Times New Roman" w:hAnsiTheme="minorHAnsi"/>
          <w:lang w:eastAsia="sk-SK"/>
        </w:rPr>
        <w:t xml:space="preserve"> in </w:t>
      </w:r>
      <w:proofErr w:type="spellStart"/>
      <w:r w:rsidRPr="002D7A10">
        <w:rPr>
          <w:rFonts w:asciiTheme="minorHAnsi" w:eastAsia="Times New Roman" w:hAnsiTheme="minorHAnsi"/>
          <w:lang w:eastAsia="sk-SK"/>
        </w:rPr>
        <w:t>Central</w:t>
      </w:r>
      <w:proofErr w:type="spellEnd"/>
      <w:r w:rsidRPr="002D7A10">
        <w:rPr>
          <w:rFonts w:asciiTheme="minorHAnsi" w:eastAsia="Times New Roman" w:hAnsiTheme="minorHAnsi"/>
          <w:lang w:eastAsia="sk-SK"/>
        </w:rPr>
        <w:t xml:space="preserve">, </w:t>
      </w:r>
      <w:proofErr w:type="spellStart"/>
      <w:r w:rsidRPr="002D7A10">
        <w:rPr>
          <w:rFonts w:asciiTheme="minorHAnsi" w:eastAsia="Times New Roman" w:hAnsiTheme="minorHAnsi"/>
          <w:lang w:eastAsia="sk-SK"/>
        </w:rPr>
        <w:t>Eastern</w:t>
      </w:r>
      <w:proofErr w:type="spellEnd"/>
      <w:r w:rsidRPr="002D7A10">
        <w:rPr>
          <w:rFonts w:asciiTheme="minorHAnsi" w:eastAsia="Times New Roman" w:hAnsiTheme="minorHAnsi"/>
          <w:lang w:eastAsia="sk-SK"/>
        </w:rPr>
        <w:t xml:space="preserve"> and </w:t>
      </w:r>
      <w:proofErr w:type="spellStart"/>
      <w:r w:rsidRPr="002D7A10">
        <w:rPr>
          <w:rFonts w:asciiTheme="minorHAnsi" w:eastAsia="Times New Roman" w:hAnsiTheme="minorHAnsi"/>
          <w:lang w:eastAsia="sk-SK"/>
        </w:rPr>
        <w:t>South</w:t>
      </w:r>
      <w:proofErr w:type="spellEnd"/>
      <w:r w:rsidRPr="002D7A10">
        <w:rPr>
          <w:rFonts w:asciiTheme="minorHAnsi" w:eastAsia="Times New Roman" w:hAnsiTheme="minorHAnsi"/>
          <w:lang w:eastAsia="sk-SK"/>
        </w:rPr>
        <w:t xml:space="preserve"> </w:t>
      </w:r>
      <w:proofErr w:type="spellStart"/>
      <w:r w:rsidRPr="002D7A10">
        <w:rPr>
          <w:rFonts w:asciiTheme="minorHAnsi" w:eastAsia="Times New Roman" w:hAnsiTheme="minorHAnsi"/>
          <w:lang w:eastAsia="sk-SK"/>
        </w:rPr>
        <w:t>Eastern</w:t>
      </w:r>
      <w:proofErr w:type="spellEnd"/>
      <w:r w:rsidRPr="002D7A10">
        <w:rPr>
          <w:rFonts w:asciiTheme="minorHAnsi" w:eastAsia="Times New Roman" w:hAnsiTheme="minorHAnsi"/>
          <w:lang w:eastAsia="sk-SK"/>
        </w:rPr>
        <w:t xml:space="preserve"> </w:t>
      </w:r>
      <w:proofErr w:type="spellStart"/>
      <w:r w:rsidRPr="002D7A10">
        <w:rPr>
          <w:rFonts w:asciiTheme="minorHAnsi" w:eastAsia="Times New Roman" w:hAnsiTheme="minorHAnsi"/>
          <w:lang w:eastAsia="sk-SK"/>
        </w:rPr>
        <w:t>Europe</w:t>
      </w:r>
      <w:proofErr w:type="spellEnd"/>
      <w:r w:rsidRPr="002D7A10">
        <w:rPr>
          <w:rFonts w:asciiTheme="minorHAnsi" w:eastAsia="Times New Roman" w:hAnsiTheme="minorHAnsi"/>
          <w:lang w:eastAsia="sk-SK"/>
        </w:rPr>
        <w:t xml:space="preserve"> (SPA-CE.NET)</w:t>
      </w:r>
    </w:p>
    <w:p w:rsidR="00B51749" w:rsidRDefault="00B51749" w:rsidP="00B51749">
      <w:pPr>
        <w:pStyle w:val="Zkladntext2"/>
        <w:rPr>
          <w:rFonts w:asciiTheme="minorHAnsi" w:hAnsiTheme="minorHAnsi"/>
          <w:color w:val="FF0000"/>
          <w:sz w:val="24"/>
          <w:szCs w:val="24"/>
        </w:rPr>
      </w:pPr>
      <w:bookmarkStart w:id="75" w:name="_Toc349024727"/>
    </w:p>
    <w:p w:rsidR="00DC7369" w:rsidRPr="002D7A10" w:rsidRDefault="00DC7369" w:rsidP="00B51749">
      <w:pPr>
        <w:pStyle w:val="Zkladntext2"/>
        <w:rPr>
          <w:rFonts w:asciiTheme="minorHAnsi" w:hAnsiTheme="minorHAnsi"/>
          <w:color w:val="FF0000"/>
          <w:sz w:val="24"/>
          <w:szCs w:val="24"/>
        </w:rPr>
      </w:pPr>
    </w:p>
    <w:p w:rsidR="00B51749" w:rsidRPr="002D7A10" w:rsidRDefault="00B51749" w:rsidP="00B51749">
      <w:pPr>
        <w:pStyle w:val="Nadpis2"/>
        <w:rPr>
          <w:rFonts w:asciiTheme="minorHAnsi" w:hAnsiTheme="minorHAnsi"/>
          <w:color w:val="auto"/>
          <w:sz w:val="24"/>
          <w:szCs w:val="24"/>
        </w:rPr>
      </w:pPr>
      <w:bookmarkStart w:id="76" w:name="_Toc448261611"/>
      <w:bookmarkEnd w:id="75"/>
      <w:r w:rsidRPr="002D7A10">
        <w:rPr>
          <w:rFonts w:asciiTheme="minorHAnsi" w:hAnsiTheme="minorHAnsi"/>
          <w:color w:val="auto"/>
          <w:sz w:val="24"/>
          <w:szCs w:val="24"/>
        </w:rPr>
        <w:t>Vycestovania zamestnancov do zahraničia a prijatia zahraničných hostí</w:t>
      </w:r>
      <w:bookmarkEnd w:id="76"/>
      <w:r w:rsidRPr="002D7A10">
        <w:rPr>
          <w:rFonts w:asciiTheme="minorHAnsi" w:hAnsiTheme="minorHAnsi"/>
          <w:color w:val="auto"/>
          <w:sz w:val="24"/>
          <w:szCs w:val="24"/>
        </w:rPr>
        <w:t xml:space="preserve"> </w:t>
      </w:r>
    </w:p>
    <w:p w:rsidR="00B51749" w:rsidRPr="002D7A10" w:rsidRDefault="00B51749" w:rsidP="00B51749">
      <w:pPr>
        <w:pStyle w:val="Zkladntext2"/>
        <w:rPr>
          <w:rFonts w:asciiTheme="minorHAnsi" w:hAnsiTheme="minorHAnsi"/>
          <w:color w:val="FF0000"/>
          <w:sz w:val="24"/>
          <w:szCs w:val="24"/>
        </w:rPr>
      </w:pPr>
    </w:p>
    <w:p w:rsidR="00647715" w:rsidRPr="002D7A10" w:rsidRDefault="00647715" w:rsidP="00647715">
      <w:pPr>
        <w:rPr>
          <w:rFonts w:asciiTheme="minorHAnsi" w:eastAsia="Times New Roman" w:hAnsiTheme="minorHAnsi"/>
          <w:color w:val="000000"/>
          <w:lang w:eastAsia="ko-KR"/>
        </w:rPr>
      </w:pPr>
      <w:r w:rsidRPr="002D7A10">
        <w:rPr>
          <w:rFonts w:asciiTheme="minorHAnsi" w:eastAsia="Times New Roman" w:hAnsiTheme="minorHAnsi"/>
          <w:color w:val="000000"/>
          <w:lang w:eastAsia="ko-KR"/>
        </w:rPr>
        <w:lastRenderedPageBreak/>
        <w:t xml:space="preserve">Neoddeliteľnou súčasťou medzinárodnej spolupráce sú i zahraničné pracovné cesty zamestnancov a prijímanie zahraničných zamestnancov a hostí. </w:t>
      </w:r>
    </w:p>
    <w:p w:rsidR="00647715" w:rsidRPr="002D7A10" w:rsidRDefault="00647715" w:rsidP="00647715">
      <w:pPr>
        <w:rPr>
          <w:rFonts w:asciiTheme="minorHAnsi" w:eastAsia="Times New Roman" w:hAnsiTheme="minorHAnsi"/>
          <w:color w:val="000000"/>
          <w:lang w:eastAsia="ko-KR"/>
        </w:rPr>
      </w:pPr>
      <w:r w:rsidRPr="002D7A10">
        <w:rPr>
          <w:rFonts w:asciiTheme="minorHAnsi" w:eastAsia="Times New Roman" w:hAnsiTheme="minorHAnsi"/>
          <w:color w:val="000000"/>
          <w:lang w:eastAsia="ko-KR"/>
        </w:rPr>
        <w:t>V roku 2015 zrealizovali zamestnanci STU 3 545 zahraničných pracovných ciest</w:t>
      </w:r>
      <w:r w:rsidRPr="002D7A10">
        <w:rPr>
          <w:rFonts w:asciiTheme="minorHAnsi" w:eastAsia="Times New Roman" w:hAnsiTheme="minorHAnsi"/>
          <w:b/>
          <w:color w:val="000000"/>
          <w:lang w:eastAsia="ko-KR"/>
        </w:rPr>
        <w:t>.</w:t>
      </w:r>
      <w:r w:rsidRPr="002D7A10">
        <w:rPr>
          <w:rFonts w:asciiTheme="minorHAnsi" w:eastAsia="Times New Roman" w:hAnsiTheme="minorHAnsi"/>
          <w:color w:val="000000"/>
          <w:lang w:eastAsia="ko-KR"/>
        </w:rPr>
        <w:t xml:space="preserve"> Z celkového počtu vycestovaní sa najviac ciest uskutočnilo do Českej republiky, Rakúska a Nemecka. </w:t>
      </w:r>
    </w:p>
    <w:p w:rsidR="00647715" w:rsidRPr="00E14746" w:rsidRDefault="00647715" w:rsidP="00647715">
      <w:pPr>
        <w:rPr>
          <w:rFonts w:asciiTheme="minorHAnsi" w:hAnsiTheme="minorHAnsi"/>
          <w:color w:val="000000"/>
          <w:sz w:val="20"/>
          <w:szCs w:val="20"/>
        </w:rPr>
      </w:pPr>
    </w:p>
    <w:p w:rsidR="00647715" w:rsidRPr="00E14746" w:rsidRDefault="00647715" w:rsidP="00647715">
      <w:pPr>
        <w:rPr>
          <w:rFonts w:asciiTheme="minorHAnsi" w:eastAsia="Times New Roman" w:hAnsiTheme="minorHAnsi" w:cs="Arial"/>
          <w:b/>
          <w:bCs/>
          <w:color w:val="000000"/>
          <w:sz w:val="20"/>
          <w:szCs w:val="20"/>
        </w:rPr>
      </w:pPr>
      <w:r w:rsidRPr="00E14746">
        <w:rPr>
          <w:rFonts w:asciiTheme="minorHAnsi" w:eastAsia="Times New Roman" w:hAnsiTheme="minorHAnsi" w:cs="Arial"/>
          <w:b/>
          <w:bCs/>
          <w:sz w:val="20"/>
          <w:szCs w:val="20"/>
        </w:rPr>
        <w:t xml:space="preserve">Tabuľka 11.4: Vycestovania </w:t>
      </w:r>
      <w:r w:rsidRPr="00E14746">
        <w:rPr>
          <w:rFonts w:asciiTheme="minorHAnsi" w:eastAsia="Times New Roman" w:hAnsiTheme="minorHAnsi" w:cs="Arial"/>
          <w:b/>
          <w:bCs/>
          <w:color w:val="000000"/>
          <w:sz w:val="20"/>
          <w:szCs w:val="20"/>
        </w:rPr>
        <w:t xml:space="preserve">a prijatia v roku 2015   </w:t>
      </w:r>
    </w:p>
    <w:tbl>
      <w:tblPr>
        <w:tblW w:w="6961" w:type="dxa"/>
        <w:tblInd w:w="55" w:type="dxa"/>
        <w:tblLayout w:type="fixed"/>
        <w:tblCellMar>
          <w:left w:w="70" w:type="dxa"/>
          <w:right w:w="70" w:type="dxa"/>
        </w:tblCellMar>
        <w:tblLook w:val="04A0" w:firstRow="1" w:lastRow="0" w:firstColumn="1" w:lastColumn="0" w:noHBand="0" w:noVBand="1"/>
      </w:tblPr>
      <w:tblGrid>
        <w:gridCol w:w="1149"/>
        <w:gridCol w:w="2694"/>
        <w:gridCol w:w="3118"/>
      </w:tblGrid>
      <w:tr w:rsidR="00647715" w:rsidRPr="00E14746" w:rsidTr="00911364">
        <w:trPr>
          <w:trHeight w:val="630"/>
        </w:trPr>
        <w:tc>
          <w:tcPr>
            <w:tcW w:w="1149" w:type="dxa"/>
            <w:tcBorders>
              <w:top w:val="single" w:sz="4" w:space="0" w:color="auto"/>
              <w:left w:val="single" w:sz="4" w:space="0" w:color="auto"/>
              <w:bottom w:val="single" w:sz="4" w:space="0" w:color="auto"/>
              <w:right w:val="single" w:sz="4" w:space="0" w:color="auto"/>
            </w:tcBorders>
            <w:hideMark/>
          </w:tcPr>
          <w:p w:rsidR="00647715" w:rsidRPr="00E14746" w:rsidRDefault="00647715" w:rsidP="00911364">
            <w:pPr>
              <w:jc w:val="center"/>
              <w:rPr>
                <w:rFonts w:asciiTheme="minorHAnsi" w:hAnsiTheme="minorHAnsi" w:cs="Arial"/>
                <w:color w:val="000000"/>
                <w:sz w:val="20"/>
                <w:szCs w:val="20"/>
                <w:lang w:eastAsia="sk-SK"/>
              </w:rPr>
            </w:pPr>
          </w:p>
          <w:p w:rsidR="00647715" w:rsidRPr="00E14746" w:rsidRDefault="00647715" w:rsidP="00911364">
            <w:pPr>
              <w:jc w:val="center"/>
              <w:rPr>
                <w:rFonts w:asciiTheme="minorHAnsi" w:hAnsiTheme="minorHAnsi" w:cs="Arial"/>
                <w:color w:val="000000"/>
                <w:sz w:val="20"/>
                <w:szCs w:val="20"/>
                <w:lang w:eastAsia="sk-SK"/>
              </w:rPr>
            </w:pPr>
            <w:r w:rsidRPr="00E14746">
              <w:rPr>
                <w:rFonts w:asciiTheme="minorHAnsi" w:hAnsiTheme="minorHAnsi" w:cs="Arial"/>
                <w:color w:val="000000"/>
                <w:sz w:val="20"/>
                <w:szCs w:val="20"/>
                <w:lang w:eastAsia="sk-SK"/>
              </w:rPr>
              <w:t>STU</w:t>
            </w:r>
          </w:p>
        </w:tc>
        <w:tc>
          <w:tcPr>
            <w:tcW w:w="2694" w:type="dxa"/>
            <w:tcBorders>
              <w:top w:val="single" w:sz="4" w:space="0" w:color="auto"/>
              <w:left w:val="nil"/>
              <w:bottom w:val="single" w:sz="4" w:space="0" w:color="auto"/>
              <w:right w:val="single" w:sz="4" w:space="0" w:color="auto"/>
            </w:tcBorders>
            <w:hideMark/>
          </w:tcPr>
          <w:p w:rsidR="00647715" w:rsidRPr="00E14746" w:rsidRDefault="00647715" w:rsidP="00911364">
            <w:pPr>
              <w:jc w:val="cente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Počet vycestovaní</w:t>
            </w:r>
          </w:p>
          <w:p w:rsidR="00647715" w:rsidRPr="00E14746" w:rsidRDefault="00647715" w:rsidP="00911364">
            <w:pPr>
              <w:jc w:val="cente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zamestnancov</w:t>
            </w:r>
          </w:p>
        </w:tc>
        <w:tc>
          <w:tcPr>
            <w:tcW w:w="3118" w:type="dxa"/>
            <w:tcBorders>
              <w:top w:val="single" w:sz="4" w:space="0" w:color="auto"/>
              <w:left w:val="nil"/>
              <w:bottom w:val="single" w:sz="4" w:space="0" w:color="auto"/>
              <w:right w:val="single" w:sz="4" w:space="0" w:color="auto"/>
            </w:tcBorders>
            <w:hideMark/>
          </w:tcPr>
          <w:p w:rsidR="00647715" w:rsidRPr="00E14746" w:rsidRDefault="00647715" w:rsidP="00911364">
            <w:pPr>
              <w:jc w:val="cente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 xml:space="preserve">Počet prijatých </w:t>
            </w:r>
          </w:p>
          <w:p w:rsidR="00647715" w:rsidRPr="00E14746" w:rsidRDefault="00647715" w:rsidP="00911364">
            <w:pPr>
              <w:jc w:val="cente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zahraničných hostí</w:t>
            </w:r>
          </w:p>
        </w:tc>
      </w:tr>
      <w:tr w:rsidR="00647715" w:rsidRPr="00E14746" w:rsidTr="00911364">
        <w:trPr>
          <w:trHeight w:val="315"/>
        </w:trPr>
        <w:tc>
          <w:tcPr>
            <w:tcW w:w="1149" w:type="dxa"/>
            <w:tcBorders>
              <w:top w:val="nil"/>
              <w:left w:val="single" w:sz="4" w:space="0" w:color="auto"/>
              <w:bottom w:val="single" w:sz="4" w:space="0" w:color="auto"/>
              <w:right w:val="single" w:sz="4" w:space="0" w:color="auto"/>
            </w:tcBorders>
            <w:hideMark/>
          </w:tcPr>
          <w:p w:rsidR="00647715" w:rsidRPr="00E14746" w:rsidRDefault="00647715" w:rsidP="00911364">
            <w:pP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R-STU</w:t>
            </w:r>
          </w:p>
        </w:tc>
        <w:tc>
          <w:tcPr>
            <w:tcW w:w="2694"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167</w:t>
            </w:r>
          </w:p>
        </w:tc>
        <w:tc>
          <w:tcPr>
            <w:tcW w:w="3118"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16</w:t>
            </w:r>
          </w:p>
        </w:tc>
      </w:tr>
      <w:tr w:rsidR="00647715" w:rsidRPr="00E14746" w:rsidTr="00911364">
        <w:trPr>
          <w:trHeight w:val="315"/>
        </w:trPr>
        <w:tc>
          <w:tcPr>
            <w:tcW w:w="1149" w:type="dxa"/>
            <w:tcBorders>
              <w:top w:val="nil"/>
              <w:left w:val="single" w:sz="4" w:space="0" w:color="auto"/>
              <w:bottom w:val="single" w:sz="4" w:space="0" w:color="auto"/>
              <w:right w:val="single" w:sz="4" w:space="0" w:color="auto"/>
            </w:tcBorders>
            <w:hideMark/>
          </w:tcPr>
          <w:p w:rsidR="00647715" w:rsidRPr="00E14746" w:rsidRDefault="00647715" w:rsidP="00911364">
            <w:pP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SvF</w:t>
            </w:r>
          </w:p>
        </w:tc>
        <w:tc>
          <w:tcPr>
            <w:tcW w:w="2694"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883</w:t>
            </w:r>
          </w:p>
        </w:tc>
        <w:tc>
          <w:tcPr>
            <w:tcW w:w="3118"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0</w:t>
            </w:r>
          </w:p>
        </w:tc>
      </w:tr>
      <w:tr w:rsidR="00647715" w:rsidRPr="00E14746" w:rsidTr="00911364">
        <w:trPr>
          <w:trHeight w:val="315"/>
        </w:trPr>
        <w:tc>
          <w:tcPr>
            <w:tcW w:w="1149" w:type="dxa"/>
            <w:tcBorders>
              <w:top w:val="nil"/>
              <w:left w:val="single" w:sz="4" w:space="0" w:color="auto"/>
              <w:bottom w:val="single" w:sz="4" w:space="0" w:color="auto"/>
              <w:right w:val="single" w:sz="4" w:space="0" w:color="auto"/>
            </w:tcBorders>
            <w:hideMark/>
          </w:tcPr>
          <w:p w:rsidR="00647715" w:rsidRPr="00E14746" w:rsidRDefault="00647715" w:rsidP="00911364">
            <w:pP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SjF</w:t>
            </w:r>
          </w:p>
        </w:tc>
        <w:tc>
          <w:tcPr>
            <w:tcW w:w="2694"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241</w:t>
            </w:r>
          </w:p>
        </w:tc>
        <w:tc>
          <w:tcPr>
            <w:tcW w:w="3118"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0</w:t>
            </w:r>
          </w:p>
        </w:tc>
      </w:tr>
      <w:tr w:rsidR="00647715" w:rsidRPr="00E14746" w:rsidTr="00911364">
        <w:trPr>
          <w:trHeight w:val="315"/>
        </w:trPr>
        <w:tc>
          <w:tcPr>
            <w:tcW w:w="1149" w:type="dxa"/>
            <w:tcBorders>
              <w:top w:val="nil"/>
              <w:left w:val="single" w:sz="4" w:space="0" w:color="auto"/>
              <w:bottom w:val="single" w:sz="4" w:space="0" w:color="auto"/>
              <w:right w:val="single" w:sz="4" w:space="0" w:color="auto"/>
            </w:tcBorders>
            <w:hideMark/>
          </w:tcPr>
          <w:p w:rsidR="00647715" w:rsidRPr="00E14746" w:rsidRDefault="00647715" w:rsidP="00911364">
            <w:pP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FEI</w:t>
            </w:r>
          </w:p>
        </w:tc>
        <w:tc>
          <w:tcPr>
            <w:tcW w:w="2694"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626</w:t>
            </w:r>
          </w:p>
        </w:tc>
        <w:tc>
          <w:tcPr>
            <w:tcW w:w="3118"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70</w:t>
            </w:r>
          </w:p>
        </w:tc>
      </w:tr>
      <w:tr w:rsidR="00647715" w:rsidRPr="00E14746" w:rsidTr="00911364">
        <w:trPr>
          <w:trHeight w:val="315"/>
        </w:trPr>
        <w:tc>
          <w:tcPr>
            <w:tcW w:w="1149" w:type="dxa"/>
            <w:tcBorders>
              <w:top w:val="nil"/>
              <w:left w:val="single" w:sz="4" w:space="0" w:color="auto"/>
              <w:bottom w:val="single" w:sz="4" w:space="0" w:color="auto"/>
              <w:right w:val="single" w:sz="4" w:space="0" w:color="auto"/>
            </w:tcBorders>
            <w:hideMark/>
          </w:tcPr>
          <w:p w:rsidR="00647715" w:rsidRPr="00E14746" w:rsidRDefault="00647715" w:rsidP="00911364">
            <w:pP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FCHPT</w:t>
            </w:r>
          </w:p>
        </w:tc>
        <w:tc>
          <w:tcPr>
            <w:tcW w:w="2694"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564</w:t>
            </w:r>
          </w:p>
        </w:tc>
        <w:tc>
          <w:tcPr>
            <w:tcW w:w="3118"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44</w:t>
            </w:r>
          </w:p>
        </w:tc>
      </w:tr>
      <w:tr w:rsidR="00647715" w:rsidRPr="00E14746" w:rsidTr="00911364">
        <w:trPr>
          <w:trHeight w:val="315"/>
        </w:trPr>
        <w:tc>
          <w:tcPr>
            <w:tcW w:w="1149" w:type="dxa"/>
            <w:tcBorders>
              <w:top w:val="nil"/>
              <w:left w:val="single" w:sz="4" w:space="0" w:color="auto"/>
              <w:bottom w:val="single" w:sz="4" w:space="0" w:color="auto"/>
              <w:right w:val="single" w:sz="4" w:space="0" w:color="auto"/>
            </w:tcBorders>
            <w:hideMark/>
          </w:tcPr>
          <w:p w:rsidR="00647715" w:rsidRPr="00E14746" w:rsidRDefault="00647715" w:rsidP="00911364">
            <w:pP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FA</w:t>
            </w:r>
          </w:p>
        </w:tc>
        <w:tc>
          <w:tcPr>
            <w:tcW w:w="2694"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185</w:t>
            </w:r>
          </w:p>
        </w:tc>
        <w:tc>
          <w:tcPr>
            <w:tcW w:w="3118"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0</w:t>
            </w:r>
          </w:p>
        </w:tc>
      </w:tr>
      <w:tr w:rsidR="00647715" w:rsidRPr="00E14746" w:rsidTr="00911364">
        <w:trPr>
          <w:trHeight w:val="315"/>
        </w:trPr>
        <w:tc>
          <w:tcPr>
            <w:tcW w:w="1149" w:type="dxa"/>
            <w:tcBorders>
              <w:top w:val="nil"/>
              <w:left w:val="single" w:sz="4" w:space="0" w:color="auto"/>
              <w:bottom w:val="single" w:sz="4" w:space="0" w:color="auto"/>
              <w:right w:val="single" w:sz="4" w:space="0" w:color="auto"/>
            </w:tcBorders>
            <w:hideMark/>
          </w:tcPr>
          <w:p w:rsidR="00647715" w:rsidRPr="00E14746" w:rsidRDefault="00647715" w:rsidP="00911364">
            <w:pP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MTF</w:t>
            </w:r>
          </w:p>
        </w:tc>
        <w:tc>
          <w:tcPr>
            <w:tcW w:w="2694"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559</w:t>
            </w:r>
          </w:p>
        </w:tc>
        <w:tc>
          <w:tcPr>
            <w:tcW w:w="3118"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0</w:t>
            </w:r>
          </w:p>
        </w:tc>
      </w:tr>
      <w:tr w:rsidR="00647715" w:rsidRPr="00E14746" w:rsidTr="00911364">
        <w:trPr>
          <w:trHeight w:val="315"/>
        </w:trPr>
        <w:tc>
          <w:tcPr>
            <w:tcW w:w="1149" w:type="dxa"/>
            <w:tcBorders>
              <w:top w:val="nil"/>
              <w:left w:val="single" w:sz="4" w:space="0" w:color="auto"/>
              <w:bottom w:val="single" w:sz="4" w:space="0" w:color="auto"/>
              <w:right w:val="single" w:sz="4" w:space="0" w:color="auto"/>
            </w:tcBorders>
            <w:hideMark/>
          </w:tcPr>
          <w:p w:rsidR="00647715" w:rsidRPr="00E14746" w:rsidRDefault="00647715" w:rsidP="00911364">
            <w:pP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FIIT</w:t>
            </w:r>
          </w:p>
        </w:tc>
        <w:tc>
          <w:tcPr>
            <w:tcW w:w="2694"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204</w:t>
            </w:r>
          </w:p>
        </w:tc>
        <w:tc>
          <w:tcPr>
            <w:tcW w:w="3118"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11</w:t>
            </w:r>
          </w:p>
        </w:tc>
      </w:tr>
      <w:tr w:rsidR="00647715" w:rsidRPr="00E14746" w:rsidTr="00911364">
        <w:trPr>
          <w:trHeight w:val="315"/>
        </w:trPr>
        <w:tc>
          <w:tcPr>
            <w:tcW w:w="1149" w:type="dxa"/>
            <w:tcBorders>
              <w:top w:val="nil"/>
              <w:left w:val="single" w:sz="4" w:space="0" w:color="auto"/>
              <w:bottom w:val="single" w:sz="4" w:space="0" w:color="auto"/>
              <w:right w:val="single" w:sz="4" w:space="0" w:color="auto"/>
            </w:tcBorders>
            <w:hideMark/>
          </w:tcPr>
          <w:p w:rsidR="00647715" w:rsidRPr="00E14746" w:rsidRDefault="00647715" w:rsidP="00911364">
            <w:pP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ÚM</w:t>
            </w:r>
          </w:p>
        </w:tc>
        <w:tc>
          <w:tcPr>
            <w:tcW w:w="2694"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116</w:t>
            </w:r>
          </w:p>
        </w:tc>
        <w:tc>
          <w:tcPr>
            <w:tcW w:w="3118"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color w:val="000000" w:themeColor="text1"/>
                <w:sz w:val="20"/>
                <w:szCs w:val="20"/>
                <w:lang w:eastAsia="sk-SK"/>
              </w:rPr>
            </w:pPr>
            <w:r w:rsidRPr="00E14746">
              <w:rPr>
                <w:rFonts w:asciiTheme="minorHAnsi" w:hAnsiTheme="minorHAnsi" w:cs="Arial"/>
                <w:color w:val="000000" w:themeColor="text1"/>
                <w:sz w:val="20"/>
                <w:szCs w:val="20"/>
                <w:lang w:eastAsia="sk-SK"/>
              </w:rPr>
              <w:t>11</w:t>
            </w:r>
          </w:p>
        </w:tc>
      </w:tr>
      <w:tr w:rsidR="00647715" w:rsidRPr="00E14746" w:rsidTr="00911364">
        <w:trPr>
          <w:trHeight w:val="315"/>
        </w:trPr>
        <w:tc>
          <w:tcPr>
            <w:tcW w:w="1149" w:type="dxa"/>
            <w:tcBorders>
              <w:top w:val="nil"/>
              <w:left w:val="single" w:sz="4" w:space="0" w:color="auto"/>
              <w:bottom w:val="single" w:sz="4" w:space="0" w:color="auto"/>
              <w:right w:val="single" w:sz="4" w:space="0" w:color="auto"/>
            </w:tcBorders>
            <w:hideMark/>
          </w:tcPr>
          <w:p w:rsidR="00647715" w:rsidRPr="00E14746" w:rsidRDefault="00647715" w:rsidP="00911364">
            <w:pPr>
              <w:rPr>
                <w:rFonts w:asciiTheme="minorHAnsi" w:hAnsiTheme="minorHAnsi" w:cs="Arial"/>
                <w:b/>
                <w:bCs/>
                <w:color w:val="000000"/>
                <w:sz w:val="20"/>
                <w:szCs w:val="20"/>
                <w:lang w:eastAsia="sk-SK"/>
              </w:rPr>
            </w:pPr>
            <w:r w:rsidRPr="00E14746">
              <w:rPr>
                <w:rFonts w:asciiTheme="minorHAnsi" w:hAnsiTheme="minorHAnsi" w:cs="Arial"/>
                <w:b/>
                <w:bCs/>
                <w:color w:val="000000"/>
                <w:sz w:val="20"/>
                <w:szCs w:val="20"/>
                <w:lang w:eastAsia="sk-SK"/>
              </w:rPr>
              <w:t>Spolu</w:t>
            </w:r>
          </w:p>
        </w:tc>
        <w:tc>
          <w:tcPr>
            <w:tcW w:w="2694"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b/>
                <w:color w:val="000000" w:themeColor="text1"/>
                <w:sz w:val="20"/>
                <w:szCs w:val="20"/>
                <w:lang w:eastAsia="sk-SK"/>
              </w:rPr>
            </w:pPr>
            <w:r w:rsidRPr="00E14746">
              <w:rPr>
                <w:rFonts w:asciiTheme="minorHAnsi" w:hAnsiTheme="minorHAnsi" w:cs="Arial"/>
                <w:b/>
                <w:color w:val="000000" w:themeColor="text1"/>
                <w:sz w:val="20"/>
                <w:szCs w:val="20"/>
                <w:lang w:eastAsia="sk-SK"/>
              </w:rPr>
              <w:t>3 545</w:t>
            </w:r>
          </w:p>
        </w:tc>
        <w:tc>
          <w:tcPr>
            <w:tcW w:w="3118" w:type="dxa"/>
            <w:tcBorders>
              <w:top w:val="nil"/>
              <w:left w:val="nil"/>
              <w:bottom w:val="single" w:sz="4" w:space="0" w:color="auto"/>
              <w:right w:val="single" w:sz="4" w:space="0" w:color="auto"/>
            </w:tcBorders>
            <w:noWrap/>
            <w:vAlign w:val="bottom"/>
            <w:hideMark/>
          </w:tcPr>
          <w:p w:rsidR="00647715" w:rsidRPr="00E14746" w:rsidRDefault="00647715" w:rsidP="00911364">
            <w:pPr>
              <w:ind w:right="497"/>
              <w:jc w:val="center"/>
              <w:rPr>
                <w:rFonts w:asciiTheme="minorHAnsi" w:hAnsiTheme="minorHAnsi" w:cs="Arial"/>
                <w:b/>
                <w:color w:val="000000" w:themeColor="text1"/>
                <w:sz w:val="20"/>
                <w:szCs w:val="20"/>
                <w:lang w:eastAsia="sk-SK"/>
              </w:rPr>
            </w:pPr>
            <w:r w:rsidRPr="00E14746">
              <w:rPr>
                <w:rFonts w:asciiTheme="minorHAnsi" w:hAnsiTheme="minorHAnsi" w:cs="Arial"/>
                <w:b/>
                <w:color w:val="000000" w:themeColor="text1"/>
                <w:sz w:val="20"/>
                <w:szCs w:val="20"/>
                <w:lang w:eastAsia="sk-SK"/>
              </w:rPr>
              <w:t>136</w:t>
            </w:r>
          </w:p>
        </w:tc>
      </w:tr>
    </w:tbl>
    <w:p w:rsidR="00647715" w:rsidRPr="00E14746" w:rsidRDefault="00647715" w:rsidP="00647715">
      <w:pPr>
        <w:rPr>
          <w:rFonts w:asciiTheme="minorHAnsi" w:hAnsiTheme="minorHAnsi" w:cs="Arial"/>
          <w:b/>
          <w:bCs/>
          <w:color w:val="000000"/>
          <w:sz w:val="20"/>
          <w:szCs w:val="20"/>
        </w:rPr>
      </w:pPr>
    </w:p>
    <w:p w:rsidR="00647715" w:rsidRPr="002D7A10" w:rsidRDefault="00647715" w:rsidP="00647715">
      <w:pPr>
        <w:rPr>
          <w:rFonts w:asciiTheme="minorHAnsi" w:hAnsiTheme="minorHAnsi" w:cs="Arial"/>
          <w:b/>
          <w:bCs/>
          <w:color w:val="000000"/>
        </w:rPr>
      </w:pPr>
    </w:p>
    <w:p w:rsidR="00647715" w:rsidRPr="002D7A10" w:rsidRDefault="00647715" w:rsidP="00647715">
      <w:pPr>
        <w:rPr>
          <w:rFonts w:asciiTheme="minorHAnsi" w:hAnsiTheme="minorHAnsi" w:cs="Arial"/>
          <w:bCs/>
          <w:color w:val="000000"/>
        </w:rPr>
      </w:pPr>
      <w:r w:rsidRPr="002D7A10">
        <w:rPr>
          <w:rFonts w:asciiTheme="minorHAnsi" w:hAnsiTheme="minorHAnsi"/>
        </w:rPr>
        <w:t xml:space="preserve">     S cieľom nadviazania možnej spolupráce v oblasti vzdelávania, vedy a výskumu a medzinárodnej mobility študentov v</w:t>
      </w:r>
      <w:r w:rsidRPr="002D7A10">
        <w:rPr>
          <w:rFonts w:asciiTheme="minorHAnsi" w:hAnsiTheme="minorHAnsi" w:cs="Arial"/>
          <w:bCs/>
          <w:color w:val="000000"/>
        </w:rPr>
        <w:t xml:space="preserve"> roku 2015 boli na úrovni vedenia STU prijaté delegácie a zástupcovia univerzít (výber):  </w:t>
      </w:r>
    </w:p>
    <w:p w:rsidR="00647715" w:rsidRPr="002D7A10" w:rsidRDefault="00647715" w:rsidP="00647715">
      <w:pPr>
        <w:rPr>
          <w:rFonts w:asciiTheme="minorHAnsi" w:hAnsiTheme="minorHAnsi"/>
        </w:rPr>
      </w:pPr>
      <w:r w:rsidRPr="002D7A10">
        <w:rPr>
          <w:rFonts w:asciiTheme="minorHAnsi" w:hAnsiTheme="minorHAnsi"/>
        </w:rPr>
        <w:t xml:space="preserve">- z Fínska - členmi delegácie boli Chargé </w:t>
      </w:r>
      <w:proofErr w:type="spellStart"/>
      <w:r w:rsidRPr="002D7A10">
        <w:rPr>
          <w:rFonts w:asciiTheme="minorHAnsi" w:hAnsiTheme="minorHAnsi"/>
        </w:rPr>
        <w:t>d´Affaires</w:t>
      </w:r>
      <w:proofErr w:type="spellEnd"/>
      <w:r w:rsidRPr="002D7A10">
        <w:rPr>
          <w:rFonts w:asciiTheme="minorHAnsi" w:hAnsiTheme="minorHAnsi"/>
        </w:rPr>
        <w:t xml:space="preserve"> z Fínskeho veľvyslanectva v Bratislave,  predstavitelia </w:t>
      </w:r>
      <w:proofErr w:type="spellStart"/>
      <w:r w:rsidRPr="002D7A10">
        <w:rPr>
          <w:rFonts w:asciiTheme="minorHAnsi" w:hAnsiTheme="minorHAnsi"/>
        </w:rPr>
        <w:t>South</w:t>
      </w:r>
      <w:proofErr w:type="spellEnd"/>
      <w:r w:rsidRPr="002D7A10">
        <w:rPr>
          <w:rFonts w:asciiTheme="minorHAnsi" w:hAnsiTheme="minorHAnsi"/>
        </w:rPr>
        <w:t xml:space="preserve"> </w:t>
      </w:r>
      <w:proofErr w:type="spellStart"/>
      <w:r w:rsidRPr="002D7A10">
        <w:rPr>
          <w:rFonts w:asciiTheme="minorHAnsi" w:hAnsiTheme="minorHAnsi"/>
        </w:rPr>
        <w:t>Savo</w:t>
      </w:r>
      <w:proofErr w:type="spellEnd"/>
      <w:r w:rsidRPr="002D7A10">
        <w:rPr>
          <w:rFonts w:asciiTheme="minorHAnsi" w:hAnsiTheme="minorHAnsi"/>
        </w:rPr>
        <w:t xml:space="preserve"> </w:t>
      </w:r>
      <w:proofErr w:type="spellStart"/>
      <w:r w:rsidRPr="002D7A10">
        <w:rPr>
          <w:rFonts w:asciiTheme="minorHAnsi" w:hAnsiTheme="minorHAnsi"/>
        </w:rPr>
        <w:t>Vocational</w:t>
      </w:r>
      <w:proofErr w:type="spellEnd"/>
      <w:r w:rsidRPr="002D7A10">
        <w:rPr>
          <w:rFonts w:asciiTheme="minorHAnsi" w:hAnsiTheme="minorHAnsi"/>
        </w:rPr>
        <w:t xml:space="preserve"> </w:t>
      </w:r>
      <w:proofErr w:type="spellStart"/>
      <w:r w:rsidRPr="002D7A10">
        <w:rPr>
          <w:rFonts w:asciiTheme="minorHAnsi" w:hAnsiTheme="minorHAnsi"/>
        </w:rPr>
        <w:t>College</w:t>
      </w:r>
      <w:proofErr w:type="spellEnd"/>
      <w:r w:rsidRPr="002D7A10">
        <w:rPr>
          <w:rFonts w:asciiTheme="minorHAnsi" w:hAnsiTheme="minorHAnsi"/>
        </w:rPr>
        <w:t xml:space="preserve"> a viceprezident </w:t>
      </w:r>
      <w:proofErr w:type="spellStart"/>
      <w:r w:rsidRPr="002D7A10">
        <w:rPr>
          <w:rFonts w:asciiTheme="minorHAnsi" w:hAnsiTheme="minorHAnsi"/>
        </w:rPr>
        <w:t>Finpro</w:t>
      </w:r>
      <w:proofErr w:type="spellEnd"/>
      <w:r w:rsidRPr="002D7A10">
        <w:rPr>
          <w:rFonts w:asciiTheme="minorHAnsi" w:hAnsiTheme="minorHAnsi"/>
        </w:rPr>
        <w:t xml:space="preserve"> </w:t>
      </w:r>
    </w:p>
    <w:p w:rsidR="00647715" w:rsidRPr="002D7A10" w:rsidRDefault="00647715" w:rsidP="00647715">
      <w:pPr>
        <w:rPr>
          <w:rFonts w:asciiTheme="minorHAnsi" w:hAnsiTheme="minorHAnsi"/>
        </w:rPr>
      </w:pPr>
      <w:r w:rsidRPr="002D7A10">
        <w:rPr>
          <w:rFonts w:asciiTheme="minorHAnsi" w:hAnsiTheme="minorHAnsi" w:cs="Arial"/>
          <w:bCs/>
          <w:color w:val="000000"/>
        </w:rPr>
        <w:t xml:space="preserve">-  z Vietnamu - v delegácii vedenej predsedom </w:t>
      </w:r>
      <w:proofErr w:type="spellStart"/>
      <w:r w:rsidRPr="002D7A10">
        <w:rPr>
          <w:rFonts w:asciiTheme="minorHAnsi" w:hAnsiTheme="minorHAnsi"/>
        </w:rPr>
        <w:t>National</w:t>
      </w:r>
      <w:proofErr w:type="spellEnd"/>
      <w:r w:rsidRPr="002D7A10">
        <w:rPr>
          <w:rFonts w:asciiTheme="minorHAnsi" w:hAnsiTheme="minorHAnsi"/>
        </w:rPr>
        <w:t xml:space="preserve"> </w:t>
      </w:r>
      <w:proofErr w:type="spellStart"/>
      <w:r w:rsidRPr="002D7A10">
        <w:rPr>
          <w:rFonts w:asciiTheme="minorHAnsi" w:hAnsiTheme="minorHAnsi"/>
        </w:rPr>
        <w:t>Committee</w:t>
      </w:r>
      <w:proofErr w:type="spellEnd"/>
      <w:r w:rsidRPr="002D7A10">
        <w:rPr>
          <w:rFonts w:asciiTheme="minorHAnsi" w:hAnsiTheme="minorHAnsi"/>
        </w:rPr>
        <w:t xml:space="preserve"> </w:t>
      </w:r>
      <w:proofErr w:type="spellStart"/>
      <w:r w:rsidRPr="002D7A10">
        <w:rPr>
          <w:rFonts w:asciiTheme="minorHAnsi" w:hAnsiTheme="minorHAnsi"/>
        </w:rPr>
        <w:t>of</w:t>
      </w:r>
      <w:proofErr w:type="spellEnd"/>
      <w:r w:rsidRPr="002D7A10">
        <w:rPr>
          <w:rFonts w:asciiTheme="minorHAnsi" w:hAnsiTheme="minorHAnsi"/>
        </w:rPr>
        <w:t xml:space="preserve"> </w:t>
      </w:r>
      <w:proofErr w:type="spellStart"/>
      <w:r w:rsidRPr="002D7A10">
        <w:rPr>
          <w:rFonts w:asciiTheme="minorHAnsi" w:hAnsiTheme="minorHAnsi"/>
        </w:rPr>
        <w:t>Youth</w:t>
      </w:r>
      <w:proofErr w:type="spellEnd"/>
      <w:r w:rsidRPr="002D7A10">
        <w:rPr>
          <w:rFonts w:asciiTheme="minorHAnsi" w:hAnsiTheme="minorHAnsi"/>
        </w:rPr>
        <w:t xml:space="preserve"> </w:t>
      </w:r>
      <w:proofErr w:type="spellStart"/>
      <w:r w:rsidRPr="002D7A10">
        <w:rPr>
          <w:rFonts w:asciiTheme="minorHAnsi" w:hAnsiTheme="minorHAnsi"/>
        </w:rPr>
        <w:t>of</w:t>
      </w:r>
      <w:proofErr w:type="spellEnd"/>
      <w:r w:rsidRPr="002D7A10">
        <w:rPr>
          <w:rFonts w:asciiTheme="minorHAnsi" w:hAnsiTheme="minorHAnsi"/>
        </w:rPr>
        <w:t xml:space="preserve"> Vietnam sa zúčastnili i zástupcovia </w:t>
      </w:r>
      <w:proofErr w:type="spellStart"/>
      <w:r w:rsidRPr="002D7A10">
        <w:rPr>
          <w:rFonts w:asciiTheme="minorHAnsi" w:hAnsiTheme="minorHAnsi"/>
        </w:rPr>
        <w:t>Youth</w:t>
      </w:r>
      <w:proofErr w:type="spellEnd"/>
      <w:r w:rsidRPr="002D7A10">
        <w:rPr>
          <w:rFonts w:asciiTheme="minorHAnsi" w:hAnsiTheme="minorHAnsi"/>
        </w:rPr>
        <w:t xml:space="preserve"> </w:t>
      </w:r>
      <w:proofErr w:type="spellStart"/>
      <w:r w:rsidRPr="002D7A10">
        <w:rPr>
          <w:rFonts w:asciiTheme="minorHAnsi" w:hAnsiTheme="minorHAnsi"/>
        </w:rPr>
        <w:t>Newspaper</w:t>
      </w:r>
      <w:proofErr w:type="spellEnd"/>
      <w:r w:rsidRPr="002D7A10">
        <w:rPr>
          <w:rFonts w:asciiTheme="minorHAnsi" w:hAnsiTheme="minorHAnsi"/>
        </w:rPr>
        <w:t xml:space="preserve"> a </w:t>
      </w:r>
      <w:proofErr w:type="spellStart"/>
      <w:r w:rsidRPr="002D7A10">
        <w:rPr>
          <w:rFonts w:asciiTheme="minorHAnsi" w:hAnsiTheme="minorHAnsi"/>
        </w:rPr>
        <w:t>Union</w:t>
      </w:r>
      <w:proofErr w:type="spellEnd"/>
      <w:r w:rsidRPr="002D7A10">
        <w:rPr>
          <w:rFonts w:asciiTheme="minorHAnsi" w:hAnsiTheme="minorHAnsi"/>
        </w:rPr>
        <w:t xml:space="preserve"> </w:t>
      </w:r>
      <w:proofErr w:type="spellStart"/>
      <w:r w:rsidRPr="002D7A10">
        <w:rPr>
          <w:rFonts w:asciiTheme="minorHAnsi" w:hAnsiTheme="minorHAnsi"/>
        </w:rPr>
        <w:t>Company</w:t>
      </w:r>
      <w:proofErr w:type="spellEnd"/>
      <w:r w:rsidRPr="002D7A10">
        <w:rPr>
          <w:rFonts w:asciiTheme="minorHAnsi" w:hAnsiTheme="minorHAnsi"/>
        </w:rPr>
        <w:t xml:space="preserve"> </w:t>
      </w:r>
      <w:proofErr w:type="spellStart"/>
      <w:r w:rsidRPr="002D7A10">
        <w:rPr>
          <w:rFonts w:asciiTheme="minorHAnsi" w:hAnsiTheme="minorHAnsi"/>
        </w:rPr>
        <w:t>of</w:t>
      </w:r>
      <w:proofErr w:type="spellEnd"/>
      <w:r w:rsidRPr="002D7A10">
        <w:rPr>
          <w:rFonts w:asciiTheme="minorHAnsi" w:hAnsiTheme="minorHAnsi"/>
        </w:rPr>
        <w:t xml:space="preserve"> </w:t>
      </w:r>
      <w:proofErr w:type="spellStart"/>
      <w:r w:rsidRPr="002D7A10">
        <w:rPr>
          <w:rFonts w:asciiTheme="minorHAnsi" w:hAnsiTheme="minorHAnsi"/>
        </w:rPr>
        <w:t>the</w:t>
      </w:r>
      <w:proofErr w:type="spellEnd"/>
      <w:r w:rsidRPr="002D7A10">
        <w:rPr>
          <w:rFonts w:asciiTheme="minorHAnsi" w:hAnsiTheme="minorHAnsi"/>
        </w:rPr>
        <w:t xml:space="preserve"> Bank </w:t>
      </w:r>
      <w:proofErr w:type="spellStart"/>
      <w:r w:rsidRPr="002D7A10">
        <w:rPr>
          <w:rFonts w:asciiTheme="minorHAnsi" w:hAnsiTheme="minorHAnsi"/>
        </w:rPr>
        <w:t>for</w:t>
      </w:r>
      <w:proofErr w:type="spellEnd"/>
      <w:r w:rsidRPr="002D7A10">
        <w:rPr>
          <w:rFonts w:asciiTheme="minorHAnsi" w:hAnsiTheme="minorHAnsi"/>
        </w:rPr>
        <w:t xml:space="preserve"> </w:t>
      </w:r>
      <w:proofErr w:type="spellStart"/>
      <w:r w:rsidRPr="002D7A10">
        <w:rPr>
          <w:rFonts w:asciiTheme="minorHAnsi" w:hAnsiTheme="minorHAnsi"/>
        </w:rPr>
        <w:t>Industry</w:t>
      </w:r>
      <w:proofErr w:type="spellEnd"/>
      <w:r w:rsidRPr="002D7A10">
        <w:rPr>
          <w:rFonts w:asciiTheme="minorHAnsi" w:hAnsiTheme="minorHAnsi"/>
        </w:rPr>
        <w:t xml:space="preserve"> and </w:t>
      </w:r>
      <w:proofErr w:type="spellStart"/>
      <w:r w:rsidRPr="002D7A10">
        <w:rPr>
          <w:rFonts w:asciiTheme="minorHAnsi" w:hAnsiTheme="minorHAnsi"/>
        </w:rPr>
        <w:t>Trade</w:t>
      </w:r>
      <w:proofErr w:type="spellEnd"/>
    </w:p>
    <w:p w:rsidR="00647715" w:rsidRPr="002D7A10" w:rsidRDefault="00647715" w:rsidP="00647715">
      <w:pPr>
        <w:rPr>
          <w:rFonts w:asciiTheme="minorHAnsi" w:hAnsiTheme="minorHAnsi"/>
        </w:rPr>
      </w:pPr>
      <w:r w:rsidRPr="002D7A10">
        <w:rPr>
          <w:rFonts w:asciiTheme="minorHAnsi" w:hAnsiTheme="minorHAnsi"/>
        </w:rPr>
        <w:t xml:space="preserve">-  z Francúzka - okrem zástupkýň z  ECE </w:t>
      </w:r>
      <w:proofErr w:type="spellStart"/>
      <w:r w:rsidRPr="002D7A10">
        <w:rPr>
          <w:rFonts w:asciiTheme="minorHAnsi" w:hAnsiTheme="minorHAnsi"/>
        </w:rPr>
        <w:t>Paris</w:t>
      </w:r>
      <w:proofErr w:type="spellEnd"/>
      <w:r w:rsidRPr="002D7A10">
        <w:rPr>
          <w:rFonts w:asciiTheme="minorHAnsi" w:hAnsiTheme="minorHAnsi"/>
        </w:rPr>
        <w:t xml:space="preserve"> - </w:t>
      </w:r>
      <w:proofErr w:type="spellStart"/>
      <w:r w:rsidRPr="002D7A10">
        <w:rPr>
          <w:rFonts w:asciiTheme="minorHAnsi" w:hAnsiTheme="minorHAnsi"/>
        </w:rPr>
        <w:t>École</w:t>
      </w:r>
      <w:proofErr w:type="spellEnd"/>
      <w:r w:rsidRPr="002D7A10">
        <w:rPr>
          <w:rFonts w:asciiTheme="minorHAnsi" w:hAnsiTheme="minorHAnsi"/>
        </w:rPr>
        <w:t xml:space="preserve"> </w:t>
      </w:r>
      <w:proofErr w:type="spellStart"/>
      <w:r w:rsidRPr="002D7A10">
        <w:rPr>
          <w:rFonts w:asciiTheme="minorHAnsi" w:hAnsiTheme="minorHAnsi"/>
        </w:rPr>
        <w:t>D´Ingénieurs</w:t>
      </w:r>
      <w:proofErr w:type="spellEnd"/>
      <w:r w:rsidRPr="002D7A10">
        <w:rPr>
          <w:rFonts w:asciiTheme="minorHAnsi" w:hAnsiTheme="minorHAnsi"/>
        </w:rPr>
        <w:t xml:space="preserve"> boli členmi návštevy i  atašé pre vedeckú, univerzitnú a administratívnu spoluprácu Francúzskeho veľvyslanectva v Slovenskej republike a pracovníčka zodpovedná za projekty v oblasti akademickej spolupráce</w:t>
      </w:r>
    </w:p>
    <w:p w:rsidR="00647715" w:rsidRPr="002D7A10" w:rsidRDefault="00647715" w:rsidP="00647715">
      <w:pPr>
        <w:rPr>
          <w:rFonts w:asciiTheme="minorHAnsi" w:hAnsiTheme="minorHAnsi"/>
        </w:rPr>
      </w:pPr>
      <w:r w:rsidRPr="002D7A10">
        <w:rPr>
          <w:rFonts w:asciiTheme="minorHAnsi" w:hAnsiTheme="minorHAnsi"/>
        </w:rPr>
        <w:t xml:space="preserve">- z Ruskej federácie pricestovali prorektor z  </w:t>
      </w:r>
      <w:proofErr w:type="spellStart"/>
      <w:r w:rsidRPr="002D7A10">
        <w:rPr>
          <w:rFonts w:asciiTheme="minorHAnsi" w:hAnsiTheme="minorHAnsi"/>
        </w:rPr>
        <w:t>Iževskej</w:t>
      </w:r>
      <w:proofErr w:type="spellEnd"/>
      <w:r w:rsidRPr="002D7A10">
        <w:rPr>
          <w:rFonts w:asciiTheme="minorHAnsi" w:hAnsiTheme="minorHAnsi"/>
        </w:rPr>
        <w:t xml:space="preserve"> štátnej technickej univerzity  (</w:t>
      </w:r>
      <w:proofErr w:type="spellStart"/>
      <w:r w:rsidRPr="002D7A10">
        <w:rPr>
          <w:rFonts w:asciiTheme="minorHAnsi" w:hAnsiTheme="minorHAnsi"/>
        </w:rPr>
        <w:t>Kalashnikov</w:t>
      </w:r>
      <w:proofErr w:type="spellEnd"/>
      <w:r w:rsidRPr="002D7A10">
        <w:rPr>
          <w:rFonts w:asciiTheme="minorHAnsi" w:hAnsiTheme="minorHAnsi"/>
        </w:rPr>
        <w:t xml:space="preserve"> </w:t>
      </w:r>
      <w:proofErr w:type="spellStart"/>
      <w:r w:rsidRPr="002D7A10">
        <w:rPr>
          <w:rFonts w:asciiTheme="minorHAnsi" w:hAnsiTheme="minorHAnsi"/>
        </w:rPr>
        <w:t>Izhevsk</w:t>
      </w:r>
      <w:proofErr w:type="spellEnd"/>
      <w:r w:rsidRPr="002D7A10">
        <w:rPr>
          <w:rFonts w:asciiTheme="minorHAnsi" w:hAnsiTheme="minorHAnsi"/>
        </w:rPr>
        <w:t xml:space="preserve"> State </w:t>
      </w:r>
      <w:proofErr w:type="spellStart"/>
      <w:r w:rsidRPr="002D7A10">
        <w:rPr>
          <w:rFonts w:asciiTheme="minorHAnsi" w:hAnsiTheme="minorHAnsi"/>
        </w:rPr>
        <w:t>Technical</w:t>
      </w:r>
      <w:proofErr w:type="spellEnd"/>
      <w:r w:rsidRPr="002D7A10">
        <w:rPr>
          <w:rFonts w:asciiTheme="minorHAnsi" w:hAnsiTheme="minorHAnsi"/>
        </w:rPr>
        <w:t xml:space="preserve"> </w:t>
      </w:r>
      <w:proofErr w:type="spellStart"/>
      <w:r w:rsidRPr="002D7A10">
        <w:rPr>
          <w:rFonts w:asciiTheme="minorHAnsi" w:hAnsiTheme="minorHAnsi"/>
        </w:rPr>
        <w:t>University</w:t>
      </w:r>
      <w:proofErr w:type="spellEnd"/>
      <w:r w:rsidRPr="002D7A10">
        <w:rPr>
          <w:rFonts w:asciiTheme="minorHAnsi" w:hAnsiTheme="minorHAnsi"/>
        </w:rPr>
        <w:t xml:space="preserve">) a prorektorka z </w:t>
      </w:r>
      <w:proofErr w:type="spellStart"/>
      <w:r w:rsidRPr="002D7A10">
        <w:rPr>
          <w:rFonts w:asciiTheme="minorHAnsi" w:hAnsiTheme="minorHAnsi"/>
        </w:rPr>
        <w:t>Orenburgskej</w:t>
      </w:r>
      <w:proofErr w:type="spellEnd"/>
      <w:r w:rsidRPr="002D7A10">
        <w:rPr>
          <w:rFonts w:asciiTheme="minorHAnsi" w:hAnsiTheme="minorHAnsi"/>
        </w:rPr>
        <w:t xml:space="preserve"> štátnej pedagogickej univerzity (</w:t>
      </w:r>
      <w:proofErr w:type="spellStart"/>
      <w:r w:rsidRPr="002D7A10">
        <w:rPr>
          <w:rFonts w:asciiTheme="minorHAnsi" w:hAnsiTheme="minorHAnsi"/>
        </w:rPr>
        <w:t>Orenburg</w:t>
      </w:r>
      <w:proofErr w:type="spellEnd"/>
      <w:r w:rsidRPr="002D7A10">
        <w:rPr>
          <w:rFonts w:asciiTheme="minorHAnsi" w:hAnsiTheme="minorHAnsi"/>
        </w:rPr>
        <w:t xml:space="preserve"> State </w:t>
      </w:r>
      <w:proofErr w:type="spellStart"/>
      <w:r w:rsidRPr="002D7A10">
        <w:rPr>
          <w:rFonts w:asciiTheme="minorHAnsi" w:hAnsiTheme="minorHAnsi"/>
        </w:rPr>
        <w:t>Pedagogical</w:t>
      </w:r>
      <w:proofErr w:type="spellEnd"/>
      <w:r w:rsidRPr="002D7A10">
        <w:rPr>
          <w:rFonts w:asciiTheme="minorHAnsi" w:hAnsiTheme="minorHAnsi"/>
        </w:rPr>
        <w:t xml:space="preserve"> </w:t>
      </w:r>
      <w:proofErr w:type="spellStart"/>
      <w:r w:rsidRPr="002D7A10">
        <w:rPr>
          <w:rFonts w:asciiTheme="minorHAnsi" w:hAnsiTheme="minorHAnsi"/>
        </w:rPr>
        <w:t>University</w:t>
      </w:r>
      <w:proofErr w:type="spellEnd"/>
      <w:r w:rsidRPr="002D7A10">
        <w:rPr>
          <w:rFonts w:asciiTheme="minorHAnsi" w:hAnsiTheme="minorHAnsi"/>
        </w:rPr>
        <w:t>).</w:t>
      </w:r>
    </w:p>
    <w:p w:rsidR="00647715" w:rsidRPr="002D7A10" w:rsidRDefault="00647715" w:rsidP="00647715">
      <w:pPr>
        <w:rPr>
          <w:rFonts w:asciiTheme="minorHAnsi" w:hAnsiTheme="minorHAnsi" w:cs="Arial"/>
          <w:bCs/>
          <w:color w:val="000000"/>
        </w:rPr>
      </w:pPr>
      <w:r w:rsidRPr="002D7A10">
        <w:rPr>
          <w:rFonts w:asciiTheme="minorHAnsi" w:hAnsiTheme="minorHAnsi"/>
        </w:rPr>
        <w:t>Pokračovaním prijatia na úrovni rektora sú často návštevy fakúlt, laboratórií a univerzitného vedeckého parku, čo dopĺňa celkový obraz zahraničných návštev o pôsobnosti a možnostiach univerzity a jej jednotlivých súčastí</w:t>
      </w:r>
      <w:r w:rsidR="00596775" w:rsidRPr="002D7A10">
        <w:rPr>
          <w:rFonts w:asciiTheme="minorHAnsi" w:hAnsiTheme="minorHAnsi"/>
        </w:rPr>
        <w:t>.</w:t>
      </w:r>
    </w:p>
    <w:p w:rsidR="00647715" w:rsidRPr="002D7A10" w:rsidRDefault="00647715" w:rsidP="00647715">
      <w:pPr>
        <w:rPr>
          <w:rFonts w:asciiTheme="minorHAnsi" w:hAnsiTheme="minorHAnsi" w:cs="Arial"/>
          <w:b/>
          <w:bCs/>
          <w:color w:val="000000"/>
        </w:rPr>
      </w:pPr>
    </w:p>
    <w:p w:rsidR="00647715" w:rsidRPr="002D7A10" w:rsidRDefault="00647715" w:rsidP="00647715">
      <w:pPr>
        <w:rPr>
          <w:rFonts w:asciiTheme="minorHAnsi" w:hAnsiTheme="minorHAnsi" w:cs="Arial"/>
          <w:bCs/>
          <w:color w:val="000000" w:themeColor="text1"/>
        </w:rPr>
      </w:pPr>
      <w:r w:rsidRPr="002D7A10">
        <w:rPr>
          <w:rFonts w:asciiTheme="minorHAnsi" w:hAnsiTheme="minorHAnsi" w:cs="Arial"/>
          <w:bCs/>
          <w:color w:val="000000"/>
        </w:rPr>
        <w:t xml:space="preserve">     Ako nová aktivita v oblasti prijímania zahraničných hostí bol v roku 2014 spustený </w:t>
      </w:r>
      <w:r w:rsidRPr="002D7A10">
        <w:rPr>
          <w:rFonts w:asciiTheme="minorHAnsi" w:hAnsiTheme="minorHAnsi" w:cs="Arial"/>
          <w:b/>
          <w:bCs/>
          <w:color w:val="000000"/>
        </w:rPr>
        <w:t>cyklus prednášok zahraničných i domácich vedcov pod záštitou rektora STU s názvom „</w:t>
      </w:r>
      <w:proofErr w:type="spellStart"/>
      <w:r w:rsidRPr="002D7A10">
        <w:rPr>
          <w:rFonts w:asciiTheme="minorHAnsi" w:hAnsiTheme="minorHAnsi" w:cs="Arial"/>
          <w:b/>
          <w:bCs/>
          <w:color w:val="000000"/>
        </w:rPr>
        <w:t>Visiting</w:t>
      </w:r>
      <w:proofErr w:type="spellEnd"/>
      <w:r w:rsidRPr="002D7A10">
        <w:rPr>
          <w:rFonts w:asciiTheme="minorHAnsi" w:hAnsiTheme="minorHAnsi" w:cs="Arial"/>
          <w:b/>
          <w:bCs/>
          <w:color w:val="000000"/>
        </w:rPr>
        <w:t xml:space="preserve"> </w:t>
      </w:r>
      <w:proofErr w:type="spellStart"/>
      <w:r w:rsidRPr="002D7A10">
        <w:rPr>
          <w:rFonts w:asciiTheme="minorHAnsi" w:hAnsiTheme="minorHAnsi" w:cs="Arial"/>
          <w:b/>
          <w:bCs/>
          <w:color w:val="000000"/>
        </w:rPr>
        <w:t>Professors</w:t>
      </w:r>
      <w:proofErr w:type="spellEnd"/>
      <w:r w:rsidRPr="002D7A10">
        <w:rPr>
          <w:rFonts w:asciiTheme="minorHAnsi" w:hAnsiTheme="minorHAnsi" w:cs="Arial"/>
          <w:b/>
          <w:bCs/>
          <w:color w:val="000000"/>
        </w:rPr>
        <w:t xml:space="preserve">´ </w:t>
      </w:r>
      <w:proofErr w:type="spellStart"/>
      <w:r w:rsidRPr="002D7A10">
        <w:rPr>
          <w:rFonts w:asciiTheme="minorHAnsi" w:hAnsiTheme="minorHAnsi" w:cs="Arial"/>
          <w:b/>
          <w:bCs/>
          <w:color w:val="000000"/>
        </w:rPr>
        <w:t>College</w:t>
      </w:r>
      <w:proofErr w:type="spellEnd"/>
      <w:r w:rsidRPr="002D7A10">
        <w:rPr>
          <w:rFonts w:asciiTheme="minorHAnsi" w:hAnsiTheme="minorHAnsi" w:cs="Arial"/>
          <w:b/>
          <w:bCs/>
          <w:color w:val="000000"/>
        </w:rPr>
        <w:t xml:space="preserve"> STU</w:t>
      </w:r>
      <w:r w:rsidRPr="002D7A10">
        <w:rPr>
          <w:rFonts w:asciiTheme="minorHAnsi" w:hAnsiTheme="minorHAnsi" w:cs="Arial"/>
          <w:bCs/>
          <w:color w:val="000000"/>
        </w:rPr>
        <w:t xml:space="preserve">“. Cieľom cyklu </w:t>
      </w:r>
      <w:r w:rsidR="00596775" w:rsidRPr="002D7A10">
        <w:rPr>
          <w:rFonts w:asciiTheme="minorHAnsi" w:hAnsiTheme="minorHAnsi" w:cs="Arial"/>
          <w:bCs/>
          <w:color w:val="000000"/>
        </w:rPr>
        <w:t>bolo</w:t>
      </w:r>
      <w:r w:rsidRPr="002D7A10">
        <w:rPr>
          <w:rFonts w:asciiTheme="minorHAnsi" w:hAnsiTheme="minorHAnsi" w:cs="Arial"/>
          <w:bCs/>
          <w:color w:val="000000"/>
        </w:rPr>
        <w:t xml:space="preserve"> zvýšiť povedomie o výskume a výsledkoch </w:t>
      </w:r>
      <w:r w:rsidR="00596775" w:rsidRPr="002D7A10">
        <w:rPr>
          <w:rFonts w:asciiTheme="minorHAnsi" w:hAnsiTheme="minorHAnsi" w:cs="Arial"/>
          <w:bCs/>
          <w:color w:val="000000"/>
        </w:rPr>
        <w:t xml:space="preserve">STU </w:t>
      </w:r>
      <w:r w:rsidRPr="002D7A10">
        <w:rPr>
          <w:rFonts w:asciiTheme="minorHAnsi" w:hAnsiTheme="minorHAnsi" w:cs="Arial"/>
          <w:bCs/>
          <w:color w:val="000000"/>
        </w:rPr>
        <w:t xml:space="preserve">v zahraničí a zabezpečiť </w:t>
      </w:r>
      <w:r w:rsidRPr="002D7A10">
        <w:rPr>
          <w:rFonts w:asciiTheme="minorHAnsi" w:hAnsiTheme="minorHAnsi" w:cs="Arial"/>
          <w:bCs/>
          <w:color w:val="000000" w:themeColor="text1"/>
        </w:rPr>
        <w:t xml:space="preserve">intenzívne kontakty s uznávanými </w:t>
      </w:r>
      <w:r w:rsidRPr="002D7A10">
        <w:rPr>
          <w:rFonts w:asciiTheme="minorHAnsi" w:hAnsiTheme="minorHAnsi" w:cs="Arial"/>
          <w:bCs/>
          <w:color w:val="000000" w:themeColor="text1"/>
        </w:rPr>
        <w:lastRenderedPageBreak/>
        <w:t xml:space="preserve">vedeckými osobnosťami. Pozývaní </w:t>
      </w:r>
      <w:r w:rsidR="00596775" w:rsidRPr="002D7A10">
        <w:rPr>
          <w:rFonts w:asciiTheme="minorHAnsi" w:hAnsiTheme="minorHAnsi" w:cs="Arial"/>
          <w:bCs/>
          <w:color w:val="000000" w:themeColor="text1"/>
        </w:rPr>
        <w:t xml:space="preserve">boli </w:t>
      </w:r>
      <w:r w:rsidRPr="002D7A10">
        <w:rPr>
          <w:rFonts w:asciiTheme="minorHAnsi" w:hAnsiTheme="minorHAnsi" w:cs="Arial"/>
          <w:bCs/>
          <w:color w:val="000000" w:themeColor="text1"/>
        </w:rPr>
        <w:t xml:space="preserve">renomovaní odborníci na prezentáciu prednášok typu </w:t>
      </w:r>
      <w:proofErr w:type="spellStart"/>
      <w:r w:rsidRPr="002D7A10">
        <w:rPr>
          <w:rFonts w:asciiTheme="minorHAnsi" w:hAnsiTheme="minorHAnsi" w:cs="Arial"/>
          <w:bCs/>
          <w:color w:val="000000" w:themeColor="text1"/>
        </w:rPr>
        <w:t>state-of-the-art</w:t>
      </w:r>
      <w:proofErr w:type="spellEnd"/>
      <w:r w:rsidRPr="002D7A10">
        <w:rPr>
          <w:rFonts w:asciiTheme="minorHAnsi" w:hAnsiTheme="minorHAnsi" w:cs="Arial"/>
          <w:bCs/>
          <w:color w:val="000000" w:themeColor="text1"/>
        </w:rPr>
        <w:t xml:space="preserve"> alebo prednášok týkajúcich sa aktuálnych vedecko-technických problémov a technologických inovácií. Pozitívom </w:t>
      </w:r>
      <w:r w:rsidR="00596775" w:rsidRPr="002D7A10">
        <w:rPr>
          <w:rFonts w:asciiTheme="minorHAnsi" w:hAnsiTheme="minorHAnsi" w:cs="Arial"/>
          <w:bCs/>
          <w:color w:val="000000" w:themeColor="text1"/>
        </w:rPr>
        <w:t>bola</w:t>
      </w:r>
      <w:r w:rsidRPr="002D7A10">
        <w:rPr>
          <w:rFonts w:asciiTheme="minorHAnsi" w:hAnsiTheme="minorHAnsi" w:cs="Arial"/>
          <w:bCs/>
          <w:color w:val="000000" w:themeColor="text1"/>
        </w:rPr>
        <w:t xml:space="preserve"> nesporne i možnosť sledova</w:t>
      </w:r>
      <w:r w:rsidR="00596775" w:rsidRPr="002D7A10">
        <w:rPr>
          <w:rFonts w:asciiTheme="minorHAnsi" w:hAnsiTheme="minorHAnsi" w:cs="Arial"/>
          <w:bCs/>
          <w:color w:val="000000" w:themeColor="text1"/>
        </w:rPr>
        <w:t xml:space="preserve">ť </w:t>
      </w:r>
      <w:r w:rsidRPr="002D7A10">
        <w:rPr>
          <w:rFonts w:asciiTheme="minorHAnsi" w:hAnsiTheme="minorHAnsi" w:cs="Arial"/>
          <w:bCs/>
          <w:color w:val="000000" w:themeColor="text1"/>
        </w:rPr>
        <w:t xml:space="preserve">podujatia </w:t>
      </w:r>
      <w:proofErr w:type="spellStart"/>
      <w:r w:rsidRPr="002D7A10">
        <w:rPr>
          <w:rFonts w:asciiTheme="minorHAnsi" w:hAnsiTheme="minorHAnsi" w:cs="Arial"/>
          <w:bCs/>
          <w:color w:val="000000" w:themeColor="text1"/>
        </w:rPr>
        <w:t>online</w:t>
      </w:r>
      <w:proofErr w:type="spellEnd"/>
      <w:r w:rsidRPr="002D7A10">
        <w:rPr>
          <w:rFonts w:asciiTheme="minorHAnsi" w:hAnsiTheme="minorHAnsi" w:cs="Arial"/>
          <w:bCs/>
          <w:color w:val="000000" w:themeColor="text1"/>
        </w:rPr>
        <w:t xml:space="preserve"> na mc2.sk. </w:t>
      </w:r>
    </w:p>
    <w:p w:rsidR="00647715" w:rsidRPr="002D7A10" w:rsidRDefault="00647715" w:rsidP="00647715">
      <w:pPr>
        <w:rPr>
          <w:rFonts w:asciiTheme="minorHAnsi" w:hAnsiTheme="minorHAnsi" w:cs="Arial"/>
          <w:bCs/>
          <w:color w:val="000000" w:themeColor="text1"/>
        </w:rPr>
      </w:pPr>
      <w:r w:rsidRPr="002D7A10">
        <w:rPr>
          <w:rFonts w:asciiTheme="minorHAnsi" w:hAnsiTheme="minorHAnsi" w:cs="Arial"/>
          <w:bCs/>
          <w:color w:val="000000" w:themeColor="text1"/>
        </w:rPr>
        <w:t xml:space="preserve">V roku 2015 pokračoval cyklus prednášok dvomi úspešnými aktivitami - 14. mája 2015 </w:t>
      </w:r>
      <w:proofErr w:type="spellStart"/>
      <w:r w:rsidRPr="002D7A10">
        <w:rPr>
          <w:rFonts w:asciiTheme="minorHAnsi" w:hAnsiTheme="minorHAnsi" w:cs="Arial"/>
          <w:bCs/>
          <w:color w:val="000000" w:themeColor="text1"/>
        </w:rPr>
        <w:t>odprednášal</w:t>
      </w:r>
      <w:proofErr w:type="spellEnd"/>
      <w:r w:rsidRPr="002D7A10">
        <w:rPr>
          <w:rFonts w:asciiTheme="minorHAnsi" w:hAnsiTheme="minorHAnsi" w:cs="Arial"/>
          <w:bCs/>
          <w:color w:val="000000" w:themeColor="text1"/>
        </w:rPr>
        <w:t xml:space="preserve"> prof. </w:t>
      </w:r>
      <w:proofErr w:type="spellStart"/>
      <w:r w:rsidRPr="002D7A10">
        <w:rPr>
          <w:rFonts w:asciiTheme="minorHAnsi" w:hAnsiTheme="minorHAnsi" w:cs="Arial"/>
          <w:bCs/>
          <w:color w:val="000000" w:themeColor="text1"/>
        </w:rPr>
        <w:t>Dr.-Ing</w:t>
      </w:r>
      <w:proofErr w:type="spellEnd"/>
      <w:r w:rsidRPr="002D7A10">
        <w:rPr>
          <w:rFonts w:asciiTheme="minorHAnsi" w:hAnsiTheme="minorHAnsi" w:cs="Arial"/>
          <w:bCs/>
          <w:color w:val="000000" w:themeColor="text1"/>
        </w:rPr>
        <w:t xml:space="preserve">. </w:t>
      </w:r>
      <w:proofErr w:type="spellStart"/>
      <w:r w:rsidRPr="002D7A10">
        <w:rPr>
          <w:rFonts w:asciiTheme="minorHAnsi" w:hAnsiTheme="minorHAnsi" w:cs="Arial"/>
          <w:bCs/>
          <w:color w:val="000000" w:themeColor="text1"/>
        </w:rPr>
        <w:t>habil</w:t>
      </w:r>
      <w:proofErr w:type="spellEnd"/>
      <w:r w:rsidRPr="002D7A10">
        <w:rPr>
          <w:rFonts w:asciiTheme="minorHAnsi" w:hAnsiTheme="minorHAnsi" w:cs="Arial"/>
          <w:bCs/>
          <w:color w:val="000000" w:themeColor="text1"/>
        </w:rPr>
        <w:t xml:space="preserve">. Dr. h. c. </w:t>
      </w:r>
      <w:proofErr w:type="spellStart"/>
      <w:r w:rsidRPr="002D7A10">
        <w:rPr>
          <w:rFonts w:asciiTheme="minorHAnsi" w:hAnsiTheme="minorHAnsi" w:cs="Arial"/>
          <w:bCs/>
          <w:color w:val="000000" w:themeColor="text1"/>
        </w:rPr>
        <w:t>Chuanzeng</w:t>
      </w:r>
      <w:proofErr w:type="spellEnd"/>
      <w:r w:rsidRPr="002D7A10">
        <w:rPr>
          <w:rFonts w:asciiTheme="minorHAnsi" w:hAnsiTheme="minorHAnsi" w:cs="Arial"/>
          <w:bCs/>
          <w:color w:val="000000" w:themeColor="text1"/>
        </w:rPr>
        <w:t xml:space="preserve"> </w:t>
      </w:r>
      <w:proofErr w:type="spellStart"/>
      <w:r w:rsidRPr="002D7A10">
        <w:rPr>
          <w:rFonts w:asciiTheme="minorHAnsi" w:hAnsiTheme="minorHAnsi" w:cs="Arial"/>
          <w:bCs/>
          <w:color w:val="000000" w:themeColor="text1"/>
        </w:rPr>
        <w:t>Zhang</w:t>
      </w:r>
      <w:proofErr w:type="spellEnd"/>
      <w:r w:rsidRPr="002D7A10">
        <w:rPr>
          <w:rFonts w:asciiTheme="minorHAnsi" w:hAnsiTheme="minorHAnsi" w:cs="Arial"/>
          <w:bCs/>
          <w:color w:val="000000" w:themeColor="text1"/>
        </w:rPr>
        <w:t xml:space="preserve">,  vedúci oddelenia </w:t>
      </w:r>
      <w:proofErr w:type="spellStart"/>
      <w:r w:rsidRPr="002D7A10">
        <w:rPr>
          <w:rFonts w:asciiTheme="minorHAnsi" w:hAnsiTheme="minorHAnsi" w:cs="Arial"/>
          <w:color w:val="000000" w:themeColor="text1"/>
        </w:rPr>
        <w:t>Structural</w:t>
      </w:r>
      <w:proofErr w:type="spellEnd"/>
      <w:r w:rsidRPr="002D7A10">
        <w:rPr>
          <w:rFonts w:asciiTheme="minorHAnsi" w:hAnsiTheme="minorHAnsi" w:cs="Arial"/>
          <w:color w:val="000000" w:themeColor="text1"/>
        </w:rPr>
        <w:t xml:space="preserve"> </w:t>
      </w:r>
      <w:proofErr w:type="spellStart"/>
      <w:r w:rsidRPr="002D7A10">
        <w:rPr>
          <w:rFonts w:asciiTheme="minorHAnsi" w:hAnsiTheme="minorHAnsi" w:cs="Arial"/>
          <w:color w:val="000000" w:themeColor="text1"/>
        </w:rPr>
        <w:t>Mechanics</w:t>
      </w:r>
      <w:proofErr w:type="spellEnd"/>
      <w:r w:rsidRPr="002D7A10">
        <w:rPr>
          <w:rFonts w:asciiTheme="minorHAnsi" w:hAnsiTheme="minorHAnsi" w:cs="Arial"/>
          <w:color w:val="000000" w:themeColor="text1"/>
        </w:rPr>
        <w:t xml:space="preserve">, a zástupca katedry Civil </w:t>
      </w:r>
      <w:proofErr w:type="spellStart"/>
      <w:r w:rsidRPr="002D7A10">
        <w:rPr>
          <w:rFonts w:asciiTheme="minorHAnsi" w:hAnsiTheme="minorHAnsi" w:cs="Arial"/>
          <w:color w:val="000000" w:themeColor="text1"/>
        </w:rPr>
        <w:t>Engineering</w:t>
      </w:r>
      <w:proofErr w:type="spellEnd"/>
      <w:r w:rsidRPr="002D7A10">
        <w:rPr>
          <w:rFonts w:asciiTheme="minorHAnsi" w:hAnsiTheme="minorHAnsi" w:cs="Arial"/>
          <w:color w:val="000000" w:themeColor="text1"/>
        </w:rPr>
        <w:t xml:space="preserve">, </w:t>
      </w:r>
      <w:proofErr w:type="spellStart"/>
      <w:r w:rsidRPr="002D7A10">
        <w:rPr>
          <w:rFonts w:asciiTheme="minorHAnsi" w:hAnsiTheme="minorHAnsi" w:cs="Arial"/>
          <w:color w:val="000000" w:themeColor="text1"/>
        </w:rPr>
        <w:t>School</w:t>
      </w:r>
      <w:proofErr w:type="spellEnd"/>
      <w:r w:rsidRPr="002D7A10">
        <w:rPr>
          <w:rFonts w:asciiTheme="minorHAnsi" w:hAnsiTheme="minorHAnsi" w:cs="Arial"/>
          <w:color w:val="000000" w:themeColor="text1"/>
        </w:rPr>
        <w:t xml:space="preserve"> </w:t>
      </w:r>
      <w:proofErr w:type="spellStart"/>
      <w:r w:rsidRPr="002D7A10">
        <w:rPr>
          <w:rFonts w:asciiTheme="minorHAnsi" w:hAnsiTheme="minorHAnsi" w:cs="Arial"/>
          <w:color w:val="000000" w:themeColor="text1"/>
        </w:rPr>
        <w:t>of</w:t>
      </w:r>
      <w:proofErr w:type="spellEnd"/>
      <w:r w:rsidRPr="002D7A10">
        <w:rPr>
          <w:rFonts w:asciiTheme="minorHAnsi" w:hAnsiTheme="minorHAnsi" w:cs="Arial"/>
          <w:color w:val="000000" w:themeColor="text1"/>
        </w:rPr>
        <w:t xml:space="preserve"> </w:t>
      </w:r>
      <w:proofErr w:type="spellStart"/>
      <w:r w:rsidRPr="002D7A10">
        <w:rPr>
          <w:rFonts w:asciiTheme="minorHAnsi" w:hAnsiTheme="minorHAnsi" w:cs="Arial"/>
          <w:color w:val="000000" w:themeColor="text1"/>
        </w:rPr>
        <w:t>Science</w:t>
      </w:r>
      <w:proofErr w:type="spellEnd"/>
      <w:r w:rsidRPr="002D7A10">
        <w:rPr>
          <w:rFonts w:asciiTheme="minorHAnsi" w:hAnsiTheme="minorHAnsi" w:cs="Arial"/>
          <w:color w:val="000000" w:themeColor="text1"/>
        </w:rPr>
        <w:t xml:space="preserve"> and </w:t>
      </w:r>
      <w:proofErr w:type="spellStart"/>
      <w:r w:rsidRPr="002D7A10">
        <w:rPr>
          <w:rFonts w:asciiTheme="minorHAnsi" w:hAnsiTheme="minorHAnsi" w:cs="Arial"/>
          <w:color w:val="000000" w:themeColor="text1"/>
        </w:rPr>
        <w:t>Technology</w:t>
      </w:r>
      <w:proofErr w:type="spellEnd"/>
      <w:r w:rsidRPr="002D7A10">
        <w:rPr>
          <w:rFonts w:asciiTheme="minorHAnsi" w:hAnsiTheme="minorHAnsi" w:cs="Arial"/>
          <w:color w:val="000000" w:themeColor="text1"/>
        </w:rPr>
        <w:t xml:space="preserve">, Univerzita </w:t>
      </w:r>
      <w:proofErr w:type="spellStart"/>
      <w:r w:rsidRPr="002D7A10">
        <w:rPr>
          <w:rFonts w:asciiTheme="minorHAnsi" w:hAnsiTheme="minorHAnsi" w:cs="Arial"/>
          <w:color w:val="000000" w:themeColor="text1"/>
        </w:rPr>
        <w:t>Siegen</w:t>
      </w:r>
      <w:proofErr w:type="spellEnd"/>
      <w:r w:rsidRPr="002D7A10">
        <w:rPr>
          <w:rFonts w:asciiTheme="minorHAnsi" w:hAnsiTheme="minorHAnsi" w:cs="Arial"/>
          <w:color w:val="000000" w:themeColor="text1"/>
        </w:rPr>
        <w:t xml:space="preserve"> (Nemecko) prednášku „</w:t>
      </w:r>
      <w:proofErr w:type="spellStart"/>
      <w:r w:rsidRPr="002D7A10">
        <w:rPr>
          <w:rFonts w:asciiTheme="minorHAnsi" w:hAnsiTheme="minorHAnsi" w:cs="Arial"/>
          <w:bCs/>
          <w:color w:val="000000" w:themeColor="text1"/>
        </w:rPr>
        <w:t>Mechanics</w:t>
      </w:r>
      <w:proofErr w:type="spellEnd"/>
      <w:r w:rsidRPr="002D7A10">
        <w:rPr>
          <w:rFonts w:asciiTheme="minorHAnsi" w:hAnsiTheme="minorHAnsi" w:cs="Arial"/>
          <w:bCs/>
          <w:color w:val="000000" w:themeColor="text1"/>
        </w:rPr>
        <w:t xml:space="preserve"> and </w:t>
      </w:r>
      <w:proofErr w:type="spellStart"/>
      <w:r w:rsidRPr="002D7A10">
        <w:rPr>
          <w:rFonts w:asciiTheme="minorHAnsi" w:hAnsiTheme="minorHAnsi" w:cs="Arial"/>
          <w:bCs/>
          <w:color w:val="000000" w:themeColor="text1"/>
        </w:rPr>
        <w:t>Applications</w:t>
      </w:r>
      <w:proofErr w:type="spellEnd"/>
      <w:r w:rsidRPr="002D7A10">
        <w:rPr>
          <w:rFonts w:asciiTheme="minorHAnsi" w:hAnsiTheme="minorHAnsi" w:cs="Arial"/>
          <w:bCs/>
          <w:color w:val="000000" w:themeColor="text1"/>
        </w:rPr>
        <w:t xml:space="preserve"> </w:t>
      </w:r>
      <w:proofErr w:type="spellStart"/>
      <w:r w:rsidRPr="002D7A10">
        <w:rPr>
          <w:rFonts w:asciiTheme="minorHAnsi" w:hAnsiTheme="minorHAnsi" w:cs="Arial"/>
          <w:bCs/>
          <w:color w:val="000000" w:themeColor="text1"/>
        </w:rPr>
        <w:t>of</w:t>
      </w:r>
      <w:proofErr w:type="spellEnd"/>
      <w:r w:rsidRPr="002D7A10">
        <w:rPr>
          <w:rFonts w:asciiTheme="minorHAnsi" w:hAnsiTheme="minorHAnsi" w:cs="Arial"/>
          <w:bCs/>
          <w:color w:val="000000" w:themeColor="text1"/>
        </w:rPr>
        <w:t xml:space="preserve"> </w:t>
      </w:r>
      <w:proofErr w:type="spellStart"/>
      <w:r w:rsidRPr="002D7A10">
        <w:rPr>
          <w:rFonts w:asciiTheme="minorHAnsi" w:hAnsiTheme="minorHAnsi" w:cs="Arial"/>
          <w:bCs/>
          <w:color w:val="000000" w:themeColor="text1"/>
        </w:rPr>
        <w:t>Multifunctional</w:t>
      </w:r>
      <w:proofErr w:type="spellEnd"/>
      <w:r w:rsidRPr="002D7A10">
        <w:rPr>
          <w:rFonts w:asciiTheme="minorHAnsi" w:hAnsiTheme="minorHAnsi" w:cs="Arial"/>
          <w:bCs/>
          <w:color w:val="000000" w:themeColor="text1"/>
        </w:rPr>
        <w:t xml:space="preserve"> </w:t>
      </w:r>
      <w:proofErr w:type="spellStart"/>
      <w:r w:rsidRPr="002D7A10">
        <w:rPr>
          <w:rFonts w:asciiTheme="minorHAnsi" w:hAnsiTheme="minorHAnsi" w:cs="Arial"/>
          <w:bCs/>
          <w:color w:val="000000" w:themeColor="text1"/>
        </w:rPr>
        <w:t>Materials</w:t>
      </w:r>
      <w:proofErr w:type="spellEnd"/>
      <w:r w:rsidRPr="002D7A10">
        <w:rPr>
          <w:rFonts w:asciiTheme="minorHAnsi" w:hAnsiTheme="minorHAnsi" w:cs="Arial"/>
          <w:bCs/>
          <w:color w:val="000000" w:themeColor="text1"/>
        </w:rPr>
        <w:t xml:space="preserve"> and </w:t>
      </w:r>
      <w:proofErr w:type="spellStart"/>
      <w:r w:rsidRPr="002D7A10">
        <w:rPr>
          <w:rFonts w:asciiTheme="minorHAnsi" w:hAnsiTheme="minorHAnsi" w:cs="Arial"/>
          <w:bCs/>
          <w:color w:val="000000" w:themeColor="text1"/>
        </w:rPr>
        <w:t>Structures</w:t>
      </w:r>
      <w:proofErr w:type="spellEnd"/>
      <w:r w:rsidRPr="002D7A10">
        <w:rPr>
          <w:rFonts w:asciiTheme="minorHAnsi" w:hAnsiTheme="minorHAnsi" w:cs="Arial"/>
          <w:bCs/>
          <w:color w:val="000000" w:themeColor="text1"/>
        </w:rPr>
        <w:t>“.</w:t>
      </w:r>
    </w:p>
    <w:p w:rsidR="00647715" w:rsidRPr="002D7A10" w:rsidRDefault="00647715" w:rsidP="00647715">
      <w:pPr>
        <w:rPr>
          <w:rFonts w:asciiTheme="minorHAnsi" w:hAnsiTheme="minorHAnsi" w:cs="Arial"/>
          <w:bCs/>
          <w:color w:val="000000" w:themeColor="text1"/>
        </w:rPr>
      </w:pPr>
      <w:r w:rsidRPr="002D7A10">
        <w:rPr>
          <w:rFonts w:asciiTheme="minorHAnsi" w:hAnsiTheme="minorHAnsi" w:cs="Arial"/>
          <w:bCs/>
          <w:color w:val="000000" w:themeColor="text1"/>
        </w:rPr>
        <w:t xml:space="preserve">Následne v júli prezentoval Dr. h. c. prof. </w:t>
      </w:r>
      <w:proofErr w:type="spellStart"/>
      <w:r w:rsidRPr="002D7A10">
        <w:rPr>
          <w:rFonts w:asciiTheme="minorHAnsi" w:hAnsiTheme="minorHAnsi" w:cs="Arial"/>
          <w:bCs/>
          <w:color w:val="000000" w:themeColor="text1"/>
        </w:rPr>
        <w:t>Rolf</w:t>
      </w:r>
      <w:proofErr w:type="spellEnd"/>
      <w:r w:rsidRPr="002D7A10">
        <w:rPr>
          <w:rFonts w:asciiTheme="minorHAnsi" w:hAnsiTheme="minorHAnsi" w:cs="Arial"/>
          <w:bCs/>
          <w:color w:val="000000" w:themeColor="text1"/>
        </w:rPr>
        <w:t xml:space="preserve"> </w:t>
      </w:r>
      <w:proofErr w:type="spellStart"/>
      <w:r w:rsidRPr="002D7A10">
        <w:rPr>
          <w:rFonts w:asciiTheme="minorHAnsi" w:hAnsiTheme="minorHAnsi" w:cs="Arial"/>
          <w:bCs/>
          <w:color w:val="000000" w:themeColor="text1"/>
        </w:rPr>
        <w:t>Pfrengle</w:t>
      </w:r>
      <w:proofErr w:type="spellEnd"/>
      <w:r w:rsidRPr="002D7A10">
        <w:rPr>
          <w:rFonts w:asciiTheme="minorHAnsi" w:hAnsiTheme="minorHAnsi" w:cs="Arial"/>
          <w:bCs/>
          <w:color w:val="000000" w:themeColor="text1"/>
        </w:rPr>
        <w:t xml:space="preserve">, administratívny riaditeľ a člen Rady riaditeľov </w:t>
      </w:r>
      <w:proofErr w:type="spellStart"/>
      <w:r w:rsidRPr="002D7A10">
        <w:rPr>
          <w:rFonts w:asciiTheme="minorHAnsi" w:hAnsiTheme="minorHAnsi" w:cs="Arial"/>
          <w:bCs/>
          <w:color w:val="000000" w:themeColor="text1"/>
        </w:rPr>
        <w:t>Senckenberg</w:t>
      </w:r>
      <w:proofErr w:type="spellEnd"/>
      <w:r w:rsidRPr="002D7A10">
        <w:rPr>
          <w:rFonts w:asciiTheme="minorHAnsi" w:hAnsiTheme="minorHAnsi" w:cs="Arial"/>
          <w:bCs/>
          <w:color w:val="000000" w:themeColor="text1"/>
        </w:rPr>
        <w:t xml:space="preserve"> </w:t>
      </w:r>
      <w:proofErr w:type="spellStart"/>
      <w:r w:rsidRPr="002D7A10">
        <w:rPr>
          <w:rFonts w:asciiTheme="minorHAnsi" w:hAnsiTheme="minorHAnsi" w:cs="Arial"/>
          <w:bCs/>
          <w:color w:val="000000" w:themeColor="text1"/>
        </w:rPr>
        <w:t>Gesellschaft</w:t>
      </w:r>
      <w:proofErr w:type="spellEnd"/>
      <w:r w:rsidRPr="002D7A10">
        <w:rPr>
          <w:rFonts w:asciiTheme="minorHAnsi" w:hAnsiTheme="minorHAnsi" w:cs="Arial"/>
          <w:bCs/>
          <w:color w:val="000000" w:themeColor="text1"/>
        </w:rPr>
        <w:t xml:space="preserve"> </w:t>
      </w:r>
      <w:proofErr w:type="spellStart"/>
      <w:r w:rsidRPr="002D7A10">
        <w:rPr>
          <w:rFonts w:asciiTheme="minorHAnsi" w:hAnsiTheme="minorHAnsi" w:cs="Arial"/>
          <w:bCs/>
          <w:color w:val="000000" w:themeColor="text1"/>
        </w:rPr>
        <w:t>für</w:t>
      </w:r>
      <w:proofErr w:type="spellEnd"/>
      <w:r w:rsidRPr="002D7A10">
        <w:rPr>
          <w:rFonts w:asciiTheme="minorHAnsi" w:hAnsiTheme="minorHAnsi" w:cs="Arial"/>
          <w:bCs/>
          <w:color w:val="000000" w:themeColor="text1"/>
        </w:rPr>
        <w:t xml:space="preserve"> </w:t>
      </w:r>
      <w:proofErr w:type="spellStart"/>
      <w:r w:rsidRPr="002D7A10">
        <w:rPr>
          <w:rFonts w:asciiTheme="minorHAnsi" w:hAnsiTheme="minorHAnsi" w:cs="Arial"/>
          <w:bCs/>
          <w:color w:val="000000" w:themeColor="text1"/>
        </w:rPr>
        <w:t>Naturforschung</w:t>
      </w:r>
      <w:proofErr w:type="spellEnd"/>
      <w:r w:rsidRPr="002D7A10">
        <w:rPr>
          <w:rFonts w:asciiTheme="minorHAnsi" w:hAnsiTheme="minorHAnsi" w:cs="Arial"/>
          <w:bCs/>
          <w:color w:val="000000" w:themeColor="text1"/>
        </w:rPr>
        <w:t>, Frankfurt (Nemecko)  prednášku  s názvom „</w:t>
      </w:r>
      <w:proofErr w:type="spellStart"/>
      <w:r w:rsidRPr="002D7A10">
        <w:rPr>
          <w:rFonts w:asciiTheme="minorHAnsi" w:hAnsiTheme="minorHAnsi" w:cs="Arial"/>
          <w:bCs/>
          <w:color w:val="000000" w:themeColor="text1"/>
        </w:rPr>
        <w:t>The</w:t>
      </w:r>
      <w:proofErr w:type="spellEnd"/>
      <w:r w:rsidRPr="002D7A10">
        <w:rPr>
          <w:rFonts w:asciiTheme="minorHAnsi" w:hAnsiTheme="minorHAnsi" w:cs="Arial"/>
          <w:bCs/>
          <w:color w:val="000000" w:themeColor="text1"/>
        </w:rPr>
        <w:t xml:space="preserve"> </w:t>
      </w:r>
      <w:proofErr w:type="spellStart"/>
      <w:r w:rsidRPr="002D7A10">
        <w:rPr>
          <w:rFonts w:asciiTheme="minorHAnsi" w:hAnsiTheme="minorHAnsi" w:cs="Arial"/>
          <w:bCs/>
          <w:color w:val="000000" w:themeColor="text1"/>
        </w:rPr>
        <w:t>German</w:t>
      </w:r>
      <w:proofErr w:type="spellEnd"/>
      <w:r w:rsidRPr="002D7A10">
        <w:rPr>
          <w:rFonts w:asciiTheme="minorHAnsi" w:hAnsiTheme="minorHAnsi" w:cs="Arial"/>
          <w:bCs/>
          <w:color w:val="000000" w:themeColor="text1"/>
        </w:rPr>
        <w:t xml:space="preserve"> </w:t>
      </w:r>
      <w:proofErr w:type="spellStart"/>
      <w:r w:rsidRPr="002D7A10">
        <w:rPr>
          <w:rFonts w:asciiTheme="minorHAnsi" w:hAnsiTheme="minorHAnsi" w:cs="Arial"/>
          <w:bCs/>
          <w:color w:val="000000" w:themeColor="text1"/>
        </w:rPr>
        <w:t>Research</w:t>
      </w:r>
      <w:proofErr w:type="spellEnd"/>
      <w:r w:rsidRPr="002D7A10">
        <w:rPr>
          <w:rFonts w:asciiTheme="minorHAnsi" w:hAnsiTheme="minorHAnsi" w:cs="Arial"/>
          <w:bCs/>
          <w:color w:val="000000" w:themeColor="text1"/>
        </w:rPr>
        <w:t xml:space="preserve"> and </w:t>
      </w:r>
      <w:proofErr w:type="spellStart"/>
      <w:r w:rsidRPr="002D7A10">
        <w:rPr>
          <w:rFonts w:asciiTheme="minorHAnsi" w:hAnsiTheme="minorHAnsi" w:cs="Arial"/>
          <w:bCs/>
          <w:color w:val="000000" w:themeColor="text1"/>
        </w:rPr>
        <w:t>Funding</w:t>
      </w:r>
      <w:proofErr w:type="spellEnd"/>
      <w:r w:rsidRPr="002D7A10">
        <w:rPr>
          <w:rFonts w:asciiTheme="minorHAnsi" w:hAnsiTheme="minorHAnsi" w:cs="Arial"/>
          <w:bCs/>
          <w:color w:val="000000" w:themeColor="text1"/>
        </w:rPr>
        <w:t xml:space="preserve"> </w:t>
      </w:r>
      <w:proofErr w:type="spellStart"/>
      <w:r w:rsidRPr="002D7A10">
        <w:rPr>
          <w:rFonts w:asciiTheme="minorHAnsi" w:hAnsiTheme="minorHAnsi" w:cs="Arial"/>
          <w:bCs/>
          <w:color w:val="000000" w:themeColor="text1"/>
        </w:rPr>
        <w:t>Landscape</w:t>
      </w:r>
      <w:proofErr w:type="spellEnd"/>
      <w:r w:rsidRPr="002D7A10">
        <w:rPr>
          <w:rFonts w:asciiTheme="minorHAnsi" w:hAnsiTheme="minorHAnsi" w:cs="Arial"/>
          <w:bCs/>
          <w:color w:val="000000" w:themeColor="text1"/>
        </w:rPr>
        <w:t>“.</w:t>
      </w:r>
    </w:p>
    <w:p w:rsidR="00647715" w:rsidRPr="002D7A10" w:rsidRDefault="00647715" w:rsidP="00647715">
      <w:pPr>
        <w:rPr>
          <w:rFonts w:asciiTheme="minorHAnsi" w:hAnsiTheme="minorHAnsi" w:cs="Arial"/>
          <w:b/>
          <w:bCs/>
          <w:color w:val="000000" w:themeColor="text1"/>
        </w:rPr>
      </w:pPr>
    </w:p>
    <w:p w:rsidR="00647715" w:rsidRPr="002D7A10" w:rsidRDefault="00647715" w:rsidP="00647715">
      <w:pPr>
        <w:rPr>
          <w:rFonts w:asciiTheme="minorHAnsi" w:hAnsiTheme="minorHAnsi"/>
        </w:rPr>
      </w:pPr>
    </w:p>
    <w:p w:rsidR="00EA22C1" w:rsidRDefault="00EA22C1">
      <w:pPr>
        <w:spacing w:after="200" w:line="276" w:lineRule="auto"/>
        <w:jc w:val="left"/>
        <w:rPr>
          <w:rFonts w:asciiTheme="minorHAnsi" w:hAnsiTheme="minorHAnsi"/>
          <w:b/>
          <w:bCs/>
          <w:color w:val="FF0000"/>
        </w:rPr>
      </w:pPr>
      <w:r>
        <w:rPr>
          <w:rFonts w:asciiTheme="minorHAnsi" w:hAnsiTheme="minorHAnsi"/>
          <w:b/>
          <w:bCs/>
          <w:color w:val="FF0000"/>
        </w:rPr>
        <w:br w:type="page"/>
      </w:r>
    </w:p>
    <w:p w:rsidR="00B51749" w:rsidRPr="002D7A10" w:rsidRDefault="00B51749" w:rsidP="00B51749">
      <w:pPr>
        <w:rPr>
          <w:rFonts w:asciiTheme="minorHAnsi" w:hAnsiTheme="minorHAnsi"/>
          <w:b/>
          <w:bCs/>
          <w:color w:val="FF0000"/>
        </w:rPr>
      </w:pPr>
    </w:p>
    <w:p w:rsidR="00B93EE7" w:rsidRPr="00DC7369" w:rsidRDefault="00B51749" w:rsidP="00B93EE7">
      <w:pPr>
        <w:pStyle w:val="Nadpis1"/>
        <w:rPr>
          <w:rFonts w:asciiTheme="minorHAnsi" w:hAnsiTheme="minorHAnsi"/>
          <w:color w:val="auto"/>
          <w:sz w:val="24"/>
          <w:szCs w:val="24"/>
        </w:rPr>
      </w:pPr>
      <w:bookmarkStart w:id="77" w:name="_Toc448261612"/>
      <w:r w:rsidRPr="002D7A10">
        <w:rPr>
          <w:rFonts w:asciiTheme="minorHAnsi" w:hAnsiTheme="minorHAnsi"/>
          <w:color w:val="auto"/>
          <w:sz w:val="24"/>
          <w:szCs w:val="24"/>
        </w:rPr>
        <w:t>Systém kvality na STU</w:t>
      </w:r>
      <w:bookmarkEnd w:id="77"/>
    </w:p>
    <w:p w:rsidR="00B51749" w:rsidRPr="002D7A10" w:rsidRDefault="00B51749" w:rsidP="00B51749">
      <w:pPr>
        <w:pStyle w:val="Nadpis2"/>
        <w:rPr>
          <w:rFonts w:asciiTheme="minorHAnsi" w:hAnsiTheme="minorHAnsi"/>
          <w:color w:val="auto"/>
          <w:sz w:val="24"/>
          <w:szCs w:val="24"/>
        </w:rPr>
      </w:pPr>
      <w:bookmarkStart w:id="78" w:name="_Toc448261613"/>
      <w:r w:rsidRPr="002D7A10">
        <w:rPr>
          <w:rFonts w:asciiTheme="minorHAnsi" w:hAnsiTheme="minorHAnsi"/>
          <w:color w:val="auto"/>
          <w:sz w:val="24"/>
          <w:szCs w:val="24"/>
        </w:rPr>
        <w:t>Manažment vysokej školy</w:t>
      </w:r>
      <w:bookmarkEnd w:id="78"/>
    </w:p>
    <w:p w:rsidR="00B51749" w:rsidRPr="002D7A10" w:rsidRDefault="00B51749" w:rsidP="00B51749">
      <w:pPr>
        <w:rPr>
          <w:rFonts w:asciiTheme="minorHAnsi" w:hAnsiTheme="minorHAnsi"/>
          <w:color w:val="FF0000"/>
          <w:lang w:eastAsia="cs-CZ"/>
        </w:rPr>
      </w:pPr>
    </w:p>
    <w:p w:rsidR="00E9711A" w:rsidRPr="002D7A10" w:rsidRDefault="00E9711A" w:rsidP="00E9711A">
      <w:pPr>
        <w:rPr>
          <w:rFonts w:asciiTheme="minorHAnsi" w:hAnsiTheme="minorHAnsi" w:cs="Calibri"/>
        </w:rPr>
      </w:pPr>
      <w:r w:rsidRPr="002D7A10">
        <w:rPr>
          <w:rFonts w:asciiTheme="minorHAnsi" w:hAnsiTheme="minorHAnsi" w:cs="Calibri"/>
        </w:rPr>
        <w:t>Pre podporu kontrolnej a riadiacej činnosti je na STU vypracovaný Vnútorný systém kvality (VSK), ktorý bol schválený ako vnútorný predpis STU v Akade</w:t>
      </w:r>
      <w:r w:rsidR="00EA22C1">
        <w:rPr>
          <w:rFonts w:asciiTheme="minorHAnsi" w:hAnsiTheme="minorHAnsi" w:cs="Calibri"/>
        </w:rPr>
        <w:t xml:space="preserve">mickom senáte STU 28. 4. 2014. </w:t>
      </w:r>
      <w:r w:rsidRPr="002D7A10">
        <w:rPr>
          <w:rFonts w:asciiTheme="minorHAnsi" w:hAnsiTheme="minorHAnsi"/>
        </w:rPr>
        <w:t>VSK sa realizuje na týchto</w:t>
      </w:r>
      <w:r w:rsidRPr="002D7A10">
        <w:rPr>
          <w:rFonts w:asciiTheme="minorHAnsi" w:hAnsiTheme="minorHAnsi"/>
          <w:spacing w:val="-7"/>
        </w:rPr>
        <w:t xml:space="preserve"> </w:t>
      </w:r>
      <w:r w:rsidRPr="002D7A10">
        <w:rPr>
          <w:rFonts w:asciiTheme="minorHAnsi" w:hAnsiTheme="minorHAnsi"/>
        </w:rPr>
        <w:t>úrovniach:</w:t>
      </w:r>
    </w:p>
    <w:p w:rsidR="00E9711A" w:rsidRPr="002D7A10" w:rsidRDefault="00E9711A" w:rsidP="00D31559">
      <w:pPr>
        <w:pStyle w:val="Odsekzoznamu"/>
        <w:widowControl w:val="0"/>
        <w:numPr>
          <w:ilvl w:val="1"/>
          <w:numId w:val="15"/>
        </w:numPr>
        <w:spacing w:after="0" w:line="240" w:lineRule="auto"/>
        <w:ind w:left="851" w:right="118"/>
        <w:rPr>
          <w:rFonts w:asciiTheme="minorHAnsi" w:hAnsiTheme="minorHAnsi" w:cs="Calibri"/>
          <w:sz w:val="24"/>
          <w:szCs w:val="24"/>
        </w:rPr>
      </w:pPr>
      <w:r w:rsidRPr="002D7A10">
        <w:rPr>
          <w:rFonts w:asciiTheme="minorHAnsi" w:hAnsiTheme="minorHAnsi"/>
          <w:sz w:val="24"/>
          <w:szCs w:val="24"/>
        </w:rPr>
        <w:t>orgány akademickej samosprávy STU (rektor, Vedecká rada STU, AS</w:t>
      </w:r>
      <w:r w:rsidRPr="002D7A10">
        <w:rPr>
          <w:rFonts w:asciiTheme="minorHAnsi" w:hAnsiTheme="minorHAnsi"/>
          <w:spacing w:val="9"/>
          <w:sz w:val="24"/>
          <w:szCs w:val="24"/>
        </w:rPr>
        <w:t xml:space="preserve"> </w:t>
      </w:r>
      <w:r w:rsidRPr="002D7A10">
        <w:rPr>
          <w:rFonts w:asciiTheme="minorHAnsi" w:hAnsiTheme="minorHAnsi"/>
          <w:sz w:val="24"/>
          <w:szCs w:val="24"/>
        </w:rPr>
        <w:t>STU,</w:t>
      </w:r>
      <w:r w:rsidRPr="002D7A10">
        <w:rPr>
          <w:rFonts w:asciiTheme="minorHAnsi" w:hAnsiTheme="minorHAnsi"/>
          <w:w w:val="99"/>
          <w:sz w:val="24"/>
          <w:szCs w:val="24"/>
        </w:rPr>
        <w:t xml:space="preserve"> </w:t>
      </w:r>
      <w:r w:rsidRPr="002D7A10">
        <w:rPr>
          <w:rFonts w:asciiTheme="minorHAnsi" w:hAnsiTheme="minorHAnsi"/>
          <w:sz w:val="24"/>
          <w:szCs w:val="24"/>
        </w:rPr>
        <w:t>Disciplinárna komisia</w:t>
      </w:r>
      <w:r w:rsidRPr="002D7A10">
        <w:rPr>
          <w:rFonts w:asciiTheme="minorHAnsi" w:hAnsiTheme="minorHAnsi"/>
          <w:spacing w:val="-3"/>
          <w:sz w:val="24"/>
          <w:szCs w:val="24"/>
        </w:rPr>
        <w:t xml:space="preserve"> </w:t>
      </w:r>
      <w:r w:rsidRPr="002D7A10">
        <w:rPr>
          <w:rFonts w:asciiTheme="minorHAnsi" w:hAnsiTheme="minorHAnsi"/>
          <w:sz w:val="24"/>
          <w:szCs w:val="24"/>
        </w:rPr>
        <w:t>STU pre študentov),</w:t>
      </w:r>
    </w:p>
    <w:p w:rsidR="00E9711A" w:rsidRPr="002D7A10" w:rsidRDefault="00E9711A" w:rsidP="00D31559">
      <w:pPr>
        <w:pStyle w:val="Odsekzoznamu"/>
        <w:widowControl w:val="0"/>
        <w:numPr>
          <w:ilvl w:val="1"/>
          <w:numId w:val="15"/>
        </w:numPr>
        <w:spacing w:before="2" w:after="0" w:line="240" w:lineRule="auto"/>
        <w:ind w:left="851" w:right="118"/>
        <w:rPr>
          <w:rFonts w:asciiTheme="minorHAnsi" w:hAnsiTheme="minorHAnsi" w:cs="Calibri"/>
          <w:sz w:val="24"/>
          <w:szCs w:val="24"/>
        </w:rPr>
      </w:pPr>
      <w:r w:rsidRPr="002D7A10">
        <w:rPr>
          <w:rFonts w:asciiTheme="minorHAnsi" w:hAnsiTheme="minorHAnsi"/>
          <w:sz w:val="24"/>
          <w:szCs w:val="24"/>
        </w:rPr>
        <w:t>poradné orgány rektora (vedenie STU, kolégium rektora a rada pre kvalitu</w:t>
      </w:r>
      <w:r w:rsidRPr="002D7A10">
        <w:rPr>
          <w:rFonts w:asciiTheme="minorHAnsi" w:hAnsiTheme="minorHAnsi"/>
          <w:spacing w:val="-13"/>
          <w:sz w:val="24"/>
          <w:szCs w:val="24"/>
        </w:rPr>
        <w:t xml:space="preserve"> </w:t>
      </w:r>
      <w:r w:rsidRPr="002D7A10">
        <w:rPr>
          <w:rFonts w:asciiTheme="minorHAnsi" w:hAnsiTheme="minorHAnsi"/>
          <w:sz w:val="24"/>
          <w:szCs w:val="24"/>
        </w:rPr>
        <w:t>STU),</w:t>
      </w:r>
    </w:p>
    <w:p w:rsidR="00E9711A" w:rsidRPr="002D7A10" w:rsidRDefault="00E9711A" w:rsidP="00D31559">
      <w:pPr>
        <w:pStyle w:val="Odsekzoznamu"/>
        <w:widowControl w:val="0"/>
        <w:numPr>
          <w:ilvl w:val="1"/>
          <w:numId w:val="15"/>
        </w:numPr>
        <w:spacing w:after="0" w:line="240" w:lineRule="auto"/>
        <w:ind w:left="851" w:right="118"/>
        <w:rPr>
          <w:rFonts w:asciiTheme="minorHAnsi" w:hAnsiTheme="minorHAnsi" w:cs="Calibri"/>
          <w:sz w:val="24"/>
          <w:szCs w:val="24"/>
        </w:rPr>
      </w:pPr>
      <w:r w:rsidRPr="002D7A10">
        <w:rPr>
          <w:rFonts w:asciiTheme="minorHAnsi" w:hAnsiTheme="minorHAnsi"/>
          <w:sz w:val="24"/>
          <w:szCs w:val="24"/>
        </w:rPr>
        <w:t>orgány akademickej samosprávy fakulty (dekan, vedecká rada fakulty,</w:t>
      </w:r>
      <w:r w:rsidRPr="002D7A10">
        <w:rPr>
          <w:rFonts w:asciiTheme="minorHAnsi" w:hAnsiTheme="minorHAnsi"/>
          <w:spacing w:val="29"/>
          <w:sz w:val="24"/>
          <w:szCs w:val="24"/>
        </w:rPr>
        <w:t xml:space="preserve"> </w:t>
      </w:r>
      <w:r w:rsidRPr="002D7A10">
        <w:rPr>
          <w:rFonts w:asciiTheme="minorHAnsi" w:hAnsiTheme="minorHAnsi"/>
          <w:sz w:val="24"/>
          <w:szCs w:val="24"/>
        </w:rPr>
        <w:t>akademický senát fakulty, disciplinárna komisia fakulty</w:t>
      </w:r>
      <w:r w:rsidRPr="002D7A10">
        <w:rPr>
          <w:rFonts w:asciiTheme="minorHAnsi" w:hAnsiTheme="minorHAnsi"/>
          <w:spacing w:val="-3"/>
          <w:sz w:val="24"/>
          <w:szCs w:val="24"/>
        </w:rPr>
        <w:t xml:space="preserve"> </w:t>
      </w:r>
      <w:r w:rsidRPr="002D7A10">
        <w:rPr>
          <w:rFonts w:asciiTheme="minorHAnsi" w:hAnsiTheme="minorHAnsi"/>
          <w:sz w:val="24"/>
          <w:szCs w:val="24"/>
        </w:rPr>
        <w:t>STU),</w:t>
      </w:r>
    </w:p>
    <w:p w:rsidR="00E9711A" w:rsidRPr="002D7A10" w:rsidRDefault="00E9711A" w:rsidP="00D31559">
      <w:pPr>
        <w:pStyle w:val="Odsekzoznamu"/>
        <w:widowControl w:val="0"/>
        <w:numPr>
          <w:ilvl w:val="1"/>
          <w:numId w:val="15"/>
        </w:numPr>
        <w:spacing w:after="0" w:line="240" w:lineRule="auto"/>
        <w:ind w:left="851" w:right="118"/>
        <w:rPr>
          <w:rFonts w:asciiTheme="minorHAnsi" w:hAnsiTheme="minorHAnsi" w:cs="Calibri"/>
          <w:sz w:val="24"/>
          <w:szCs w:val="24"/>
        </w:rPr>
      </w:pPr>
      <w:r w:rsidRPr="002D7A10">
        <w:rPr>
          <w:rFonts w:asciiTheme="minorHAnsi" w:hAnsiTheme="minorHAnsi"/>
          <w:sz w:val="24"/>
          <w:szCs w:val="24"/>
        </w:rPr>
        <w:t>poradné orgány dekana (vedenie fakulty, kolégium dekana a rada pre</w:t>
      </w:r>
      <w:r w:rsidRPr="002D7A10">
        <w:rPr>
          <w:rFonts w:asciiTheme="minorHAnsi" w:hAnsiTheme="minorHAnsi"/>
          <w:spacing w:val="32"/>
          <w:sz w:val="24"/>
          <w:szCs w:val="24"/>
        </w:rPr>
        <w:t xml:space="preserve"> </w:t>
      </w:r>
      <w:r w:rsidRPr="002D7A10">
        <w:rPr>
          <w:rFonts w:asciiTheme="minorHAnsi" w:hAnsiTheme="minorHAnsi"/>
          <w:sz w:val="24"/>
          <w:szCs w:val="24"/>
        </w:rPr>
        <w:t>kvalitu fakulty),</w:t>
      </w:r>
    </w:p>
    <w:p w:rsidR="00E9711A" w:rsidRPr="002D7A10" w:rsidRDefault="00E9711A" w:rsidP="00D31559">
      <w:pPr>
        <w:pStyle w:val="Odsekzoznamu"/>
        <w:widowControl w:val="0"/>
        <w:numPr>
          <w:ilvl w:val="1"/>
          <w:numId w:val="15"/>
        </w:numPr>
        <w:spacing w:before="9" w:after="0" w:line="240" w:lineRule="auto"/>
        <w:ind w:left="851" w:right="118"/>
        <w:rPr>
          <w:rFonts w:asciiTheme="minorHAnsi" w:hAnsiTheme="minorHAnsi" w:cs="Calibri"/>
          <w:sz w:val="24"/>
          <w:szCs w:val="24"/>
        </w:rPr>
      </w:pPr>
      <w:r w:rsidRPr="002D7A10">
        <w:rPr>
          <w:rFonts w:asciiTheme="minorHAnsi" w:hAnsiTheme="minorHAnsi"/>
          <w:sz w:val="24"/>
          <w:szCs w:val="24"/>
        </w:rPr>
        <w:t>odborová komisia študijného odboru doktorandských študijných</w:t>
      </w:r>
      <w:r w:rsidRPr="002D7A10">
        <w:rPr>
          <w:rFonts w:asciiTheme="minorHAnsi" w:hAnsiTheme="minorHAnsi"/>
          <w:spacing w:val="-10"/>
          <w:sz w:val="24"/>
          <w:szCs w:val="24"/>
        </w:rPr>
        <w:t xml:space="preserve"> </w:t>
      </w:r>
      <w:r w:rsidRPr="002D7A10">
        <w:rPr>
          <w:rFonts w:asciiTheme="minorHAnsi" w:hAnsiTheme="minorHAnsi"/>
          <w:sz w:val="24"/>
          <w:szCs w:val="24"/>
        </w:rPr>
        <w:t>programov,</w:t>
      </w:r>
    </w:p>
    <w:p w:rsidR="00E9711A" w:rsidRPr="002D7A10" w:rsidRDefault="00E9711A" w:rsidP="00D31559">
      <w:pPr>
        <w:pStyle w:val="Odsekzoznamu"/>
        <w:widowControl w:val="0"/>
        <w:numPr>
          <w:ilvl w:val="1"/>
          <w:numId w:val="15"/>
        </w:numPr>
        <w:spacing w:before="51" w:after="0" w:line="240" w:lineRule="auto"/>
        <w:ind w:left="851" w:right="118"/>
        <w:rPr>
          <w:rFonts w:asciiTheme="minorHAnsi" w:hAnsiTheme="minorHAnsi" w:cs="Calibri"/>
          <w:sz w:val="24"/>
          <w:szCs w:val="24"/>
        </w:rPr>
      </w:pPr>
      <w:r w:rsidRPr="002D7A10">
        <w:rPr>
          <w:rFonts w:asciiTheme="minorHAnsi" w:hAnsiTheme="minorHAnsi"/>
          <w:sz w:val="24"/>
          <w:szCs w:val="24"/>
        </w:rPr>
        <w:t>garant študijného</w:t>
      </w:r>
      <w:r w:rsidRPr="002D7A10">
        <w:rPr>
          <w:rFonts w:asciiTheme="minorHAnsi" w:hAnsiTheme="minorHAnsi"/>
          <w:spacing w:val="-3"/>
          <w:sz w:val="24"/>
          <w:szCs w:val="24"/>
        </w:rPr>
        <w:t xml:space="preserve"> </w:t>
      </w:r>
      <w:r w:rsidRPr="002D7A10">
        <w:rPr>
          <w:rFonts w:asciiTheme="minorHAnsi" w:hAnsiTheme="minorHAnsi"/>
          <w:sz w:val="24"/>
          <w:szCs w:val="24"/>
        </w:rPr>
        <w:t>programu,</w:t>
      </w:r>
    </w:p>
    <w:p w:rsidR="00E9711A" w:rsidRPr="002D7A10" w:rsidRDefault="00E9711A" w:rsidP="00D31559">
      <w:pPr>
        <w:pStyle w:val="Odsekzoznamu"/>
        <w:widowControl w:val="0"/>
        <w:numPr>
          <w:ilvl w:val="1"/>
          <w:numId w:val="15"/>
        </w:numPr>
        <w:spacing w:after="0" w:line="240" w:lineRule="auto"/>
        <w:ind w:left="851" w:right="118"/>
        <w:rPr>
          <w:rFonts w:asciiTheme="minorHAnsi" w:hAnsiTheme="minorHAnsi" w:cs="Calibri"/>
          <w:sz w:val="24"/>
          <w:szCs w:val="24"/>
        </w:rPr>
      </w:pPr>
      <w:r w:rsidRPr="002D7A10">
        <w:rPr>
          <w:rFonts w:asciiTheme="minorHAnsi" w:hAnsiTheme="minorHAnsi"/>
          <w:sz w:val="24"/>
          <w:szCs w:val="24"/>
        </w:rPr>
        <w:t>vedúci pracoviska</w:t>
      </w:r>
      <w:r w:rsidRPr="002D7A10">
        <w:rPr>
          <w:rFonts w:asciiTheme="minorHAnsi" w:hAnsiTheme="minorHAnsi"/>
          <w:spacing w:val="-3"/>
          <w:sz w:val="24"/>
          <w:szCs w:val="24"/>
        </w:rPr>
        <w:t xml:space="preserve"> </w:t>
      </w:r>
      <w:r w:rsidRPr="002D7A10">
        <w:rPr>
          <w:rFonts w:asciiTheme="minorHAnsi" w:hAnsiTheme="minorHAnsi"/>
          <w:sz w:val="24"/>
          <w:szCs w:val="24"/>
        </w:rPr>
        <w:t>(ústavu/katedry),</w:t>
      </w:r>
    </w:p>
    <w:p w:rsidR="00E9711A" w:rsidRPr="002D7A10" w:rsidRDefault="00E9711A" w:rsidP="00D31559">
      <w:pPr>
        <w:pStyle w:val="Odsekzoznamu"/>
        <w:widowControl w:val="0"/>
        <w:numPr>
          <w:ilvl w:val="1"/>
          <w:numId w:val="15"/>
        </w:numPr>
        <w:spacing w:after="0" w:line="240" w:lineRule="auto"/>
        <w:ind w:left="851" w:right="118"/>
        <w:rPr>
          <w:rFonts w:asciiTheme="minorHAnsi" w:hAnsiTheme="minorHAnsi" w:cs="Calibri"/>
          <w:sz w:val="24"/>
          <w:szCs w:val="24"/>
        </w:rPr>
      </w:pPr>
      <w:r w:rsidRPr="002D7A10">
        <w:rPr>
          <w:rFonts w:asciiTheme="minorHAnsi" w:hAnsiTheme="minorHAnsi"/>
          <w:sz w:val="24"/>
          <w:szCs w:val="24"/>
        </w:rPr>
        <w:t>zodpovedný učiteľ za</w:t>
      </w:r>
      <w:r w:rsidRPr="002D7A10">
        <w:rPr>
          <w:rFonts w:asciiTheme="minorHAnsi" w:hAnsiTheme="minorHAnsi"/>
          <w:spacing w:val="-3"/>
          <w:sz w:val="24"/>
          <w:szCs w:val="24"/>
        </w:rPr>
        <w:t xml:space="preserve"> </w:t>
      </w:r>
      <w:r w:rsidRPr="002D7A10">
        <w:rPr>
          <w:rFonts w:asciiTheme="minorHAnsi" w:hAnsiTheme="minorHAnsi"/>
          <w:sz w:val="24"/>
          <w:szCs w:val="24"/>
        </w:rPr>
        <w:t>predmet.</w:t>
      </w:r>
    </w:p>
    <w:p w:rsidR="00E9711A" w:rsidRPr="002D7A10" w:rsidRDefault="00E9711A" w:rsidP="00E9711A">
      <w:pPr>
        <w:spacing w:before="199"/>
        <w:ind w:right="118"/>
        <w:rPr>
          <w:rFonts w:asciiTheme="minorHAnsi" w:hAnsiTheme="minorHAnsi" w:cs="Calibri"/>
        </w:rPr>
      </w:pPr>
      <w:r w:rsidRPr="002D7A10">
        <w:rPr>
          <w:rFonts w:asciiTheme="minorHAnsi" w:hAnsiTheme="minorHAnsi" w:cs="Calibri"/>
        </w:rPr>
        <w:t xml:space="preserve">Radu pre kvalitu STU tvorí prorektor pre  vzdelávanie a príslušní prodekani zodpovední za vysokoškolské vzdelávanie na jednotlivých fakultách. </w:t>
      </w:r>
      <w:r w:rsidRPr="002D7A10">
        <w:rPr>
          <w:rFonts w:asciiTheme="minorHAnsi" w:hAnsiTheme="minorHAnsi"/>
        </w:rPr>
        <w:t>Rady pre kvalitu fakúlt môžu byť tvorené najmä</w:t>
      </w:r>
      <w:r w:rsidRPr="002D7A10">
        <w:rPr>
          <w:rFonts w:asciiTheme="minorHAnsi" w:hAnsiTheme="minorHAnsi"/>
          <w:spacing w:val="-4"/>
        </w:rPr>
        <w:t xml:space="preserve"> </w:t>
      </w:r>
      <w:r w:rsidRPr="002D7A10">
        <w:rPr>
          <w:rFonts w:asciiTheme="minorHAnsi" w:hAnsiTheme="minorHAnsi"/>
        </w:rPr>
        <w:t>ako:</w:t>
      </w:r>
    </w:p>
    <w:p w:rsidR="00E9711A" w:rsidRPr="002D7A10" w:rsidRDefault="00E9711A" w:rsidP="00D31559">
      <w:pPr>
        <w:pStyle w:val="Odsekzoznamu"/>
        <w:widowControl w:val="0"/>
        <w:numPr>
          <w:ilvl w:val="1"/>
          <w:numId w:val="16"/>
        </w:numPr>
        <w:spacing w:after="0" w:line="240" w:lineRule="auto"/>
        <w:ind w:left="851" w:right="118"/>
        <w:rPr>
          <w:rFonts w:asciiTheme="minorHAnsi" w:hAnsiTheme="minorHAnsi" w:cs="Calibri"/>
          <w:sz w:val="24"/>
          <w:szCs w:val="24"/>
        </w:rPr>
      </w:pPr>
      <w:r w:rsidRPr="002D7A10">
        <w:rPr>
          <w:rFonts w:asciiTheme="minorHAnsi" w:hAnsiTheme="minorHAnsi"/>
          <w:sz w:val="24"/>
          <w:szCs w:val="24"/>
        </w:rPr>
        <w:t>rady garantov študijných</w:t>
      </w:r>
      <w:r w:rsidRPr="002D7A10">
        <w:rPr>
          <w:rFonts w:asciiTheme="minorHAnsi" w:hAnsiTheme="minorHAnsi"/>
          <w:spacing w:val="-5"/>
          <w:sz w:val="24"/>
          <w:szCs w:val="24"/>
        </w:rPr>
        <w:t xml:space="preserve"> </w:t>
      </w:r>
      <w:r w:rsidRPr="002D7A10">
        <w:rPr>
          <w:rFonts w:asciiTheme="minorHAnsi" w:hAnsiTheme="minorHAnsi"/>
          <w:sz w:val="24"/>
          <w:szCs w:val="24"/>
        </w:rPr>
        <w:t xml:space="preserve">programov </w:t>
      </w:r>
      <w:r w:rsidRPr="002D7A10">
        <w:rPr>
          <w:rFonts w:asciiTheme="minorHAnsi" w:hAnsiTheme="minorHAnsi" w:cs="Calibri"/>
          <w:sz w:val="24"/>
          <w:szCs w:val="24"/>
        </w:rPr>
        <w:t>(SvF, SjF, FA, FIIT),</w:t>
      </w:r>
    </w:p>
    <w:p w:rsidR="00E9711A" w:rsidRPr="002D7A10" w:rsidRDefault="00E9711A" w:rsidP="00D31559">
      <w:pPr>
        <w:pStyle w:val="Odsekzoznamu"/>
        <w:widowControl w:val="0"/>
        <w:numPr>
          <w:ilvl w:val="1"/>
          <w:numId w:val="16"/>
        </w:numPr>
        <w:spacing w:after="0" w:line="240" w:lineRule="auto"/>
        <w:ind w:left="851" w:right="118"/>
        <w:rPr>
          <w:rFonts w:asciiTheme="minorHAnsi" w:hAnsiTheme="minorHAnsi" w:cs="Calibri"/>
          <w:sz w:val="24"/>
          <w:szCs w:val="24"/>
        </w:rPr>
      </w:pPr>
      <w:r w:rsidRPr="002D7A10">
        <w:rPr>
          <w:rFonts w:asciiTheme="minorHAnsi" w:hAnsiTheme="minorHAnsi"/>
          <w:sz w:val="24"/>
          <w:szCs w:val="24"/>
        </w:rPr>
        <w:t>komisie pre hodnotenie a zabezpečovanie</w:t>
      </w:r>
      <w:r w:rsidRPr="002D7A10">
        <w:rPr>
          <w:rFonts w:asciiTheme="minorHAnsi" w:hAnsiTheme="minorHAnsi"/>
          <w:spacing w:val="-2"/>
          <w:sz w:val="24"/>
          <w:szCs w:val="24"/>
        </w:rPr>
        <w:t xml:space="preserve"> </w:t>
      </w:r>
      <w:r w:rsidRPr="002D7A10">
        <w:rPr>
          <w:rFonts w:asciiTheme="minorHAnsi" w:hAnsiTheme="minorHAnsi"/>
          <w:sz w:val="24"/>
          <w:szCs w:val="24"/>
        </w:rPr>
        <w:t xml:space="preserve">kvality </w:t>
      </w:r>
      <w:r w:rsidRPr="002D7A10">
        <w:rPr>
          <w:rFonts w:asciiTheme="minorHAnsi" w:hAnsiTheme="minorHAnsi" w:cs="Calibri"/>
          <w:sz w:val="24"/>
          <w:szCs w:val="24"/>
        </w:rPr>
        <w:t>(SjF)</w:t>
      </w:r>
      <w:r w:rsidRPr="002D7A10">
        <w:rPr>
          <w:rFonts w:asciiTheme="minorHAnsi" w:hAnsiTheme="minorHAnsi"/>
          <w:sz w:val="24"/>
          <w:szCs w:val="24"/>
        </w:rPr>
        <w:t>,</w:t>
      </w:r>
    </w:p>
    <w:p w:rsidR="00E9711A" w:rsidRPr="002D7A10" w:rsidRDefault="00E9711A" w:rsidP="00D31559">
      <w:pPr>
        <w:pStyle w:val="Odsekzoznamu"/>
        <w:widowControl w:val="0"/>
        <w:numPr>
          <w:ilvl w:val="1"/>
          <w:numId w:val="16"/>
        </w:numPr>
        <w:spacing w:after="0" w:line="240" w:lineRule="auto"/>
        <w:ind w:left="851" w:right="118"/>
        <w:rPr>
          <w:rFonts w:asciiTheme="minorHAnsi" w:hAnsiTheme="minorHAnsi" w:cs="Calibri"/>
          <w:sz w:val="24"/>
          <w:szCs w:val="24"/>
        </w:rPr>
      </w:pPr>
      <w:r w:rsidRPr="002D7A10">
        <w:rPr>
          <w:rFonts w:asciiTheme="minorHAnsi" w:hAnsiTheme="minorHAnsi"/>
          <w:sz w:val="24"/>
          <w:szCs w:val="24"/>
        </w:rPr>
        <w:t>komisie pre kvalitu</w:t>
      </w:r>
      <w:r w:rsidRPr="002D7A10">
        <w:rPr>
          <w:rFonts w:asciiTheme="minorHAnsi" w:hAnsiTheme="minorHAnsi"/>
          <w:spacing w:val="-2"/>
          <w:sz w:val="24"/>
          <w:szCs w:val="24"/>
        </w:rPr>
        <w:t xml:space="preserve"> </w:t>
      </w:r>
      <w:r w:rsidRPr="002D7A10">
        <w:rPr>
          <w:rFonts w:asciiTheme="minorHAnsi" w:hAnsiTheme="minorHAnsi"/>
          <w:sz w:val="24"/>
          <w:szCs w:val="24"/>
        </w:rPr>
        <w:t xml:space="preserve">vzdelávania </w:t>
      </w:r>
      <w:r w:rsidRPr="002D7A10">
        <w:rPr>
          <w:rFonts w:asciiTheme="minorHAnsi" w:hAnsiTheme="minorHAnsi" w:cs="Calibri"/>
          <w:sz w:val="24"/>
          <w:szCs w:val="24"/>
        </w:rPr>
        <w:t>(MTF)</w:t>
      </w:r>
      <w:r w:rsidRPr="002D7A10">
        <w:rPr>
          <w:rFonts w:asciiTheme="minorHAnsi" w:hAnsiTheme="minorHAnsi"/>
          <w:sz w:val="24"/>
          <w:szCs w:val="24"/>
        </w:rPr>
        <w:t>,</w:t>
      </w:r>
    </w:p>
    <w:p w:rsidR="00E9711A" w:rsidRPr="002D7A10" w:rsidRDefault="00E9711A" w:rsidP="00D31559">
      <w:pPr>
        <w:pStyle w:val="Odsekzoznamu"/>
        <w:widowControl w:val="0"/>
        <w:numPr>
          <w:ilvl w:val="1"/>
          <w:numId w:val="16"/>
        </w:numPr>
        <w:spacing w:after="120" w:line="240" w:lineRule="auto"/>
        <w:ind w:left="851" w:right="119" w:hanging="567"/>
        <w:rPr>
          <w:rFonts w:asciiTheme="minorHAnsi" w:hAnsiTheme="minorHAnsi" w:cs="Calibri"/>
          <w:sz w:val="24"/>
          <w:szCs w:val="24"/>
        </w:rPr>
      </w:pPr>
      <w:r w:rsidRPr="002D7A10">
        <w:rPr>
          <w:rFonts w:asciiTheme="minorHAnsi" w:hAnsiTheme="minorHAnsi"/>
          <w:sz w:val="24"/>
          <w:szCs w:val="24"/>
        </w:rPr>
        <w:t>pedagogické rady, prípadne pedagogické</w:t>
      </w:r>
      <w:r w:rsidRPr="002D7A10">
        <w:rPr>
          <w:rFonts w:asciiTheme="minorHAnsi" w:hAnsiTheme="minorHAnsi"/>
          <w:spacing w:val="-4"/>
          <w:sz w:val="24"/>
          <w:szCs w:val="24"/>
        </w:rPr>
        <w:t xml:space="preserve"> </w:t>
      </w:r>
      <w:r w:rsidRPr="002D7A10">
        <w:rPr>
          <w:rFonts w:asciiTheme="minorHAnsi" w:hAnsiTheme="minorHAnsi"/>
          <w:sz w:val="24"/>
          <w:szCs w:val="24"/>
        </w:rPr>
        <w:t xml:space="preserve">komisie </w:t>
      </w:r>
      <w:r w:rsidRPr="002D7A10">
        <w:rPr>
          <w:rFonts w:asciiTheme="minorHAnsi" w:hAnsiTheme="minorHAnsi" w:cs="Calibri"/>
          <w:sz w:val="24"/>
          <w:szCs w:val="24"/>
        </w:rPr>
        <w:t>(FCHPT, UM)</w:t>
      </w:r>
      <w:r w:rsidRPr="002D7A10">
        <w:rPr>
          <w:rFonts w:asciiTheme="minorHAnsi" w:hAnsiTheme="minorHAnsi"/>
          <w:sz w:val="24"/>
          <w:szCs w:val="24"/>
        </w:rPr>
        <w:t>.</w:t>
      </w:r>
    </w:p>
    <w:p w:rsidR="00E9711A" w:rsidRPr="002D7A10" w:rsidRDefault="00E9711A" w:rsidP="00E9711A">
      <w:pPr>
        <w:spacing w:before="120"/>
        <w:ind w:right="118"/>
        <w:rPr>
          <w:rFonts w:asciiTheme="minorHAnsi" w:hAnsiTheme="minorHAnsi" w:cs="Calibri"/>
        </w:rPr>
      </w:pPr>
      <w:r w:rsidRPr="002D7A10">
        <w:rPr>
          <w:rFonts w:asciiTheme="minorHAnsi" w:hAnsiTheme="minorHAnsi"/>
        </w:rPr>
        <w:t>Na STU a jej fakultách sa na naplnenie všetkých požiadaviek v súlade s</w:t>
      </w:r>
      <w:r w:rsidRPr="002D7A10">
        <w:rPr>
          <w:rFonts w:asciiTheme="minorHAnsi" w:hAnsiTheme="minorHAnsi"/>
          <w:spacing w:val="22"/>
        </w:rPr>
        <w:t xml:space="preserve"> </w:t>
      </w:r>
      <w:r w:rsidRPr="002D7A10">
        <w:rPr>
          <w:rFonts w:asciiTheme="minorHAnsi" w:hAnsiTheme="minorHAnsi"/>
        </w:rPr>
        <w:t>plnením VSK používajú nasledovné</w:t>
      </w:r>
      <w:r w:rsidRPr="002D7A10">
        <w:rPr>
          <w:rFonts w:asciiTheme="minorHAnsi" w:hAnsiTheme="minorHAnsi"/>
          <w:spacing w:val="-2"/>
        </w:rPr>
        <w:t xml:space="preserve"> </w:t>
      </w:r>
      <w:r w:rsidRPr="002D7A10">
        <w:rPr>
          <w:rFonts w:asciiTheme="minorHAnsi" w:hAnsiTheme="minorHAnsi"/>
        </w:rPr>
        <w:t>nástroje:</w:t>
      </w:r>
    </w:p>
    <w:p w:rsidR="00E9711A" w:rsidRPr="002D7A10" w:rsidRDefault="00E9711A" w:rsidP="00D31559">
      <w:pPr>
        <w:pStyle w:val="Odsekzoznamu"/>
        <w:widowControl w:val="0"/>
        <w:numPr>
          <w:ilvl w:val="1"/>
          <w:numId w:val="17"/>
        </w:numPr>
        <w:spacing w:after="0" w:line="240" w:lineRule="auto"/>
        <w:ind w:left="709" w:right="118"/>
        <w:rPr>
          <w:rFonts w:asciiTheme="minorHAnsi" w:hAnsiTheme="minorHAnsi" w:cs="Calibri"/>
          <w:sz w:val="24"/>
          <w:szCs w:val="24"/>
        </w:rPr>
      </w:pPr>
      <w:r w:rsidRPr="002D7A10">
        <w:rPr>
          <w:rFonts w:asciiTheme="minorHAnsi" w:hAnsiTheme="minorHAnsi"/>
          <w:sz w:val="24"/>
          <w:szCs w:val="24"/>
        </w:rPr>
        <w:t>Zapájanie</w:t>
      </w:r>
      <w:r w:rsidRPr="002D7A10">
        <w:rPr>
          <w:rFonts w:asciiTheme="minorHAnsi" w:hAnsiTheme="minorHAnsi"/>
          <w:spacing w:val="22"/>
          <w:sz w:val="24"/>
          <w:szCs w:val="24"/>
        </w:rPr>
        <w:t xml:space="preserve"> </w:t>
      </w:r>
      <w:r w:rsidRPr="002D7A10">
        <w:rPr>
          <w:rFonts w:asciiTheme="minorHAnsi" w:hAnsiTheme="minorHAnsi"/>
          <w:sz w:val="24"/>
          <w:szCs w:val="24"/>
        </w:rPr>
        <w:t>študentov</w:t>
      </w:r>
      <w:r w:rsidRPr="002D7A10">
        <w:rPr>
          <w:rFonts w:asciiTheme="minorHAnsi" w:hAnsiTheme="minorHAnsi"/>
          <w:spacing w:val="21"/>
          <w:sz w:val="24"/>
          <w:szCs w:val="24"/>
        </w:rPr>
        <w:t xml:space="preserve"> </w:t>
      </w:r>
      <w:r w:rsidRPr="002D7A10">
        <w:rPr>
          <w:rFonts w:asciiTheme="minorHAnsi" w:hAnsiTheme="minorHAnsi"/>
          <w:sz w:val="24"/>
          <w:szCs w:val="24"/>
        </w:rPr>
        <w:t>všetkých</w:t>
      </w:r>
      <w:r w:rsidRPr="002D7A10">
        <w:rPr>
          <w:rFonts w:asciiTheme="minorHAnsi" w:hAnsiTheme="minorHAnsi"/>
          <w:spacing w:val="22"/>
          <w:sz w:val="24"/>
          <w:szCs w:val="24"/>
        </w:rPr>
        <w:t xml:space="preserve"> </w:t>
      </w:r>
      <w:r w:rsidRPr="002D7A10">
        <w:rPr>
          <w:rFonts w:asciiTheme="minorHAnsi" w:hAnsiTheme="minorHAnsi"/>
          <w:sz w:val="24"/>
          <w:szCs w:val="24"/>
        </w:rPr>
        <w:t>stupňov</w:t>
      </w:r>
      <w:r w:rsidRPr="002D7A10">
        <w:rPr>
          <w:rFonts w:asciiTheme="minorHAnsi" w:hAnsiTheme="minorHAnsi"/>
          <w:spacing w:val="21"/>
          <w:sz w:val="24"/>
          <w:szCs w:val="24"/>
        </w:rPr>
        <w:t xml:space="preserve"> </w:t>
      </w:r>
      <w:r w:rsidRPr="002D7A10">
        <w:rPr>
          <w:rFonts w:asciiTheme="minorHAnsi" w:hAnsiTheme="minorHAnsi"/>
          <w:sz w:val="24"/>
          <w:szCs w:val="24"/>
        </w:rPr>
        <w:t>štúdia</w:t>
      </w:r>
      <w:r w:rsidRPr="002D7A10">
        <w:rPr>
          <w:rFonts w:asciiTheme="minorHAnsi" w:hAnsiTheme="minorHAnsi"/>
          <w:spacing w:val="19"/>
          <w:sz w:val="24"/>
          <w:szCs w:val="24"/>
        </w:rPr>
        <w:t xml:space="preserve"> </w:t>
      </w:r>
      <w:r w:rsidRPr="002D7A10">
        <w:rPr>
          <w:rFonts w:asciiTheme="minorHAnsi" w:hAnsiTheme="minorHAnsi"/>
          <w:sz w:val="24"/>
          <w:szCs w:val="24"/>
        </w:rPr>
        <w:t>do</w:t>
      </w:r>
      <w:r w:rsidRPr="002D7A10">
        <w:rPr>
          <w:rFonts w:asciiTheme="minorHAnsi" w:hAnsiTheme="minorHAnsi"/>
          <w:spacing w:val="20"/>
          <w:sz w:val="24"/>
          <w:szCs w:val="24"/>
        </w:rPr>
        <w:t xml:space="preserve"> </w:t>
      </w:r>
      <w:r w:rsidRPr="002D7A10">
        <w:rPr>
          <w:rFonts w:asciiTheme="minorHAnsi" w:hAnsiTheme="minorHAnsi"/>
          <w:sz w:val="24"/>
          <w:szCs w:val="24"/>
        </w:rPr>
        <w:t>výskumnej</w:t>
      </w:r>
      <w:r w:rsidRPr="002D7A10">
        <w:rPr>
          <w:rFonts w:asciiTheme="minorHAnsi" w:hAnsiTheme="minorHAnsi"/>
          <w:spacing w:val="22"/>
          <w:sz w:val="24"/>
          <w:szCs w:val="24"/>
        </w:rPr>
        <w:t xml:space="preserve"> </w:t>
      </w:r>
      <w:r w:rsidRPr="002D7A10">
        <w:rPr>
          <w:rFonts w:asciiTheme="minorHAnsi" w:hAnsiTheme="minorHAnsi"/>
          <w:sz w:val="24"/>
          <w:szCs w:val="24"/>
        </w:rPr>
        <w:t>a</w:t>
      </w:r>
      <w:r w:rsidRPr="002D7A10">
        <w:rPr>
          <w:rFonts w:asciiTheme="minorHAnsi" w:hAnsiTheme="minorHAnsi"/>
          <w:spacing w:val="21"/>
          <w:sz w:val="24"/>
          <w:szCs w:val="24"/>
        </w:rPr>
        <w:t xml:space="preserve"> </w:t>
      </w:r>
      <w:r w:rsidRPr="002D7A10">
        <w:rPr>
          <w:rFonts w:asciiTheme="minorHAnsi" w:hAnsiTheme="minorHAnsi"/>
          <w:sz w:val="24"/>
          <w:szCs w:val="24"/>
        </w:rPr>
        <w:t>inej</w:t>
      </w:r>
      <w:r w:rsidRPr="002D7A10">
        <w:rPr>
          <w:rFonts w:asciiTheme="minorHAnsi" w:hAnsiTheme="minorHAnsi"/>
          <w:spacing w:val="19"/>
          <w:sz w:val="24"/>
          <w:szCs w:val="24"/>
        </w:rPr>
        <w:t xml:space="preserve"> </w:t>
      </w:r>
      <w:r w:rsidRPr="002D7A10">
        <w:rPr>
          <w:rFonts w:asciiTheme="minorHAnsi" w:hAnsiTheme="minorHAnsi"/>
          <w:sz w:val="24"/>
          <w:szCs w:val="24"/>
        </w:rPr>
        <w:t>tvorivej</w:t>
      </w:r>
      <w:r w:rsidRPr="002D7A10">
        <w:rPr>
          <w:rFonts w:asciiTheme="minorHAnsi" w:hAnsiTheme="minorHAnsi"/>
          <w:spacing w:val="22"/>
          <w:sz w:val="24"/>
          <w:szCs w:val="24"/>
        </w:rPr>
        <w:t xml:space="preserve"> </w:t>
      </w:r>
      <w:r w:rsidRPr="002D7A10">
        <w:rPr>
          <w:rFonts w:asciiTheme="minorHAnsi" w:hAnsiTheme="minorHAnsi"/>
          <w:sz w:val="24"/>
          <w:szCs w:val="24"/>
        </w:rPr>
        <w:t>činnosti vrátane</w:t>
      </w:r>
      <w:r w:rsidRPr="002D7A10">
        <w:rPr>
          <w:rFonts w:asciiTheme="minorHAnsi" w:hAnsiTheme="minorHAnsi"/>
          <w:spacing w:val="-3"/>
          <w:sz w:val="24"/>
          <w:szCs w:val="24"/>
        </w:rPr>
        <w:t xml:space="preserve"> </w:t>
      </w:r>
      <w:r w:rsidRPr="002D7A10">
        <w:rPr>
          <w:rFonts w:asciiTheme="minorHAnsi" w:hAnsiTheme="minorHAnsi"/>
          <w:sz w:val="24"/>
          <w:szCs w:val="24"/>
        </w:rPr>
        <w:t>inžinierskej.</w:t>
      </w:r>
    </w:p>
    <w:p w:rsidR="00E9711A" w:rsidRPr="002D7A10" w:rsidRDefault="00E9711A" w:rsidP="00D31559">
      <w:pPr>
        <w:pStyle w:val="Odsekzoznamu"/>
        <w:widowControl w:val="0"/>
        <w:numPr>
          <w:ilvl w:val="1"/>
          <w:numId w:val="17"/>
        </w:numPr>
        <w:spacing w:after="0" w:line="240" w:lineRule="auto"/>
        <w:ind w:left="709" w:right="107"/>
        <w:rPr>
          <w:rFonts w:asciiTheme="minorHAnsi" w:hAnsiTheme="minorHAnsi" w:cs="Calibri"/>
          <w:sz w:val="24"/>
          <w:szCs w:val="24"/>
        </w:rPr>
      </w:pPr>
      <w:r w:rsidRPr="002D7A10">
        <w:rPr>
          <w:rFonts w:asciiTheme="minorHAnsi" w:hAnsiTheme="minorHAnsi"/>
          <w:sz w:val="24"/>
          <w:szCs w:val="24"/>
        </w:rPr>
        <w:t>Vykonávanie revízií všetkých študijných programov s cieľom optimalizácie a</w:t>
      </w:r>
      <w:r w:rsidRPr="002D7A10">
        <w:rPr>
          <w:rFonts w:asciiTheme="minorHAnsi" w:hAnsiTheme="minorHAnsi"/>
          <w:spacing w:val="-6"/>
          <w:sz w:val="24"/>
          <w:szCs w:val="24"/>
        </w:rPr>
        <w:t xml:space="preserve"> </w:t>
      </w:r>
      <w:r w:rsidRPr="002D7A10">
        <w:rPr>
          <w:rFonts w:asciiTheme="minorHAnsi" w:hAnsiTheme="minorHAnsi"/>
          <w:sz w:val="24"/>
          <w:szCs w:val="24"/>
        </w:rPr>
        <w:t>zvýšenia efektívnosti aj v nadväznosti na dostupné ľudské zdroje, požiadavky</w:t>
      </w:r>
      <w:r w:rsidRPr="002D7A10">
        <w:rPr>
          <w:rFonts w:asciiTheme="minorHAnsi" w:hAnsiTheme="minorHAnsi"/>
          <w:spacing w:val="-18"/>
          <w:sz w:val="24"/>
          <w:szCs w:val="24"/>
        </w:rPr>
        <w:t xml:space="preserve"> </w:t>
      </w:r>
      <w:r w:rsidRPr="002D7A10">
        <w:rPr>
          <w:rFonts w:asciiTheme="minorHAnsi" w:hAnsiTheme="minorHAnsi"/>
          <w:sz w:val="24"/>
          <w:szCs w:val="24"/>
        </w:rPr>
        <w:t>spoločného univerzitného profilu absolventa, požiadavky praxe a možnosť</w:t>
      </w:r>
      <w:r w:rsidRPr="002D7A10">
        <w:rPr>
          <w:rFonts w:asciiTheme="minorHAnsi" w:hAnsiTheme="minorHAnsi"/>
          <w:spacing w:val="38"/>
          <w:sz w:val="24"/>
          <w:szCs w:val="24"/>
        </w:rPr>
        <w:t xml:space="preserve"> </w:t>
      </w:r>
      <w:r w:rsidRPr="002D7A10">
        <w:rPr>
          <w:rFonts w:asciiTheme="minorHAnsi" w:hAnsiTheme="minorHAnsi"/>
          <w:sz w:val="24"/>
          <w:szCs w:val="24"/>
        </w:rPr>
        <w:t>individuálnej profilácie.</w:t>
      </w:r>
    </w:p>
    <w:p w:rsidR="00E9711A" w:rsidRPr="002D7A10" w:rsidRDefault="00E9711A" w:rsidP="00D31559">
      <w:pPr>
        <w:pStyle w:val="Odsekzoznamu"/>
        <w:widowControl w:val="0"/>
        <w:numPr>
          <w:ilvl w:val="1"/>
          <w:numId w:val="17"/>
        </w:numPr>
        <w:spacing w:after="0" w:line="240" w:lineRule="auto"/>
        <w:ind w:left="709" w:right="118"/>
        <w:rPr>
          <w:rFonts w:asciiTheme="minorHAnsi" w:hAnsiTheme="minorHAnsi" w:cs="Calibri"/>
          <w:sz w:val="24"/>
          <w:szCs w:val="24"/>
        </w:rPr>
      </w:pPr>
      <w:r w:rsidRPr="002D7A10">
        <w:rPr>
          <w:rFonts w:asciiTheme="minorHAnsi" w:hAnsiTheme="minorHAnsi"/>
          <w:sz w:val="24"/>
          <w:szCs w:val="24"/>
        </w:rPr>
        <w:t>Modernizovanie vzdelávania s ohľadom na najnovšie poznatky v didaktike a na meniace sa potreby nastupujúcich</w:t>
      </w:r>
      <w:r w:rsidRPr="002D7A10">
        <w:rPr>
          <w:rFonts w:asciiTheme="minorHAnsi" w:hAnsiTheme="minorHAnsi"/>
          <w:spacing w:val="-9"/>
          <w:sz w:val="24"/>
          <w:szCs w:val="24"/>
        </w:rPr>
        <w:t xml:space="preserve"> </w:t>
      </w:r>
      <w:r w:rsidRPr="002D7A10">
        <w:rPr>
          <w:rFonts w:asciiTheme="minorHAnsi" w:hAnsiTheme="minorHAnsi"/>
          <w:sz w:val="24"/>
          <w:szCs w:val="24"/>
        </w:rPr>
        <w:t>študentov.</w:t>
      </w:r>
    </w:p>
    <w:p w:rsidR="00E9711A" w:rsidRPr="002D7A10" w:rsidRDefault="00E9711A" w:rsidP="00D31559">
      <w:pPr>
        <w:pStyle w:val="Odsekzoznamu"/>
        <w:widowControl w:val="0"/>
        <w:numPr>
          <w:ilvl w:val="1"/>
          <w:numId w:val="17"/>
        </w:numPr>
        <w:spacing w:after="0" w:line="240" w:lineRule="auto"/>
        <w:ind w:left="709" w:right="118"/>
        <w:rPr>
          <w:rFonts w:asciiTheme="minorHAnsi" w:hAnsiTheme="minorHAnsi" w:cs="Calibri"/>
          <w:sz w:val="24"/>
          <w:szCs w:val="24"/>
        </w:rPr>
      </w:pPr>
      <w:r w:rsidRPr="002D7A10">
        <w:rPr>
          <w:rFonts w:asciiTheme="minorHAnsi" w:hAnsiTheme="minorHAnsi"/>
          <w:sz w:val="24"/>
          <w:szCs w:val="24"/>
        </w:rPr>
        <w:t>Systematické zabezpečovanie kvality študijných</w:t>
      </w:r>
      <w:r w:rsidRPr="002D7A10">
        <w:rPr>
          <w:rFonts w:asciiTheme="minorHAnsi" w:hAnsiTheme="minorHAnsi"/>
          <w:spacing w:val="-3"/>
          <w:sz w:val="24"/>
          <w:szCs w:val="24"/>
        </w:rPr>
        <w:t xml:space="preserve"> </w:t>
      </w:r>
      <w:r w:rsidRPr="002D7A10">
        <w:rPr>
          <w:rFonts w:asciiTheme="minorHAnsi" w:hAnsiTheme="minorHAnsi"/>
          <w:sz w:val="24"/>
          <w:szCs w:val="24"/>
        </w:rPr>
        <w:t>programov.</w:t>
      </w:r>
    </w:p>
    <w:p w:rsidR="00E9711A" w:rsidRPr="002D7A10" w:rsidRDefault="00E9711A" w:rsidP="00D31559">
      <w:pPr>
        <w:pStyle w:val="Odsekzoznamu"/>
        <w:widowControl w:val="0"/>
        <w:numPr>
          <w:ilvl w:val="1"/>
          <w:numId w:val="17"/>
        </w:numPr>
        <w:spacing w:before="2" w:after="0" w:line="240" w:lineRule="auto"/>
        <w:ind w:left="709" w:right="118"/>
        <w:rPr>
          <w:rFonts w:asciiTheme="minorHAnsi" w:hAnsiTheme="minorHAnsi" w:cs="Calibri"/>
          <w:sz w:val="24"/>
          <w:szCs w:val="24"/>
        </w:rPr>
      </w:pPr>
      <w:r w:rsidRPr="002D7A10">
        <w:rPr>
          <w:rFonts w:asciiTheme="minorHAnsi" w:hAnsiTheme="minorHAnsi"/>
          <w:sz w:val="24"/>
          <w:szCs w:val="24"/>
        </w:rPr>
        <w:t>Zvyšovanie efektívnosti systému interného hodnotenia a zabezpečenia</w:t>
      </w:r>
      <w:r w:rsidRPr="002D7A10">
        <w:rPr>
          <w:rFonts w:asciiTheme="minorHAnsi" w:hAnsiTheme="minorHAnsi"/>
          <w:spacing w:val="-12"/>
          <w:sz w:val="24"/>
          <w:szCs w:val="24"/>
        </w:rPr>
        <w:t xml:space="preserve"> </w:t>
      </w:r>
      <w:r w:rsidRPr="002D7A10">
        <w:rPr>
          <w:rFonts w:asciiTheme="minorHAnsi" w:hAnsiTheme="minorHAnsi"/>
          <w:sz w:val="24"/>
          <w:szCs w:val="24"/>
        </w:rPr>
        <w:t>kvality.</w:t>
      </w:r>
    </w:p>
    <w:p w:rsidR="00E9711A" w:rsidRPr="002D7A10" w:rsidRDefault="00E9711A" w:rsidP="00D31559">
      <w:pPr>
        <w:pStyle w:val="Odsekzoznamu"/>
        <w:widowControl w:val="0"/>
        <w:numPr>
          <w:ilvl w:val="1"/>
          <w:numId w:val="17"/>
        </w:numPr>
        <w:spacing w:after="0" w:line="240" w:lineRule="auto"/>
        <w:ind w:left="709" w:right="118"/>
        <w:rPr>
          <w:rFonts w:asciiTheme="minorHAnsi" w:hAnsiTheme="minorHAnsi" w:cs="Calibri"/>
          <w:sz w:val="24"/>
          <w:szCs w:val="24"/>
        </w:rPr>
      </w:pPr>
      <w:r w:rsidRPr="002D7A10">
        <w:rPr>
          <w:rFonts w:asciiTheme="minorHAnsi" w:hAnsiTheme="minorHAnsi"/>
          <w:sz w:val="24"/>
          <w:szCs w:val="24"/>
        </w:rPr>
        <w:t>Zavádzanie systému poradenských a konzultačných služieb, ktorý pomôže</w:t>
      </w:r>
      <w:r w:rsidRPr="002D7A10">
        <w:rPr>
          <w:rFonts w:asciiTheme="minorHAnsi" w:hAnsiTheme="minorHAnsi"/>
          <w:spacing w:val="5"/>
          <w:sz w:val="24"/>
          <w:szCs w:val="24"/>
        </w:rPr>
        <w:t xml:space="preserve"> </w:t>
      </w:r>
      <w:r w:rsidRPr="002D7A10">
        <w:rPr>
          <w:rFonts w:asciiTheme="minorHAnsi" w:hAnsiTheme="minorHAnsi"/>
          <w:sz w:val="24"/>
          <w:szCs w:val="24"/>
        </w:rPr>
        <w:lastRenderedPageBreak/>
        <w:t>zlepšiť úspešnosť, najmä v prvom stupni štúdia s využitím aktivity a kolegiality</w:t>
      </w:r>
      <w:r w:rsidRPr="002D7A10">
        <w:rPr>
          <w:rFonts w:asciiTheme="minorHAnsi" w:hAnsiTheme="minorHAnsi"/>
          <w:spacing w:val="-25"/>
          <w:sz w:val="24"/>
          <w:szCs w:val="24"/>
        </w:rPr>
        <w:t xml:space="preserve"> </w:t>
      </w:r>
      <w:r w:rsidRPr="002D7A10">
        <w:rPr>
          <w:rFonts w:asciiTheme="minorHAnsi" w:hAnsiTheme="minorHAnsi"/>
          <w:sz w:val="24"/>
          <w:szCs w:val="24"/>
        </w:rPr>
        <w:t>študentov.</w:t>
      </w:r>
    </w:p>
    <w:p w:rsidR="00E9711A" w:rsidRPr="002D7A10" w:rsidRDefault="00E9711A" w:rsidP="00D31559">
      <w:pPr>
        <w:pStyle w:val="Odsekzoznamu"/>
        <w:widowControl w:val="0"/>
        <w:numPr>
          <w:ilvl w:val="1"/>
          <w:numId w:val="17"/>
        </w:numPr>
        <w:spacing w:after="0" w:line="240" w:lineRule="auto"/>
        <w:ind w:left="709" w:right="118"/>
        <w:rPr>
          <w:rFonts w:asciiTheme="minorHAnsi" w:hAnsiTheme="minorHAnsi" w:cs="Calibri"/>
          <w:sz w:val="24"/>
          <w:szCs w:val="24"/>
        </w:rPr>
      </w:pPr>
      <w:r w:rsidRPr="002D7A10">
        <w:rPr>
          <w:rFonts w:asciiTheme="minorHAnsi" w:hAnsiTheme="minorHAnsi"/>
          <w:sz w:val="24"/>
          <w:szCs w:val="24"/>
        </w:rPr>
        <w:t>Podporovanie rovnosti príležitostí pri prijímaní na štúdium pre sociálne</w:t>
      </w:r>
      <w:r w:rsidRPr="002D7A10">
        <w:rPr>
          <w:rFonts w:asciiTheme="minorHAnsi" w:hAnsiTheme="minorHAnsi"/>
          <w:spacing w:val="16"/>
          <w:sz w:val="24"/>
          <w:szCs w:val="24"/>
        </w:rPr>
        <w:t xml:space="preserve"> </w:t>
      </w:r>
      <w:r w:rsidRPr="002D7A10">
        <w:rPr>
          <w:rFonts w:asciiTheme="minorHAnsi" w:hAnsiTheme="minorHAnsi"/>
          <w:sz w:val="24"/>
          <w:szCs w:val="24"/>
        </w:rPr>
        <w:t>slabšie skupiny systémom</w:t>
      </w:r>
      <w:r w:rsidRPr="002D7A10">
        <w:rPr>
          <w:rFonts w:asciiTheme="minorHAnsi" w:hAnsiTheme="minorHAnsi"/>
          <w:spacing w:val="-1"/>
          <w:sz w:val="24"/>
          <w:szCs w:val="24"/>
        </w:rPr>
        <w:t xml:space="preserve"> </w:t>
      </w:r>
      <w:r w:rsidRPr="002D7A10">
        <w:rPr>
          <w:rFonts w:asciiTheme="minorHAnsi" w:hAnsiTheme="minorHAnsi"/>
          <w:sz w:val="24"/>
          <w:szCs w:val="24"/>
        </w:rPr>
        <w:t>štipendií.</w:t>
      </w:r>
    </w:p>
    <w:p w:rsidR="00E9711A" w:rsidRPr="002D7A10" w:rsidRDefault="00E9711A" w:rsidP="00D31559">
      <w:pPr>
        <w:pStyle w:val="Odsekzoznamu"/>
        <w:widowControl w:val="0"/>
        <w:numPr>
          <w:ilvl w:val="1"/>
          <w:numId w:val="17"/>
        </w:numPr>
        <w:spacing w:after="0" w:line="240" w:lineRule="auto"/>
        <w:ind w:left="709" w:right="118"/>
        <w:rPr>
          <w:rFonts w:asciiTheme="minorHAnsi" w:hAnsiTheme="minorHAnsi" w:cs="Calibri"/>
          <w:sz w:val="24"/>
          <w:szCs w:val="24"/>
        </w:rPr>
      </w:pPr>
      <w:r w:rsidRPr="002D7A10">
        <w:rPr>
          <w:rFonts w:asciiTheme="minorHAnsi" w:hAnsiTheme="minorHAnsi"/>
          <w:sz w:val="24"/>
          <w:szCs w:val="24"/>
        </w:rPr>
        <w:t>Zefektívňovanie procesu prijímacieho konania na druhý a tretí stupeň</w:t>
      </w:r>
      <w:r w:rsidRPr="002D7A10">
        <w:rPr>
          <w:rFonts w:asciiTheme="minorHAnsi" w:hAnsiTheme="minorHAnsi"/>
          <w:spacing w:val="16"/>
          <w:sz w:val="24"/>
          <w:szCs w:val="24"/>
        </w:rPr>
        <w:t xml:space="preserve"> </w:t>
      </w:r>
      <w:r w:rsidRPr="002D7A10">
        <w:rPr>
          <w:rFonts w:asciiTheme="minorHAnsi" w:hAnsiTheme="minorHAnsi"/>
          <w:sz w:val="24"/>
          <w:szCs w:val="24"/>
        </w:rPr>
        <w:t>štúdia a zlepšovanie marketingu pre nábor študentov v</w:t>
      </w:r>
      <w:r w:rsidRPr="002D7A10">
        <w:rPr>
          <w:rFonts w:asciiTheme="minorHAnsi" w:hAnsiTheme="minorHAnsi"/>
          <w:spacing w:val="-5"/>
          <w:sz w:val="24"/>
          <w:szCs w:val="24"/>
        </w:rPr>
        <w:t xml:space="preserve"> </w:t>
      </w:r>
      <w:r w:rsidRPr="002D7A10">
        <w:rPr>
          <w:rFonts w:asciiTheme="minorHAnsi" w:hAnsiTheme="minorHAnsi"/>
          <w:sz w:val="24"/>
          <w:szCs w:val="24"/>
        </w:rPr>
        <w:t>zahraničí.</w:t>
      </w:r>
    </w:p>
    <w:p w:rsidR="00E9711A" w:rsidRPr="002D7A10" w:rsidRDefault="00E9711A" w:rsidP="00D31559">
      <w:pPr>
        <w:pStyle w:val="Odsekzoznamu"/>
        <w:widowControl w:val="0"/>
        <w:numPr>
          <w:ilvl w:val="1"/>
          <w:numId w:val="17"/>
        </w:numPr>
        <w:spacing w:after="0" w:line="240" w:lineRule="auto"/>
        <w:ind w:left="709" w:right="118"/>
        <w:rPr>
          <w:rFonts w:asciiTheme="minorHAnsi" w:hAnsiTheme="minorHAnsi" w:cs="Calibri"/>
          <w:sz w:val="24"/>
          <w:szCs w:val="24"/>
        </w:rPr>
      </w:pPr>
      <w:r w:rsidRPr="002D7A10">
        <w:rPr>
          <w:rFonts w:asciiTheme="minorHAnsi" w:hAnsiTheme="minorHAnsi"/>
          <w:sz w:val="24"/>
          <w:szCs w:val="24"/>
        </w:rPr>
        <w:t>Posilňovanie výučby jazykov, vrátane slovenského jazyka pre</w:t>
      </w:r>
      <w:r w:rsidRPr="002D7A10">
        <w:rPr>
          <w:rFonts w:asciiTheme="minorHAnsi" w:hAnsiTheme="minorHAnsi"/>
          <w:spacing w:val="39"/>
          <w:sz w:val="24"/>
          <w:szCs w:val="24"/>
        </w:rPr>
        <w:t xml:space="preserve"> </w:t>
      </w:r>
      <w:r w:rsidRPr="002D7A10">
        <w:rPr>
          <w:rFonts w:asciiTheme="minorHAnsi" w:hAnsiTheme="minorHAnsi"/>
          <w:sz w:val="24"/>
          <w:szCs w:val="24"/>
        </w:rPr>
        <w:t>zahraničných študentov v rámci prípravy na štúdium v</w:t>
      </w:r>
      <w:r w:rsidRPr="002D7A10">
        <w:rPr>
          <w:rFonts w:asciiTheme="minorHAnsi" w:hAnsiTheme="minorHAnsi"/>
          <w:spacing w:val="-3"/>
          <w:sz w:val="24"/>
          <w:szCs w:val="24"/>
        </w:rPr>
        <w:t xml:space="preserve"> </w:t>
      </w:r>
      <w:r w:rsidRPr="002D7A10">
        <w:rPr>
          <w:rFonts w:asciiTheme="minorHAnsi" w:hAnsiTheme="minorHAnsi"/>
          <w:sz w:val="24"/>
          <w:szCs w:val="24"/>
        </w:rPr>
        <w:t>slovenčine.</w:t>
      </w:r>
    </w:p>
    <w:p w:rsidR="00E9711A" w:rsidRPr="002D7A10" w:rsidRDefault="00E9711A" w:rsidP="00D31559">
      <w:pPr>
        <w:pStyle w:val="Odsekzoznamu"/>
        <w:widowControl w:val="0"/>
        <w:numPr>
          <w:ilvl w:val="1"/>
          <w:numId w:val="17"/>
        </w:numPr>
        <w:spacing w:after="0" w:line="240" w:lineRule="auto"/>
        <w:ind w:left="709" w:right="118"/>
        <w:rPr>
          <w:rFonts w:asciiTheme="minorHAnsi" w:hAnsiTheme="minorHAnsi" w:cs="Calibri"/>
          <w:sz w:val="24"/>
          <w:szCs w:val="24"/>
        </w:rPr>
      </w:pPr>
      <w:r w:rsidRPr="002D7A10">
        <w:rPr>
          <w:rFonts w:asciiTheme="minorHAnsi" w:hAnsiTheme="minorHAnsi"/>
          <w:sz w:val="24"/>
          <w:szCs w:val="24"/>
        </w:rPr>
        <w:t>Zvyšovanie počtu študijných programov poskytovaných vo svetovom</w:t>
      </w:r>
      <w:r w:rsidRPr="002D7A10">
        <w:rPr>
          <w:rFonts w:asciiTheme="minorHAnsi" w:hAnsiTheme="minorHAnsi"/>
          <w:spacing w:val="-7"/>
          <w:sz w:val="24"/>
          <w:szCs w:val="24"/>
        </w:rPr>
        <w:t xml:space="preserve"> </w:t>
      </w:r>
      <w:r w:rsidRPr="002D7A10">
        <w:rPr>
          <w:rFonts w:asciiTheme="minorHAnsi" w:hAnsiTheme="minorHAnsi"/>
          <w:sz w:val="24"/>
          <w:szCs w:val="24"/>
        </w:rPr>
        <w:t>jazyku.</w:t>
      </w:r>
    </w:p>
    <w:p w:rsidR="00E9711A" w:rsidRPr="002D7A10" w:rsidRDefault="00E9711A" w:rsidP="00D31559">
      <w:pPr>
        <w:pStyle w:val="Odsekzoznamu"/>
        <w:widowControl w:val="0"/>
        <w:numPr>
          <w:ilvl w:val="1"/>
          <w:numId w:val="17"/>
        </w:numPr>
        <w:spacing w:after="0" w:line="240" w:lineRule="auto"/>
        <w:ind w:left="709" w:right="118"/>
        <w:rPr>
          <w:rFonts w:asciiTheme="minorHAnsi" w:hAnsiTheme="minorHAnsi" w:cs="Calibri"/>
          <w:sz w:val="24"/>
          <w:szCs w:val="24"/>
        </w:rPr>
      </w:pPr>
      <w:r w:rsidRPr="002D7A10">
        <w:rPr>
          <w:rFonts w:asciiTheme="minorHAnsi" w:hAnsiTheme="minorHAnsi"/>
          <w:sz w:val="24"/>
          <w:szCs w:val="24"/>
        </w:rPr>
        <w:t>Posilňovanie mechanizmov umožňujúcich študentom absolvovať časť štúdia v zahraničí.</w:t>
      </w:r>
    </w:p>
    <w:p w:rsidR="00E9711A" w:rsidRPr="002D7A10" w:rsidRDefault="00E9711A" w:rsidP="00D31559">
      <w:pPr>
        <w:pStyle w:val="Odsekzoznamu"/>
        <w:widowControl w:val="0"/>
        <w:numPr>
          <w:ilvl w:val="1"/>
          <w:numId w:val="17"/>
        </w:numPr>
        <w:spacing w:after="0" w:line="240" w:lineRule="auto"/>
        <w:ind w:left="709" w:right="118"/>
        <w:rPr>
          <w:rFonts w:asciiTheme="minorHAnsi" w:hAnsiTheme="minorHAnsi" w:cs="Calibri"/>
          <w:sz w:val="24"/>
          <w:szCs w:val="24"/>
        </w:rPr>
      </w:pPr>
      <w:r w:rsidRPr="002D7A10">
        <w:rPr>
          <w:rFonts w:asciiTheme="minorHAnsi" w:hAnsiTheme="minorHAnsi"/>
          <w:sz w:val="24"/>
          <w:szCs w:val="24"/>
        </w:rPr>
        <w:t>Podporovanie</w:t>
      </w:r>
      <w:r w:rsidRPr="002D7A10">
        <w:rPr>
          <w:rFonts w:asciiTheme="minorHAnsi" w:hAnsiTheme="minorHAnsi"/>
          <w:spacing w:val="20"/>
          <w:sz w:val="24"/>
          <w:szCs w:val="24"/>
        </w:rPr>
        <w:t xml:space="preserve"> </w:t>
      </w:r>
      <w:r w:rsidRPr="002D7A10">
        <w:rPr>
          <w:rFonts w:asciiTheme="minorHAnsi" w:hAnsiTheme="minorHAnsi"/>
          <w:sz w:val="24"/>
          <w:szCs w:val="24"/>
        </w:rPr>
        <w:t>zdravého</w:t>
      </w:r>
      <w:r w:rsidRPr="002D7A10">
        <w:rPr>
          <w:rFonts w:asciiTheme="minorHAnsi" w:hAnsiTheme="minorHAnsi"/>
          <w:spacing w:val="17"/>
          <w:sz w:val="24"/>
          <w:szCs w:val="24"/>
        </w:rPr>
        <w:t xml:space="preserve"> </w:t>
      </w:r>
      <w:r w:rsidRPr="002D7A10">
        <w:rPr>
          <w:rFonts w:asciiTheme="minorHAnsi" w:hAnsiTheme="minorHAnsi"/>
          <w:sz w:val="24"/>
          <w:szCs w:val="24"/>
        </w:rPr>
        <w:t>životného</w:t>
      </w:r>
      <w:r w:rsidRPr="002D7A10">
        <w:rPr>
          <w:rFonts w:asciiTheme="minorHAnsi" w:hAnsiTheme="minorHAnsi"/>
          <w:spacing w:val="22"/>
          <w:sz w:val="24"/>
          <w:szCs w:val="24"/>
        </w:rPr>
        <w:t xml:space="preserve"> </w:t>
      </w:r>
      <w:r w:rsidRPr="002D7A10">
        <w:rPr>
          <w:rFonts w:asciiTheme="minorHAnsi" w:hAnsiTheme="minorHAnsi"/>
          <w:sz w:val="24"/>
          <w:szCs w:val="24"/>
        </w:rPr>
        <w:t>štýlu</w:t>
      </w:r>
      <w:r w:rsidRPr="002D7A10">
        <w:rPr>
          <w:rFonts w:asciiTheme="minorHAnsi" w:hAnsiTheme="minorHAnsi"/>
          <w:spacing w:val="20"/>
          <w:sz w:val="24"/>
          <w:szCs w:val="24"/>
        </w:rPr>
        <w:t xml:space="preserve"> </w:t>
      </w:r>
      <w:r w:rsidRPr="002D7A10">
        <w:rPr>
          <w:rFonts w:asciiTheme="minorHAnsi" w:hAnsiTheme="minorHAnsi"/>
          <w:sz w:val="24"/>
          <w:szCs w:val="24"/>
        </w:rPr>
        <w:t>a</w:t>
      </w:r>
      <w:r w:rsidRPr="002D7A10">
        <w:rPr>
          <w:rFonts w:asciiTheme="minorHAnsi" w:hAnsiTheme="minorHAnsi"/>
          <w:spacing w:val="20"/>
          <w:sz w:val="24"/>
          <w:szCs w:val="24"/>
        </w:rPr>
        <w:t xml:space="preserve"> </w:t>
      </w:r>
      <w:r w:rsidRPr="002D7A10">
        <w:rPr>
          <w:rFonts w:asciiTheme="minorHAnsi" w:hAnsiTheme="minorHAnsi"/>
          <w:sz w:val="24"/>
          <w:szCs w:val="24"/>
        </w:rPr>
        <w:t>športových</w:t>
      </w:r>
      <w:r w:rsidRPr="002D7A10">
        <w:rPr>
          <w:rFonts w:asciiTheme="minorHAnsi" w:hAnsiTheme="minorHAnsi"/>
          <w:spacing w:val="22"/>
          <w:sz w:val="24"/>
          <w:szCs w:val="24"/>
        </w:rPr>
        <w:t xml:space="preserve"> </w:t>
      </w:r>
      <w:r w:rsidRPr="002D7A10">
        <w:rPr>
          <w:rFonts w:asciiTheme="minorHAnsi" w:hAnsiTheme="minorHAnsi"/>
          <w:sz w:val="24"/>
          <w:szCs w:val="24"/>
        </w:rPr>
        <w:t>aktivít</w:t>
      </w:r>
      <w:r w:rsidRPr="002D7A10">
        <w:rPr>
          <w:rFonts w:asciiTheme="minorHAnsi" w:hAnsiTheme="minorHAnsi"/>
          <w:spacing w:val="20"/>
          <w:sz w:val="24"/>
          <w:szCs w:val="24"/>
        </w:rPr>
        <w:t xml:space="preserve"> </w:t>
      </w:r>
      <w:r w:rsidRPr="002D7A10">
        <w:rPr>
          <w:rFonts w:asciiTheme="minorHAnsi" w:hAnsiTheme="minorHAnsi"/>
          <w:sz w:val="24"/>
          <w:szCs w:val="24"/>
        </w:rPr>
        <w:t>v</w:t>
      </w:r>
      <w:r w:rsidRPr="002D7A10">
        <w:rPr>
          <w:rFonts w:asciiTheme="minorHAnsi" w:hAnsiTheme="minorHAnsi"/>
          <w:spacing w:val="19"/>
          <w:sz w:val="24"/>
          <w:szCs w:val="24"/>
        </w:rPr>
        <w:t xml:space="preserve"> </w:t>
      </w:r>
      <w:r w:rsidRPr="002D7A10">
        <w:rPr>
          <w:rFonts w:asciiTheme="minorHAnsi" w:hAnsiTheme="minorHAnsi"/>
          <w:sz w:val="24"/>
          <w:szCs w:val="24"/>
        </w:rPr>
        <w:t>rámci</w:t>
      </w:r>
      <w:r w:rsidRPr="002D7A10">
        <w:rPr>
          <w:rFonts w:asciiTheme="minorHAnsi" w:hAnsiTheme="minorHAnsi"/>
          <w:spacing w:val="20"/>
          <w:sz w:val="24"/>
          <w:szCs w:val="24"/>
        </w:rPr>
        <w:t xml:space="preserve"> </w:t>
      </w:r>
      <w:r w:rsidRPr="002D7A10">
        <w:rPr>
          <w:rFonts w:asciiTheme="minorHAnsi" w:hAnsiTheme="minorHAnsi"/>
          <w:sz w:val="24"/>
          <w:szCs w:val="24"/>
        </w:rPr>
        <w:t>i</w:t>
      </w:r>
      <w:r w:rsidRPr="002D7A10">
        <w:rPr>
          <w:rFonts w:asciiTheme="minorHAnsi" w:hAnsiTheme="minorHAnsi"/>
          <w:spacing w:val="20"/>
          <w:sz w:val="24"/>
          <w:szCs w:val="24"/>
        </w:rPr>
        <w:t xml:space="preserve"> </w:t>
      </w:r>
      <w:r w:rsidRPr="002D7A10">
        <w:rPr>
          <w:rFonts w:asciiTheme="minorHAnsi" w:hAnsiTheme="minorHAnsi"/>
          <w:sz w:val="24"/>
          <w:szCs w:val="24"/>
        </w:rPr>
        <w:t>mimo</w:t>
      </w:r>
      <w:r w:rsidRPr="002D7A10">
        <w:rPr>
          <w:rFonts w:asciiTheme="minorHAnsi" w:hAnsiTheme="minorHAnsi"/>
          <w:spacing w:val="22"/>
          <w:sz w:val="24"/>
          <w:szCs w:val="24"/>
        </w:rPr>
        <w:t xml:space="preserve"> </w:t>
      </w:r>
      <w:r w:rsidRPr="002D7A10">
        <w:rPr>
          <w:rFonts w:asciiTheme="minorHAnsi" w:hAnsiTheme="minorHAnsi"/>
          <w:sz w:val="24"/>
          <w:szCs w:val="24"/>
        </w:rPr>
        <w:t>rámca študijných</w:t>
      </w:r>
      <w:r w:rsidRPr="002D7A10">
        <w:rPr>
          <w:rFonts w:asciiTheme="minorHAnsi" w:hAnsiTheme="minorHAnsi"/>
          <w:spacing w:val="-2"/>
          <w:sz w:val="24"/>
          <w:szCs w:val="24"/>
        </w:rPr>
        <w:t xml:space="preserve"> </w:t>
      </w:r>
      <w:r w:rsidRPr="002D7A10">
        <w:rPr>
          <w:rFonts w:asciiTheme="minorHAnsi" w:hAnsiTheme="minorHAnsi"/>
          <w:sz w:val="24"/>
          <w:szCs w:val="24"/>
        </w:rPr>
        <w:t>povinností.</w:t>
      </w:r>
    </w:p>
    <w:p w:rsidR="00E9711A" w:rsidRPr="002D7A10" w:rsidRDefault="00E9711A" w:rsidP="00D31559">
      <w:pPr>
        <w:pStyle w:val="Odsekzoznamu"/>
        <w:widowControl w:val="0"/>
        <w:numPr>
          <w:ilvl w:val="1"/>
          <w:numId w:val="17"/>
        </w:numPr>
        <w:spacing w:before="2" w:after="0" w:line="240" w:lineRule="auto"/>
        <w:ind w:left="709" w:right="118"/>
        <w:rPr>
          <w:rFonts w:asciiTheme="minorHAnsi" w:hAnsiTheme="minorHAnsi" w:cs="Calibri"/>
          <w:sz w:val="24"/>
          <w:szCs w:val="24"/>
        </w:rPr>
      </w:pPr>
      <w:r w:rsidRPr="002D7A10">
        <w:rPr>
          <w:rFonts w:asciiTheme="minorHAnsi" w:hAnsiTheme="minorHAnsi"/>
          <w:sz w:val="24"/>
          <w:szCs w:val="24"/>
        </w:rPr>
        <w:t>Vyhodnocovanie kvality vzdelávacieho procesu a učiteľov študentmi</w:t>
      </w:r>
      <w:r w:rsidRPr="002D7A10">
        <w:rPr>
          <w:rFonts w:asciiTheme="minorHAnsi" w:hAnsiTheme="minorHAnsi"/>
          <w:spacing w:val="34"/>
          <w:sz w:val="24"/>
          <w:szCs w:val="24"/>
        </w:rPr>
        <w:t xml:space="preserve"> </w:t>
      </w:r>
      <w:r w:rsidRPr="002D7A10">
        <w:rPr>
          <w:rFonts w:asciiTheme="minorHAnsi" w:hAnsiTheme="minorHAnsi"/>
          <w:sz w:val="24"/>
          <w:szCs w:val="24"/>
        </w:rPr>
        <w:t>(monitoring spokojnosti študentov) dotazníkovým</w:t>
      </w:r>
      <w:r w:rsidRPr="002D7A10">
        <w:rPr>
          <w:rFonts w:asciiTheme="minorHAnsi" w:hAnsiTheme="minorHAnsi"/>
          <w:spacing w:val="-2"/>
          <w:sz w:val="24"/>
          <w:szCs w:val="24"/>
        </w:rPr>
        <w:t xml:space="preserve"> </w:t>
      </w:r>
      <w:r w:rsidRPr="002D7A10">
        <w:rPr>
          <w:rFonts w:asciiTheme="minorHAnsi" w:hAnsiTheme="minorHAnsi"/>
          <w:sz w:val="24"/>
          <w:szCs w:val="24"/>
        </w:rPr>
        <w:t>prieskumom.</w:t>
      </w:r>
    </w:p>
    <w:p w:rsidR="00E9711A" w:rsidRPr="002D7A10" w:rsidRDefault="00E9711A" w:rsidP="00D31559">
      <w:pPr>
        <w:pStyle w:val="Odsekzoznamu"/>
        <w:widowControl w:val="0"/>
        <w:numPr>
          <w:ilvl w:val="1"/>
          <w:numId w:val="17"/>
        </w:numPr>
        <w:spacing w:after="0" w:line="240" w:lineRule="auto"/>
        <w:ind w:left="709" w:right="118"/>
        <w:rPr>
          <w:rFonts w:asciiTheme="minorHAnsi" w:hAnsiTheme="minorHAnsi" w:cs="Calibri"/>
          <w:sz w:val="24"/>
          <w:szCs w:val="24"/>
        </w:rPr>
      </w:pPr>
      <w:r w:rsidRPr="002D7A10">
        <w:rPr>
          <w:rFonts w:asciiTheme="minorHAnsi" w:hAnsiTheme="minorHAnsi"/>
          <w:sz w:val="24"/>
          <w:szCs w:val="24"/>
        </w:rPr>
        <w:t>Monitorovanie úspešnosti študentov a zamestnanosti</w:t>
      </w:r>
      <w:r w:rsidRPr="002D7A10">
        <w:rPr>
          <w:rFonts w:asciiTheme="minorHAnsi" w:hAnsiTheme="minorHAnsi"/>
          <w:spacing w:val="-7"/>
          <w:sz w:val="24"/>
          <w:szCs w:val="24"/>
        </w:rPr>
        <w:t xml:space="preserve"> </w:t>
      </w:r>
      <w:r w:rsidRPr="002D7A10">
        <w:rPr>
          <w:rFonts w:asciiTheme="minorHAnsi" w:hAnsiTheme="minorHAnsi"/>
          <w:sz w:val="24"/>
          <w:szCs w:val="24"/>
        </w:rPr>
        <w:t>absolventov.</w:t>
      </w:r>
    </w:p>
    <w:p w:rsidR="00E9711A" w:rsidRPr="002D7A10" w:rsidRDefault="00E9711A" w:rsidP="00D31559">
      <w:pPr>
        <w:pStyle w:val="Odsekzoznamu"/>
        <w:widowControl w:val="0"/>
        <w:numPr>
          <w:ilvl w:val="1"/>
          <w:numId w:val="17"/>
        </w:numPr>
        <w:spacing w:after="120" w:line="240" w:lineRule="auto"/>
        <w:ind w:left="709" w:right="119" w:hanging="567"/>
        <w:contextualSpacing w:val="0"/>
        <w:rPr>
          <w:rFonts w:asciiTheme="minorHAnsi" w:hAnsiTheme="minorHAnsi" w:cs="Calibri"/>
          <w:sz w:val="24"/>
          <w:szCs w:val="24"/>
        </w:rPr>
      </w:pPr>
      <w:r w:rsidRPr="002D7A10">
        <w:rPr>
          <w:rFonts w:asciiTheme="minorHAnsi" w:hAnsiTheme="minorHAnsi"/>
          <w:sz w:val="24"/>
          <w:szCs w:val="24"/>
        </w:rPr>
        <w:t>Monitorovanie spätnej väzby od absolventov, zamestnávateľov a ďalších</w:t>
      </w:r>
      <w:r w:rsidRPr="002D7A10">
        <w:rPr>
          <w:rFonts w:asciiTheme="minorHAnsi" w:hAnsiTheme="minorHAnsi"/>
          <w:spacing w:val="49"/>
          <w:sz w:val="24"/>
          <w:szCs w:val="24"/>
        </w:rPr>
        <w:t xml:space="preserve"> </w:t>
      </w:r>
      <w:r w:rsidRPr="002D7A10">
        <w:rPr>
          <w:rFonts w:asciiTheme="minorHAnsi" w:hAnsiTheme="minorHAnsi"/>
          <w:sz w:val="24"/>
          <w:szCs w:val="24"/>
        </w:rPr>
        <w:t>interných a externých</w:t>
      </w:r>
      <w:r w:rsidRPr="002D7A10">
        <w:rPr>
          <w:rFonts w:asciiTheme="minorHAnsi" w:hAnsiTheme="minorHAnsi"/>
          <w:spacing w:val="1"/>
          <w:sz w:val="24"/>
          <w:szCs w:val="24"/>
        </w:rPr>
        <w:t xml:space="preserve"> </w:t>
      </w:r>
      <w:r w:rsidRPr="002D7A10">
        <w:rPr>
          <w:rFonts w:asciiTheme="minorHAnsi" w:hAnsiTheme="minorHAnsi"/>
          <w:sz w:val="24"/>
          <w:szCs w:val="24"/>
        </w:rPr>
        <w:t>hodnotiteľov.</w:t>
      </w:r>
    </w:p>
    <w:p w:rsidR="00E9711A" w:rsidRPr="002D7A10" w:rsidRDefault="00E9711A" w:rsidP="00E9711A">
      <w:pPr>
        <w:ind w:right="118"/>
        <w:rPr>
          <w:rFonts w:asciiTheme="minorHAnsi" w:hAnsiTheme="minorHAnsi" w:cs="Calibri"/>
        </w:rPr>
      </w:pPr>
      <w:r w:rsidRPr="002D7A10">
        <w:rPr>
          <w:rFonts w:asciiTheme="minorHAnsi" w:hAnsiTheme="minorHAnsi"/>
        </w:rPr>
        <w:t>Zapojenie študentov do zabezpečovania a zlepšovania vnútorného systému kvality</w:t>
      </w:r>
      <w:r w:rsidRPr="002D7A10">
        <w:rPr>
          <w:rFonts w:asciiTheme="minorHAnsi" w:hAnsiTheme="minorHAnsi"/>
          <w:spacing w:val="8"/>
        </w:rPr>
        <w:t xml:space="preserve"> </w:t>
      </w:r>
      <w:r w:rsidRPr="002D7A10">
        <w:rPr>
          <w:rFonts w:asciiTheme="minorHAnsi" w:hAnsiTheme="minorHAnsi"/>
        </w:rPr>
        <w:t>je realizované viacerými</w:t>
      </w:r>
      <w:r w:rsidRPr="002D7A10">
        <w:rPr>
          <w:rFonts w:asciiTheme="minorHAnsi" w:hAnsiTheme="minorHAnsi"/>
          <w:spacing w:val="-2"/>
        </w:rPr>
        <w:t xml:space="preserve"> </w:t>
      </w:r>
      <w:r w:rsidRPr="002D7A10">
        <w:rPr>
          <w:rFonts w:asciiTheme="minorHAnsi" w:hAnsiTheme="minorHAnsi"/>
        </w:rPr>
        <w:t>spôsobmi:</w:t>
      </w:r>
    </w:p>
    <w:p w:rsidR="00E9711A" w:rsidRPr="002D7A10" w:rsidRDefault="00E9711A" w:rsidP="00D31559">
      <w:pPr>
        <w:pStyle w:val="Odsekzoznamu"/>
        <w:widowControl w:val="0"/>
        <w:numPr>
          <w:ilvl w:val="1"/>
          <w:numId w:val="18"/>
        </w:numPr>
        <w:spacing w:after="0" w:line="240" w:lineRule="auto"/>
        <w:ind w:left="709" w:right="109"/>
        <w:rPr>
          <w:rFonts w:asciiTheme="minorHAnsi" w:hAnsiTheme="minorHAnsi" w:cs="Calibri"/>
          <w:sz w:val="24"/>
          <w:szCs w:val="24"/>
        </w:rPr>
      </w:pPr>
      <w:r w:rsidRPr="002D7A10">
        <w:rPr>
          <w:rFonts w:asciiTheme="minorHAnsi" w:hAnsiTheme="minorHAnsi"/>
          <w:sz w:val="24"/>
          <w:szCs w:val="24"/>
        </w:rPr>
        <w:t>vyjadrovaním</w:t>
      </w:r>
      <w:r w:rsidRPr="002D7A10">
        <w:rPr>
          <w:rFonts w:asciiTheme="minorHAnsi" w:hAnsiTheme="minorHAnsi"/>
          <w:spacing w:val="39"/>
          <w:sz w:val="24"/>
          <w:szCs w:val="24"/>
        </w:rPr>
        <w:t xml:space="preserve"> </w:t>
      </w:r>
      <w:r w:rsidRPr="002D7A10">
        <w:rPr>
          <w:rFonts w:asciiTheme="minorHAnsi" w:hAnsiTheme="minorHAnsi"/>
          <w:sz w:val="24"/>
          <w:szCs w:val="24"/>
        </w:rPr>
        <w:t>sa</w:t>
      </w:r>
      <w:r w:rsidRPr="002D7A10">
        <w:rPr>
          <w:rFonts w:asciiTheme="minorHAnsi" w:hAnsiTheme="minorHAnsi"/>
          <w:spacing w:val="41"/>
          <w:sz w:val="24"/>
          <w:szCs w:val="24"/>
        </w:rPr>
        <w:t xml:space="preserve"> </w:t>
      </w:r>
      <w:r w:rsidRPr="002D7A10">
        <w:rPr>
          <w:rFonts w:asciiTheme="minorHAnsi" w:hAnsiTheme="minorHAnsi"/>
          <w:sz w:val="24"/>
          <w:szCs w:val="24"/>
        </w:rPr>
        <w:t>ku</w:t>
      </w:r>
      <w:r w:rsidRPr="002D7A10">
        <w:rPr>
          <w:rFonts w:asciiTheme="minorHAnsi" w:hAnsiTheme="minorHAnsi"/>
          <w:spacing w:val="40"/>
          <w:sz w:val="24"/>
          <w:szCs w:val="24"/>
        </w:rPr>
        <w:t xml:space="preserve"> </w:t>
      </w:r>
      <w:r w:rsidRPr="002D7A10">
        <w:rPr>
          <w:rFonts w:asciiTheme="minorHAnsi" w:hAnsiTheme="minorHAnsi"/>
          <w:sz w:val="24"/>
          <w:szCs w:val="24"/>
        </w:rPr>
        <w:t>kvalite</w:t>
      </w:r>
      <w:r w:rsidRPr="002D7A10">
        <w:rPr>
          <w:rFonts w:asciiTheme="minorHAnsi" w:hAnsiTheme="minorHAnsi"/>
          <w:spacing w:val="42"/>
          <w:sz w:val="24"/>
          <w:szCs w:val="24"/>
        </w:rPr>
        <w:t xml:space="preserve"> </w:t>
      </w:r>
      <w:r w:rsidRPr="002D7A10">
        <w:rPr>
          <w:rFonts w:asciiTheme="minorHAnsi" w:hAnsiTheme="minorHAnsi"/>
          <w:sz w:val="24"/>
          <w:szCs w:val="24"/>
        </w:rPr>
        <w:t>vzdelávania</w:t>
      </w:r>
      <w:r w:rsidRPr="002D7A10">
        <w:rPr>
          <w:rFonts w:asciiTheme="minorHAnsi" w:hAnsiTheme="minorHAnsi"/>
          <w:spacing w:val="39"/>
          <w:sz w:val="24"/>
          <w:szCs w:val="24"/>
        </w:rPr>
        <w:t xml:space="preserve"> </w:t>
      </w:r>
      <w:r w:rsidRPr="002D7A10">
        <w:rPr>
          <w:rFonts w:asciiTheme="minorHAnsi" w:hAnsiTheme="minorHAnsi"/>
          <w:sz w:val="24"/>
          <w:szCs w:val="24"/>
        </w:rPr>
        <w:t>a učiteľov,</w:t>
      </w:r>
      <w:r w:rsidRPr="002D7A10">
        <w:rPr>
          <w:rFonts w:asciiTheme="minorHAnsi" w:hAnsiTheme="minorHAnsi"/>
          <w:spacing w:val="41"/>
          <w:sz w:val="24"/>
          <w:szCs w:val="24"/>
        </w:rPr>
        <w:t xml:space="preserve"> </w:t>
      </w:r>
      <w:r w:rsidRPr="002D7A10">
        <w:rPr>
          <w:rFonts w:asciiTheme="minorHAnsi" w:hAnsiTheme="minorHAnsi"/>
          <w:sz w:val="24"/>
          <w:szCs w:val="24"/>
        </w:rPr>
        <w:t>resp.</w:t>
      </w:r>
      <w:r w:rsidRPr="002D7A10">
        <w:rPr>
          <w:rFonts w:asciiTheme="minorHAnsi" w:hAnsiTheme="minorHAnsi"/>
          <w:spacing w:val="40"/>
          <w:sz w:val="24"/>
          <w:szCs w:val="24"/>
        </w:rPr>
        <w:t xml:space="preserve"> </w:t>
      </w:r>
      <w:r w:rsidRPr="002D7A10">
        <w:rPr>
          <w:rFonts w:asciiTheme="minorHAnsi" w:hAnsiTheme="minorHAnsi"/>
          <w:sz w:val="24"/>
          <w:szCs w:val="24"/>
        </w:rPr>
        <w:t>k</w:t>
      </w:r>
      <w:r w:rsidRPr="002D7A10">
        <w:rPr>
          <w:rFonts w:asciiTheme="minorHAnsi" w:hAnsiTheme="minorHAnsi"/>
          <w:spacing w:val="40"/>
          <w:sz w:val="24"/>
          <w:szCs w:val="24"/>
        </w:rPr>
        <w:t xml:space="preserve"> </w:t>
      </w:r>
      <w:r w:rsidRPr="002D7A10">
        <w:rPr>
          <w:rFonts w:asciiTheme="minorHAnsi" w:hAnsiTheme="minorHAnsi"/>
          <w:sz w:val="24"/>
          <w:szCs w:val="24"/>
        </w:rPr>
        <w:t>ostatným</w:t>
      </w:r>
      <w:r w:rsidRPr="002D7A10">
        <w:rPr>
          <w:rFonts w:asciiTheme="minorHAnsi" w:hAnsiTheme="minorHAnsi"/>
          <w:spacing w:val="38"/>
          <w:sz w:val="24"/>
          <w:szCs w:val="24"/>
        </w:rPr>
        <w:t xml:space="preserve"> </w:t>
      </w:r>
      <w:r w:rsidRPr="002D7A10">
        <w:rPr>
          <w:rFonts w:asciiTheme="minorHAnsi" w:hAnsiTheme="minorHAnsi"/>
          <w:sz w:val="24"/>
          <w:szCs w:val="24"/>
        </w:rPr>
        <w:t>záležitostiam štúdia na fakultách prostredníctvom anonymného hodnotenia;</w:t>
      </w:r>
      <w:r w:rsidRPr="002D7A10">
        <w:rPr>
          <w:rFonts w:asciiTheme="minorHAnsi" w:hAnsiTheme="minorHAnsi"/>
          <w:spacing w:val="42"/>
          <w:sz w:val="24"/>
          <w:szCs w:val="24"/>
        </w:rPr>
        <w:t xml:space="preserve"> </w:t>
      </w:r>
      <w:r w:rsidRPr="002D7A10">
        <w:rPr>
          <w:rFonts w:asciiTheme="minorHAnsi" w:hAnsiTheme="minorHAnsi"/>
          <w:sz w:val="24"/>
          <w:szCs w:val="24"/>
        </w:rPr>
        <w:t>výsledky anonymných  hodnotení sa na jednotlivých fakultách štatisticky spracovávajú a predkladajú na vedenie</w:t>
      </w:r>
      <w:r w:rsidRPr="002D7A10">
        <w:rPr>
          <w:rFonts w:asciiTheme="minorHAnsi" w:hAnsiTheme="minorHAnsi"/>
          <w:spacing w:val="-1"/>
          <w:sz w:val="24"/>
          <w:szCs w:val="24"/>
        </w:rPr>
        <w:t xml:space="preserve"> </w:t>
      </w:r>
      <w:r w:rsidRPr="002D7A10">
        <w:rPr>
          <w:rFonts w:asciiTheme="minorHAnsi" w:hAnsiTheme="minorHAnsi"/>
          <w:sz w:val="24"/>
          <w:szCs w:val="24"/>
        </w:rPr>
        <w:t>fakulty,</w:t>
      </w:r>
    </w:p>
    <w:p w:rsidR="00E9711A" w:rsidRPr="002D7A10" w:rsidRDefault="00E9711A" w:rsidP="00D31559">
      <w:pPr>
        <w:pStyle w:val="Odsekzoznamu"/>
        <w:widowControl w:val="0"/>
        <w:numPr>
          <w:ilvl w:val="1"/>
          <w:numId w:val="18"/>
        </w:numPr>
        <w:spacing w:after="0" w:line="240" w:lineRule="auto"/>
        <w:ind w:left="709" w:right="108"/>
        <w:rPr>
          <w:rFonts w:asciiTheme="minorHAnsi" w:hAnsiTheme="minorHAnsi" w:cs="Calibri"/>
          <w:sz w:val="24"/>
          <w:szCs w:val="24"/>
        </w:rPr>
      </w:pPr>
      <w:r w:rsidRPr="002D7A10">
        <w:rPr>
          <w:rFonts w:asciiTheme="minorHAnsi" w:hAnsiTheme="minorHAnsi"/>
          <w:sz w:val="24"/>
          <w:szCs w:val="24"/>
        </w:rPr>
        <w:t xml:space="preserve">vyjadrením svojich názorov, podnetov, prostredníctvom </w:t>
      </w:r>
      <w:proofErr w:type="spellStart"/>
      <w:r w:rsidRPr="002D7A10">
        <w:rPr>
          <w:rFonts w:asciiTheme="minorHAnsi" w:hAnsiTheme="minorHAnsi"/>
          <w:sz w:val="24"/>
          <w:szCs w:val="24"/>
        </w:rPr>
        <w:t>Black</w:t>
      </w:r>
      <w:proofErr w:type="spellEnd"/>
      <w:r w:rsidRPr="002D7A10">
        <w:rPr>
          <w:rFonts w:asciiTheme="minorHAnsi" w:hAnsiTheme="minorHAnsi"/>
          <w:sz w:val="24"/>
          <w:szCs w:val="24"/>
        </w:rPr>
        <w:t xml:space="preserve"> Boxu a</w:t>
      </w:r>
      <w:r w:rsidRPr="002D7A10">
        <w:rPr>
          <w:rFonts w:asciiTheme="minorHAnsi" w:hAnsiTheme="minorHAnsi"/>
          <w:spacing w:val="-17"/>
          <w:sz w:val="24"/>
          <w:szCs w:val="24"/>
        </w:rPr>
        <w:t xml:space="preserve"> </w:t>
      </w:r>
      <w:proofErr w:type="spellStart"/>
      <w:r w:rsidRPr="002D7A10">
        <w:rPr>
          <w:rFonts w:asciiTheme="minorHAnsi" w:hAnsiTheme="minorHAnsi"/>
          <w:sz w:val="24"/>
          <w:szCs w:val="24"/>
        </w:rPr>
        <w:t>Facebooku</w:t>
      </w:r>
      <w:proofErr w:type="spellEnd"/>
      <w:r w:rsidRPr="002D7A10">
        <w:rPr>
          <w:rFonts w:asciiTheme="minorHAnsi" w:hAnsiTheme="minorHAnsi"/>
          <w:sz w:val="24"/>
          <w:szCs w:val="24"/>
        </w:rPr>
        <w:t xml:space="preserve"> (elektronicky cez web stránky); tieto námety sa zbierajú a analyzujú priebežne</w:t>
      </w:r>
      <w:r w:rsidRPr="002D7A10">
        <w:rPr>
          <w:rFonts w:asciiTheme="minorHAnsi" w:hAnsiTheme="minorHAnsi"/>
          <w:spacing w:val="-16"/>
          <w:sz w:val="24"/>
          <w:szCs w:val="24"/>
        </w:rPr>
        <w:t xml:space="preserve"> </w:t>
      </w:r>
      <w:r w:rsidRPr="002D7A10">
        <w:rPr>
          <w:rFonts w:asciiTheme="minorHAnsi" w:hAnsiTheme="minorHAnsi"/>
          <w:sz w:val="24"/>
          <w:szCs w:val="24"/>
        </w:rPr>
        <w:t>počas celého akademického roka a podľa závažnosti sa operatívne</w:t>
      </w:r>
      <w:r w:rsidRPr="002D7A10">
        <w:rPr>
          <w:rFonts w:asciiTheme="minorHAnsi" w:hAnsiTheme="minorHAnsi"/>
          <w:spacing w:val="-7"/>
          <w:sz w:val="24"/>
          <w:szCs w:val="24"/>
        </w:rPr>
        <w:t xml:space="preserve"> </w:t>
      </w:r>
      <w:r w:rsidRPr="002D7A10">
        <w:rPr>
          <w:rFonts w:asciiTheme="minorHAnsi" w:hAnsiTheme="minorHAnsi"/>
          <w:sz w:val="24"/>
          <w:szCs w:val="24"/>
        </w:rPr>
        <w:t>riešia,</w:t>
      </w:r>
    </w:p>
    <w:p w:rsidR="00E9711A" w:rsidRPr="002D7A10" w:rsidRDefault="00E9711A" w:rsidP="00D31559">
      <w:pPr>
        <w:pStyle w:val="Odsekzoznamu"/>
        <w:widowControl w:val="0"/>
        <w:numPr>
          <w:ilvl w:val="1"/>
          <w:numId w:val="18"/>
        </w:numPr>
        <w:spacing w:before="27" w:after="0" w:line="240" w:lineRule="auto"/>
        <w:ind w:left="709" w:right="112"/>
        <w:rPr>
          <w:rFonts w:asciiTheme="minorHAnsi" w:hAnsiTheme="minorHAnsi" w:cs="Calibri"/>
          <w:sz w:val="24"/>
          <w:szCs w:val="24"/>
        </w:rPr>
      </w:pPr>
      <w:r w:rsidRPr="002D7A10">
        <w:rPr>
          <w:rFonts w:asciiTheme="minorHAnsi" w:hAnsiTheme="minorHAnsi"/>
          <w:sz w:val="24"/>
          <w:szCs w:val="24"/>
        </w:rPr>
        <w:t>podávaním</w:t>
      </w:r>
      <w:r w:rsidRPr="002D7A10">
        <w:rPr>
          <w:rFonts w:asciiTheme="minorHAnsi" w:hAnsiTheme="minorHAnsi"/>
          <w:spacing w:val="44"/>
          <w:sz w:val="24"/>
          <w:szCs w:val="24"/>
        </w:rPr>
        <w:t xml:space="preserve"> </w:t>
      </w:r>
      <w:r w:rsidRPr="002D7A10">
        <w:rPr>
          <w:rFonts w:asciiTheme="minorHAnsi" w:hAnsiTheme="minorHAnsi"/>
          <w:sz w:val="24"/>
          <w:szCs w:val="24"/>
        </w:rPr>
        <w:t>sťažností;</w:t>
      </w:r>
      <w:r w:rsidRPr="002D7A10">
        <w:rPr>
          <w:rFonts w:asciiTheme="minorHAnsi" w:hAnsiTheme="minorHAnsi"/>
          <w:spacing w:val="44"/>
          <w:sz w:val="24"/>
          <w:szCs w:val="24"/>
        </w:rPr>
        <w:t xml:space="preserve"> </w:t>
      </w:r>
      <w:r w:rsidRPr="002D7A10">
        <w:rPr>
          <w:rFonts w:asciiTheme="minorHAnsi" w:hAnsiTheme="minorHAnsi"/>
          <w:sz w:val="24"/>
          <w:szCs w:val="24"/>
        </w:rPr>
        <w:t>pravidlá</w:t>
      </w:r>
      <w:r w:rsidRPr="002D7A10">
        <w:rPr>
          <w:rFonts w:asciiTheme="minorHAnsi" w:hAnsiTheme="minorHAnsi"/>
          <w:spacing w:val="44"/>
          <w:sz w:val="24"/>
          <w:szCs w:val="24"/>
        </w:rPr>
        <w:t xml:space="preserve"> </w:t>
      </w:r>
      <w:r w:rsidRPr="002D7A10">
        <w:rPr>
          <w:rFonts w:asciiTheme="minorHAnsi" w:hAnsiTheme="minorHAnsi"/>
          <w:sz w:val="24"/>
          <w:szCs w:val="24"/>
        </w:rPr>
        <w:t>pre</w:t>
      </w:r>
      <w:r w:rsidRPr="002D7A10">
        <w:rPr>
          <w:rFonts w:asciiTheme="minorHAnsi" w:hAnsiTheme="minorHAnsi"/>
          <w:spacing w:val="44"/>
          <w:sz w:val="24"/>
          <w:szCs w:val="24"/>
        </w:rPr>
        <w:t xml:space="preserve"> </w:t>
      </w:r>
      <w:r w:rsidRPr="002D7A10">
        <w:rPr>
          <w:rFonts w:asciiTheme="minorHAnsi" w:hAnsiTheme="minorHAnsi"/>
          <w:sz w:val="24"/>
          <w:szCs w:val="24"/>
        </w:rPr>
        <w:t>vybavovanie</w:t>
      </w:r>
      <w:r w:rsidRPr="002D7A10">
        <w:rPr>
          <w:rFonts w:asciiTheme="minorHAnsi" w:hAnsiTheme="minorHAnsi"/>
          <w:spacing w:val="44"/>
          <w:sz w:val="24"/>
          <w:szCs w:val="24"/>
        </w:rPr>
        <w:t xml:space="preserve"> </w:t>
      </w:r>
      <w:r w:rsidRPr="002D7A10">
        <w:rPr>
          <w:rFonts w:asciiTheme="minorHAnsi" w:hAnsiTheme="minorHAnsi"/>
          <w:sz w:val="24"/>
          <w:szCs w:val="24"/>
        </w:rPr>
        <w:t>sťažností</w:t>
      </w:r>
      <w:r w:rsidRPr="002D7A10">
        <w:rPr>
          <w:rFonts w:asciiTheme="minorHAnsi" w:hAnsiTheme="minorHAnsi"/>
          <w:spacing w:val="44"/>
          <w:sz w:val="24"/>
          <w:szCs w:val="24"/>
        </w:rPr>
        <w:t xml:space="preserve"> </w:t>
      </w:r>
      <w:r w:rsidRPr="002D7A10">
        <w:rPr>
          <w:rFonts w:asciiTheme="minorHAnsi" w:hAnsiTheme="minorHAnsi"/>
          <w:sz w:val="24"/>
          <w:szCs w:val="24"/>
        </w:rPr>
        <w:t>sú</w:t>
      </w:r>
      <w:r w:rsidRPr="002D7A10">
        <w:rPr>
          <w:rFonts w:asciiTheme="minorHAnsi" w:hAnsiTheme="minorHAnsi"/>
          <w:spacing w:val="45"/>
          <w:sz w:val="24"/>
          <w:szCs w:val="24"/>
        </w:rPr>
        <w:t xml:space="preserve"> </w:t>
      </w:r>
      <w:r w:rsidRPr="002D7A10">
        <w:rPr>
          <w:rFonts w:asciiTheme="minorHAnsi" w:hAnsiTheme="minorHAnsi"/>
          <w:sz w:val="24"/>
          <w:szCs w:val="24"/>
        </w:rPr>
        <w:t>určené</w:t>
      </w:r>
      <w:r w:rsidRPr="002D7A10">
        <w:rPr>
          <w:rFonts w:asciiTheme="minorHAnsi" w:hAnsiTheme="minorHAnsi"/>
          <w:spacing w:val="44"/>
          <w:sz w:val="24"/>
          <w:szCs w:val="24"/>
        </w:rPr>
        <w:t xml:space="preserve"> </w:t>
      </w:r>
      <w:r w:rsidRPr="002D7A10">
        <w:rPr>
          <w:rFonts w:asciiTheme="minorHAnsi" w:hAnsiTheme="minorHAnsi"/>
          <w:sz w:val="24"/>
          <w:szCs w:val="24"/>
        </w:rPr>
        <w:t>vo</w:t>
      </w:r>
      <w:r w:rsidRPr="002D7A10">
        <w:rPr>
          <w:rFonts w:asciiTheme="minorHAnsi" w:hAnsiTheme="minorHAnsi"/>
          <w:spacing w:val="44"/>
          <w:sz w:val="24"/>
          <w:szCs w:val="24"/>
        </w:rPr>
        <w:t xml:space="preserve"> </w:t>
      </w:r>
      <w:r w:rsidRPr="002D7A10">
        <w:rPr>
          <w:rFonts w:asciiTheme="minorHAnsi" w:hAnsiTheme="minorHAnsi"/>
          <w:sz w:val="24"/>
          <w:szCs w:val="24"/>
        </w:rPr>
        <w:t>vnútornej organizačnej a riadiacej norme vydanej</w:t>
      </w:r>
      <w:r w:rsidRPr="002D7A10">
        <w:rPr>
          <w:rFonts w:asciiTheme="minorHAnsi" w:hAnsiTheme="minorHAnsi"/>
          <w:spacing w:val="-5"/>
          <w:sz w:val="24"/>
          <w:szCs w:val="24"/>
        </w:rPr>
        <w:t xml:space="preserve"> </w:t>
      </w:r>
      <w:r w:rsidRPr="002D7A10">
        <w:rPr>
          <w:rFonts w:asciiTheme="minorHAnsi" w:hAnsiTheme="minorHAnsi"/>
          <w:sz w:val="24"/>
          <w:szCs w:val="24"/>
        </w:rPr>
        <w:t>rektorom,</w:t>
      </w:r>
    </w:p>
    <w:p w:rsidR="00E9711A" w:rsidRPr="002D7A10" w:rsidRDefault="00E9711A" w:rsidP="00D31559">
      <w:pPr>
        <w:pStyle w:val="Odsekzoznamu"/>
        <w:widowControl w:val="0"/>
        <w:numPr>
          <w:ilvl w:val="1"/>
          <w:numId w:val="18"/>
        </w:numPr>
        <w:spacing w:before="7" w:after="0" w:line="240" w:lineRule="auto"/>
        <w:ind w:left="709" w:right="115"/>
        <w:rPr>
          <w:rFonts w:asciiTheme="minorHAnsi" w:hAnsiTheme="minorHAnsi" w:cs="Calibri"/>
          <w:sz w:val="24"/>
          <w:szCs w:val="24"/>
        </w:rPr>
      </w:pPr>
      <w:r w:rsidRPr="002D7A10">
        <w:rPr>
          <w:rFonts w:asciiTheme="minorHAnsi" w:hAnsiTheme="minorHAnsi"/>
          <w:sz w:val="24"/>
          <w:szCs w:val="24"/>
        </w:rPr>
        <w:t>zapájaním študentov STU do prieskumov organizovaných externými,</w:t>
      </w:r>
      <w:r w:rsidRPr="002D7A10">
        <w:rPr>
          <w:rFonts w:asciiTheme="minorHAnsi" w:hAnsiTheme="minorHAnsi"/>
          <w:spacing w:val="22"/>
          <w:sz w:val="24"/>
          <w:szCs w:val="24"/>
        </w:rPr>
        <w:t xml:space="preserve"> </w:t>
      </w:r>
      <w:r w:rsidRPr="002D7A10">
        <w:rPr>
          <w:rFonts w:asciiTheme="minorHAnsi" w:hAnsiTheme="minorHAnsi"/>
          <w:sz w:val="24"/>
          <w:szCs w:val="24"/>
        </w:rPr>
        <w:t>resp. medzinárodnými</w:t>
      </w:r>
      <w:r w:rsidRPr="002D7A10">
        <w:rPr>
          <w:rFonts w:asciiTheme="minorHAnsi" w:hAnsiTheme="minorHAnsi"/>
          <w:spacing w:val="-3"/>
          <w:sz w:val="24"/>
          <w:szCs w:val="24"/>
        </w:rPr>
        <w:t xml:space="preserve"> </w:t>
      </w:r>
      <w:r w:rsidRPr="002D7A10">
        <w:rPr>
          <w:rFonts w:asciiTheme="minorHAnsi" w:hAnsiTheme="minorHAnsi"/>
          <w:sz w:val="24"/>
          <w:szCs w:val="24"/>
        </w:rPr>
        <w:t>organizáciami,</w:t>
      </w:r>
    </w:p>
    <w:p w:rsidR="00E9711A" w:rsidRPr="002D7A10" w:rsidRDefault="00E9711A" w:rsidP="00D31559">
      <w:pPr>
        <w:pStyle w:val="Odsekzoznamu"/>
        <w:widowControl w:val="0"/>
        <w:numPr>
          <w:ilvl w:val="1"/>
          <w:numId w:val="18"/>
        </w:numPr>
        <w:spacing w:after="0" w:line="240" w:lineRule="auto"/>
        <w:ind w:left="709" w:right="108"/>
        <w:rPr>
          <w:rFonts w:asciiTheme="minorHAnsi" w:hAnsiTheme="minorHAnsi" w:cs="Calibri"/>
          <w:sz w:val="24"/>
          <w:szCs w:val="24"/>
        </w:rPr>
      </w:pPr>
      <w:r w:rsidRPr="002D7A10">
        <w:rPr>
          <w:rFonts w:asciiTheme="minorHAnsi" w:hAnsiTheme="minorHAnsi"/>
          <w:sz w:val="24"/>
          <w:szCs w:val="24"/>
        </w:rPr>
        <w:t>formálnymi aj neformálnymi stretnutiami študentov s riadiacimi</w:t>
      </w:r>
      <w:r w:rsidRPr="002D7A10">
        <w:rPr>
          <w:rFonts w:asciiTheme="minorHAnsi" w:hAnsiTheme="minorHAnsi"/>
          <w:spacing w:val="2"/>
          <w:sz w:val="24"/>
          <w:szCs w:val="24"/>
        </w:rPr>
        <w:t xml:space="preserve"> </w:t>
      </w:r>
      <w:r w:rsidRPr="002D7A10">
        <w:rPr>
          <w:rFonts w:asciiTheme="minorHAnsi" w:hAnsiTheme="minorHAnsi"/>
          <w:sz w:val="24"/>
          <w:szCs w:val="24"/>
        </w:rPr>
        <w:t>štruktúrami vzdelávacieho procesu od garantov študijných programov až po vedenia fakúlt a univerzity,</w:t>
      </w:r>
    </w:p>
    <w:p w:rsidR="00E9711A" w:rsidRPr="002D7A10" w:rsidRDefault="00E9711A" w:rsidP="00D31559">
      <w:pPr>
        <w:pStyle w:val="Odsekzoznamu"/>
        <w:widowControl w:val="0"/>
        <w:numPr>
          <w:ilvl w:val="1"/>
          <w:numId w:val="18"/>
        </w:numPr>
        <w:spacing w:after="0" w:line="240" w:lineRule="auto"/>
        <w:ind w:left="709" w:right="107"/>
        <w:rPr>
          <w:rFonts w:asciiTheme="minorHAnsi" w:hAnsiTheme="minorHAnsi" w:cs="Calibri"/>
          <w:sz w:val="24"/>
          <w:szCs w:val="24"/>
        </w:rPr>
      </w:pPr>
      <w:r w:rsidRPr="002D7A10">
        <w:rPr>
          <w:rFonts w:asciiTheme="minorHAnsi" w:hAnsiTheme="minorHAnsi"/>
          <w:sz w:val="24"/>
          <w:szCs w:val="24"/>
        </w:rPr>
        <w:t>zastúpením študentov v orgánoch akademickej samosprávy, a to v</w:t>
      </w:r>
      <w:r w:rsidRPr="002D7A10">
        <w:rPr>
          <w:rFonts w:asciiTheme="minorHAnsi" w:hAnsiTheme="minorHAnsi"/>
          <w:spacing w:val="-8"/>
          <w:sz w:val="24"/>
          <w:szCs w:val="24"/>
        </w:rPr>
        <w:t xml:space="preserve"> </w:t>
      </w:r>
      <w:r w:rsidRPr="002D7A10">
        <w:rPr>
          <w:rFonts w:asciiTheme="minorHAnsi" w:hAnsiTheme="minorHAnsi"/>
          <w:sz w:val="24"/>
          <w:szCs w:val="24"/>
        </w:rPr>
        <w:t>akademických senátoch</w:t>
      </w:r>
      <w:r w:rsidRPr="002D7A10">
        <w:rPr>
          <w:rFonts w:asciiTheme="minorHAnsi" w:hAnsiTheme="minorHAnsi"/>
          <w:spacing w:val="24"/>
          <w:sz w:val="24"/>
          <w:szCs w:val="24"/>
        </w:rPr>
        <w:t xml:space="preserve"> </w:t>
      </w:r>
      <w:r w:rsidRPr="002D7A10">
        <w:rPr>
          <w:rFonts w:asciiTheme="minorHAnsi" w:hAnsiTheme="minorHAnsi"/>
          <w:sz w:val="24"/>
          <w:szCs w:val="24"/>
        </w:rPr>
        <w:t>fakúlt</w:t>
      </w:r>
      <w:r w:rsidRPr="002D7A10">
        <w:rPr>
          <w:rFonts w:asciiTheme="minorHAnsi" w:hAnsiTheme="minorHAnsi"/>
          <w:spacing w:val="22"/>
          <w:sz w:val="24"/>
          <w:szCs w:val="24"/>
        </w:rPr>
        <w:t xml:space="preserve"> </w:t>
      </w:r>
      <w:r w:rsidRPr="002D7A10">
        <w:rPr>
          <w:rFonts w:asciiTheme="minorHAnsi" w:hAnsiTheme="minorHAnsi"/>
          <w:sz w:val="24"/>
          <w:szCs w:val="24"/>
        </w:rPr>
        <w:t>a</w:t>
      </w:r>
      <w:r w:rsidRPr="002D7A10">
        <w:rPr>
          <w:rFonts w:asciiTheme="minorHAnsi" w:hAnsiTheme="minorHAnsi"/>
          <w:spacing w:val="1"/>
          <w:sz w:val="24"/>
          <w:szCs w:val="24"/>
        </w:rPr>
        <w:t xml:space="preserve"> </w:t>
      </w:r>
      <w:r w:rsidRPr="002D7A10">
        <w:rPr>
          <w:rFonts w:asciiTheme="minorHAnsi" w:hAnsiTheme="minorHAnsi"/>
          <w:sz w:val="24"/>
          <w:szCs w:val="24"/>
        </w:rPr>
        <w:t>v</w:t>
      </w:r>
      <w:r w:rsidRPr="002D7A10">
        <w:rPr>
          <w:rFonts w:asciiTheme="minorHAnsi" w:hAnsiTheme="minorHAnsi"/>
          <w:spacing w:val="-2"/>
          <w:sz w:val="24"/>
          <w:szCs w:val="24"/>
        </w:rPr>
        <w:t xml:space="preserve"> </w:t>
      </w:r>
      <w:r w:rsidRPr="002D7A10">
        <w:rPr>
          <w:rFonts w:asciiTheme="minorHAnsi" w:hAnsiTheme="minorHAnsi"/>
          <w:sz w:val="24"/>
          <w:szCs w:val="24"/>
        </w:rPr>
        <w:t>AS</w:t>
      </w:r>
      <w:r w:rsidRPr="002D7A10">
        <w:rPr>
          <w:rFonts w:asciiTheme="minorHAnsi" w:hAnsiTheme="minorHAnsi"/>
          <w:spacing w:val="22"/>
          <w:sz w:val="24"/>
          <w:szCs w:val="24"/>
        </w:rPr>
        <w:t xml:space="preserve"> </w:t>
      </w:r>
      <w:r w:rsidRPr="002D7A10">
        <w:rPr>
          <w:rFonts w:asciiTheme="minorHAnsi" w:hAnsiTheme="minorHAnsi"/>
          <w:sz w:val="24"/>
          <w:szCs w:val="24"/>
        </w:rPr>
        <w:t>STU</w:t>
      </w:r>
      <w:r w:rsidRPr="002D7A10">
        <w:rPr>
          <w:rFonts w:asciiTheme="minorHAnsi" w:hAnsiTheme="minorHAnsi"/>
          <w:spacing w:val="24"/>
          <w:sz w:val="24"/>
          <w:szCs w:val="24"/>
        </w:rPr>
        <w:t xml:space="preserve"> </w:t>
      </w:r>
      <w:r w:rsidRPr="002D7A10">
        <w:rPr>
          <w:rFonts w:asciiTheme="minorHAnsi" w:hAnsiTheme="minorHAnsi"/>
          <w:sz w:val="24"/>
          <w:szCs w:val="24"/>
        </w:rPr>
        <w:t>a</w:t>
      </w:r>
      <w:r w:rsidRPr="002D7A10">
        <w:rPr>
          <w:rFonts w:asciiTheme="minorHAnsi" w:hAnsiTheme="minorHAnsi"/>
          <w:spacing w:val="-1"/>
          <w:sz w:val="24"/>
          <w:szCs w:val="24"/>
        </w:rPr>
        <w:t xml:space="preserve"> </w:t>
      </w:r>
      <w:r w:rsidRPr="002D7A10">
        <w:rPr>
          <w:rFonts w:asciiTheme="minorHAnsi" w:hAnsiTheme="minorHAnsi"/>
          <w:sz w:val="24"/>
          <w:szCs w:val="24"/>
        </w:rPr>
        <w:t>disciplinárnych</w:t>
      </w:r>
      <w:r w:rsidRPr="002D7A10">
        <w:rPr>
          <w:rFonts w:asciiTheme="minorHAnsi" w:hAnsiTheme="minorHAnsi"/>
          <w:spacing w:val="24"/>
          <w:sz w:val="24"/>
          <w:szCs w:val="24"/>
        </w:rPr>
        <w:t xml:space="preserve"> </w:t>
      </w:r>
      <w:r w:rsidRPr="002D7A10">
        <w:rPr>
          <w:rFonts w:asciiTheme="minorHAnsi" w:hAnsiTheme="minorHAnsi"/>
          <w:sz w:val="24"/>
          <w:szCs w:val="24"/>
        </w:rPr>
        <w:t>komisiách</w:t>
      </w:r>
      <w:r w:rsidRPr="002D7A10">
        <w:rPr>
          <w:rFonts w:asciiTheme="minorHAnsi" w:hAnsiTheme="minorHAnsi"/>
          <w:spacing w:val="24"/>
          <w:sz w:val="24"/>
          <w:szCs w:val="24"/>
        </w:rPr>
        <w:t xml:space="preserve"> </w:t>
      </w:r>
      <w:r w:rsidRPr="002D7A10">
        <w:rPr>
          <w:rFonts w:asciiTheme="minorHAnsi" w:hAnsiTheme="minorHAnsi"/>
          <w:sz w:val="24"/>
          <w:szCs w:val="24"/>
        </w:rPr>
        <w:t>fakúlt</w:t>
      </w:r>
      <w:r w:rsidRPr="002D7A10">
        <w:rPr>
          <w:rFonts w:asciiTheme="minorHAnsi" w:hAnsiTheme="minorHAnsi"/>
          <w:spacing w:val="28"/>
          <w:sz w:val="24"/>
          <w:szCs w:val="24"/>
        </w:rPr>
        <w:t xml:space="preserve"> </w:t>
      </w:r>
      <w:r w:rsidRPr="002D7A10">
        <w:rPr>
          <w:rFonts w:asciiTheme="minorHAnsi" w:hAnsiTheme="minorHAnsi"/>
          <w:sz w:val="24"/>
          <w:szCs w:val="24"/>
        </w:rPr>
        <w:t>STU</w:t>
      </w:r>
      <w:r w:rsidRPr="002D7A10">
        <w:rPr>
          <w:rFonts w:asciiTheme="minorHAnsi" w:hAnsiTheme="minorHAnsi"/>
          <w:spacing w:val="24"/>
          <w:sz w:val="24"/>
          <w:szCs w:val="24"/>
        </w:rPr>
        <w:t xml:space="preserve"> </w:t>
      </w:r>
      <w:r w:rsidRPr="002D7A10">
        <w:rPr>
          <w:rFonts w:asciiTheme="minorHAnsi" w:hAnsiTheme="minorHAnsi"/>
          <w:sz w:val="24"/>
          <w:szCs w:val="24"/>
        </w:rPr>
        <w:t>a</w:t>
      </w:r>
      <w:r w:rsidRPr="002D7A10">
        <w:rPr>
          <w:rFonts w:asciiTheme="minorHAnsi" w:hAnsiTheme="minorHAnsi"/>
          <w:spacing w:val="-1"/>
          <w:sz w:val="24"/>
          <w:szCs w:val="24"/>
        </w:rPr>
        <w:t xml:space="preserve"> </w:t>
      </w:r>
      <w:r w:rsidRPr="002D7A10">
        <w:rPr>
          <w:rFonts w:asciiTheme="minorHAnsi" w:hAnsiTheme="minorHAnsi"/>
          <w:sz w:val="24"/>
          <w:szCs w:val="24"/>
        </w:rPr>
        <w:t>v</w:t>
      </w:r>
      <w:r w:rsidRPr="002D7A10">
        <w:rPr>
          <w:rFonts w:asciiTheme="minorHAnsi" w:hAnsiTheme="minorHAnsi"/>
          <w:spacing w:val="-4"/>
          <w:sz w:val="24"/>
          <w:szCs w:val="24"/>
        </w:rPr>
        <w:t xml:space="preserve"> </w:t>
      </w:r>
      <w:r w:rsidRPr="002D7A10">
        <w:rPr>
          <w:rFonts w:asciiTheme="minorHAnsi" w:hAnsiTheme="minorHAnsi"/>
          <w:sz w:val="24"/>
          <w:szCs w:val="24"/>
        </w:rPr>
        <w:t>disciplinárnej komisii STU a účasťou na rokovaniach kolégií dekana a kolégiu rektora, vedení</w:t>
      </w:r>
      <w:r w:rsidRPr="002D7A10">
        <w:rPr>
          <w:rFonts w:asciiTheme="minorHAnsi" w:hAnsiTheme="minorHAnsi"/>
          <w:spacing w:val="1"/>
          <w:sz w:val="24"/>
          <w:szCs w:val="24"/>
        </w:rPr>
        <w:t xml:space="preserve"> </w:t>
      </w:r>
      <w:r w:rsidRPr="002D7A10">
        <w:rPr>
          <w:rFonts w:asciiTheme="minorHAnsi" w:hAnsiTheme="minorHAnsi"/>
          <w:sz w:val="24"/>
          <w:szCs w:val="24"/>
        </w:rPr>
        <w:t>fakúlt a vedení STU a vedeckých rád fakúlt a Vedeckej rade</w:t>
      </w:r>
      <w:r w:rsidRPr="002D7A10">
        <w:rPr>
          <w:rFonts w:asciiTheme="minorHAnsi" w:hAnsiTheme="minorHAnsi"/>
          <w:spacing w:val="2"/>
          <w:sz w:val="24"/>
          <w:szCs w:val="24"/>
        </w:rPr>
        <w:t xml:space="preserve"> </w:t>
      </w:r>
      <w:r w:rsidRPr="002D7A10">
        <w:rPr>
          <w:rFonts w:asciiTheme="minorHAnsi" w:hAnsiTheme="minorHAnsi"/>
          <w:sz w:val="24"/>
          <w:szCs w:val="24"/>
        </w:rPr>
        <w:t>STU,</w:t>
      </w:r>
    </w:p>
    <w:p w:rsidR="00E9711A" w:rsidRPr="002D7A10" w:rsidRDefault="00E9711A" w:rsidP="00D31559">
      <w:pPr>
        <w:pStyle w:val="Odsekzoznamu"/>
        <w:widowControl w:val="0"/>
        <w:numPr>
          <w:ilvl w:val="1"/>
          <w:numId w:val="18"/>
        </w:numPr>
        <w:spacing w:after="0" w:line="240" w:lineRule="auto"/>
        <w:ind w:left="709" w:right="108"/>
        <w:rPr>
          <w:rFonts w:asciiTheme="minorHAnsi" w:hAnsiTheme="minorHAnsi" w:cs="Calibri"/>
          <w:sz w:val="24"/>
          <w:szCs w:val="24"/>
        </w:rPr>
      </w:pPr>
      <w:r w:rsidRPr="002D7A10">
        <w:rPr>
          <w:rFonts w:asciiTheme="minorHAnsi" w:hAnsiTheme="minorHAnsi"/>
          <w:sz w:val="24"/>
          <w:szCs w:val="24"/>
        </w:rPr>
        <w:t>podieľaním sa na príprave, prerokúvaní a schvaľovaní materiálov a</w:t>
      </w:r>
      <w:r w:rsidRPr="002D7A10">
        <w:rPr>
          <w:rFonts w:asciiTheme="minorHAnsi" w:hAnsiTheme="minorHAnsi"/>
          <w:spacing w:val="-29"/>
          <w:sz w:val="24"/>
          <w:szCs w:val="24"/>
        </w:rPr>
        <w:t xml:space="preserve"> </w:t>
      </w:r>
      <w:r w:rsidRPr="002D7A10">
        <w:rPr>
          <w:rFonts w:asciiTheme="minorHAnsi" w:hAnsiTheme="minorHAnsi"/>
          <w:sz w:val="24"/>
          <w:szCs w:val="24"/>
        </w:rPr>
        <w:t>vnútorných predpisov v oblasti vzdelávania,</w:t>
      </w:r>
    </w:p>
    <w:p w:rsidR="00E9711A" w:rsidRPr="002D7A10" w:rsidRDefault="00E9711A" w:rsidP="00D31559">
      <w:pPr>
        <w:pStyle w:val="Odsekzoznamu"/>
        <w:widowControl w:val="0"/>
        <w:numPr>
          <w:ilvl w:val="1"/>
          <w:numId w:val="18"/>
        </w:numPr>
        <w:spacing w:after="120" w:line="240" w:lineRule="auto"/>
        <w:ind w:left="709" w:right="113" w:hanging="567"/>
        <w:rPr>
          <w:rFonts w:asciiTheme="minorHAnsi" w:hAnsiTheme="minorHAnsi" w:cs="Calibri"/>
          <w:sz w:val="24"/>
          <w:szCs w:val="24"/>
        </w:rPr>
      </w:pPr>
      <w:r w:rsidRPr="002D7A10">
        <w:rPr>
          <w:rFonts w:asciiTheme="minorHAnsi" w:hAnsiTheme="minorHAnsi"/>
          <w:sz w:val="24"/>
          <w:szCs w:val="24"/>
        </w:rPr>
        <w:t>vzájomným podporovaním sa študentov, predovšetkým formou</w:t>
      </w:r>
      <w:r w:rsidRPr="002D7A10">
        <w:rPr>
          <w:rFonts w:asciiTheme="minorHAnsi" w:hAnsiTheme="minorHAnsi"/>
          <w:spacing w:val="44"/>
          <w:sz w:val="24"/>
          <w:szCs w:val="24"/>
        </w:rPr>
        <w:t xml:space="preserve"> </w:t>
      </w:r>
      <w:r w:rsidRPr="002D7A10">
        <w:rPr>
          <w:rFonts w:asciiTheme="minorHAnsi" w:hAnsiTheme="minorHAnsi"/>
          <w:sz w:val="24"/>
          <w:szCs w:val="24"/>
        </w:rPr>
        <w:t>doučovania organizovaným prostredníctvom študentského</w:t>
      </w:r>
      <w:r w:rsidRPr="002D7A10">
        <w:rPr>
          <w:rFonts w:asciiTheme="minorHAnsi" w:hAnsiTheme="minorHAnsi"/>
          <w:spacing w:val="-3"/>
          <w:sz w:val="24"/>
          <w:szCs w:val="24"/>
        </w:rPr>
        <w:t xml:space="preserve"> </w:t>
      </w:r>
      <w:proofErr w:type="spellStart"/>
      <w:r w:rsidRPr="002D7A10">
        <w:rPr>
          <w:rFonts w:asciiTheme="minorHAnsi" w:hAnsiTheme="minorHAnsi"/>
          <w:sz w:val="24"/>
          <w:szCs w:val="24"/>
        </w:rPr>
        <w:t>koučingu</w:t>
      </w:r>
      <w:proofErr w:type="spellEnd"/>
      <w:r w:rsidRPr="002D7A10">
        <w:rPr>
          <w:rFonts w:asciiTheme="minorHAnsi" w:hAnsiTheme="minorHAnsi"/>
          <w:sz w:val="24"/>
          <w:szCs w:val="24"/>
        </w:rPr>
        <w:t>.</w:t>
      </w:r>
    </w:p>
    <w:p w:rsidR="00E9711A" w:rsidRPr="002D7A10" w:rsidRDefault="00E9711A" w:rsidP="00E9711A">
      <w:pPr>
        <w:spacing w:after="120"/>
        <w:rPr>
          <w:rFonts w:asciiTheme="minorHAnsi" w:hAnsiTheme="minorHAnsi" w:cs="Calibri"/>
        </w:rPr>
      </w:pPr>
      <w:r w:rsidRPr="002D7A10">
        <w:rPr>
          <w:rFonts w:asciiTheme="minorHAnsi" w:hAnsiTheme="minorHAnsi" w:cs="Calibri"/>
        </w:rPr>
        <w:lastRenderedPageBreak/>
        <w:t>Výsledky riadiacej a kontrolnej činnosti vzdelávacieho procesu sú prerokovávané na zasadnutiach riadiacich grémií fakúlt (vedenie fakulty, kolégium dekana, vedecké rady). Kontrolná činnosť je na fakultách/univerzite zabezpečovaná aj prostredníctvom akademických sen</w:t>
      </w:r>
      <w:r w:rsidR="00596775" w:rsidRPr="002D7A10">
        <w:rPr>
          <w:rFonts w:asciiTheme="minorHAnsi" w:hAnsiTheme="minorHAnsi" w:cs="Calibri"/>
        </w:rPr>
        <w:t xml:space="preserve">átov fakúlt, resp. univerzity. </w:t>
      </w:r>
      <w:r w:rsidRPr="002D7A10">
        <w:rPr>
          <w:rFonts w:asciiTheme="minorHAnsi" w:eastAsia="Times New Roman" w:hAnsiTheme="minorHAnsi" w:cs="Arial"/>
          <w:lang w:eastAsia="sk-SK"/>
        </w:rPr>
        <w:t xml:space="preserve">Kontrola kvality vzdelávacieho procesu prebiehala rovnako prostredníctvom hospitácií, ktoré boli zamerané predovšetkým na zhodnotenie pedagogickej kvality konkrétnych učiteľov. Hospitáciami boli hodnotené nasledovné kritériá: obsahová stránka zabezpečenia vzdelávacej činnosti, vystupovanie pedagóga, práca s didaktickými a učebnými pomôckami, časové rozdelenie vzdelávacej činnosti. </w:t>
      </w:r>
    </w:p>
    <w:p w:rsidR="00E9711A" w:rsidRPr="002D7A10" w:rsidRDefault="00E9711A" w:rsidP="00E9711A">
      <w:pPr>
        <w:rPr>
          <w:rFonts w:asciiTheme="minorHAnsi" w:hAnsiTheme="minorHAnsi" w:cs="Calibri"/>
        </w:rPr>
      </w:pPr>
      <w:r w:rsidRPr="002D7A10">
        <w:rPr>
          <w:rFonts w:asciiTheme="minorHAnsi" w:hAnsiTheme="minorHAnsi" w:cs="Calibri"/>
        </w:rPr>
        <w:t>V rámci komplexnej akreditácie činností STU bol Akreditačnou komisiou hodnotený vnútorný systém zabezpečenia kvality vysokoškolského vzdelávania.</w:t>
      </w:r>
      <w:r w:rsidRPr="002D7A10">
        <w:rPr>
          <w:rFonts w:asciiTheme="minorHAnsi" w:hAnsiTheme="minorHAnsi"/>
        </w:rPr>
        <w:t xml:space="preserve"> </w:t>
      </w:r>
      <w:r w:rsidRPr="002D7A10">
        <w:rPr>
          <w:rFonts w:asciiTheme="minorHAnsi" w:hAnsiTheme="minorHAnsi" w:cs="Calibri"/>
          <w:b/>
        </w:rPr>
        <w:t>Akreditačná komisia sa v hodnotiacej správe vyjadrila, že ciele stanovené dokumentom o vnútornom systéme zabezpečenie kvality sú realistické a dobre definované.</w:t>
      </w:r>
      <w:r w:rsidRPr="002D7A10">
        <w:rPr>
          <w:rFonts w:asciiTheme="minorHAnsi" w:hAnsiTheme="minorHAnsi" w:cs="Calibri"/>
        </w:rPr>
        <w:t xml:space="preserve"> STU si uvedomuje svoje silné a slabé stránky a je schopná zodpovedne kontrolovať kvalitu vzdelávacej a vedeckej práce a prispievať k jej zlepšeniu. Akreditačná komisia zároveň konštatovala, že STU má v súčasnosti vyhovujúci vnútorný systém kvality a jeho uplatňovanie je na dostatočnej úrovni.</w:t>
      </w:r>
      <w:r w:rsidRPr="002D7A10">
        <w:rPr>
          <w:rFonts w:asciiTheme="minorHAnsi" w:hAnsiTheme="minorHAnsi"/>
        </w:rPr>
        <w:t xml:space="preserve"> </w:t>
      </w:r>
    </w:p>
    <w:p w:rsidR="00B51749" w:rsidRDefault="00B51749" w:rsidP="00B51749">
      <w:pPr>
        <w:rPr>
          <w:rFonts w:asciiTheme="minorHAnsi" w:hAnsiTheme="minorHAnsi" w:cs="Calibri"/>
        </w:rPr>
      </w:pPr>
    </w:p>
    <w:p w:rsidR="00DC7369" w:rsidRPr="002D7A10" w:rsidRDefault="00DC7369" w:rsidP="00B51749">
      <w:pPr>
        <w:rPr>
          <w:rFonts w:asciiTheme="minorHAnsi" w:hAnsiTheme="minorHAnsi"/>
          <w:color w:val="FF0000"/>
        </w:rPr>
      </w:pPr>
    </w:p>
    <w:p w:rsidR="00B51749" w:rsidRPr="002D7A10" w:rsidRDefault="00B51749" w:rsidP="00B51749">
      <w:pPr>
        <w:pStyle w:val="Nadpis2"/>
        <w:rPr>
          <w:rFonts w:asciiTheme="minorHAnsi" w:hAnsiTheme="minorHAnsi"/>
          <w:color w:val="auto"/>
          <w:sz w:val="24"/>
          <w:szCs w:val="24"/>
        </w:rPr>
      </w:pPr>
      <w:bookmarkStart w:id="79" w:name="_Toc448261614"/>
      <w:r w:rsidRPr="002D7A10">
        <w:rPr>
          <w:rFonts w:asciiTheme="minorHAnsi" w:hAnsiTheme="minorHAnsi"/>
          <w:color w:val="auto"/>
          <w:sz w:val="24"/>
          <w:szCs w:val="24"/>
        </w:rPr>
        <w:t>Hodnotenie vzdelávania študentmi</w:t>
      </w:r>
      <w:bookmarkEnd w:id="79"/>
    </w:p>
    <w:p w:rsidR="00596775" w:rsidRPr="002D7A10" w:rsidRDefault="00596775" w:rsidP="00E9711A">
      <w:pPr>
        <w:rPr>
          <w:rFonts w:asciiTheme="minorHAnsi" w:hAnsiTheme="minorHAnsi" w:cs="Calibri"/>
        </w:rPr>
      </w:pPr>
    </w:p>
    <w:p w:rsidR="00E9711A" w:rsidRPr="002D7A10" w:rsidRDefault="00E9711A" w:rsidP="00596775">
      <w:pPr>
        <w:rPr>
          <w:rFonts w:asciiTheme="minorHAnsi" w:hAnsiTheme="minorHAnsi" w:cs="Calibri"/>
        </w:rPr>
      </w:pPr>
      <w:r w:rsidRPr="002D7A10">
        <w:rPr>
          <w:rFonts w:asciiTheme="minorHAnsi" w:hAnsiTheme="minorHAnsi" w:cs="Calibri"/>
        </w:rPr>
        <w:t>V súlade s § 70 ods. 1 písm. h) zákona majú študenti STU právo formou anonymného dotazníka vyjadriť sa  o kvalite výučby a učiteľoch hneď viackrát</w:t>
      </w:r>
      <w:r w:rsidR="00596775" w:rsidRPr="002D7A10">
        <w:rPr>
          <w:rFonts w:asciiTheme="minorHAnsi" w:hAnsiTheme="minorHAnsi" w:cs="Calibri"/>
        </w:rPr>
        <w:t xml:space="preserve">. </w:t>
      </w:r>
      <w:r w:rsidRPr="002D7A10">
        <w:rPr>
          <w:rFonts w:asciiTheme="minorHAnsi" w:hAnsiTheme="minorHAnsi" w:cs="Calibri"/>
        </w:rPr>
        <w:t>Toto právo môžu študenti STU využiť prostredníctvom dotazníkov (v elektronickej forme, najčastejšie prostredníctvom AIS alebo v predtlačenej forme), v ktorých sa sledovala spokojnosť študentov celkovo so štúdiom počas akademického roka. V týchto dotazníkoch sa väčšinou monitorujú názory na obsah učiva, metódy štúdia, úroveň využívania didaktických pomôcok, zabezpečenie študijnou literatúrou, spokojnosť s prácou študijných oddelení, spokojnosť s učiteľmi, vzťah a lojalitu k fakulte apod.</w:t>
      </w:r>
    </w:p>
    <w:p w:rsidR="00E9711A" w:rsidRPr="002D7A10" w:rsidRDefault="00E9711A" w:rsidP="00E9711A">
      <w:pPr>
        <w:rPr>
          <w:rFonts w:asciiTheme="minorHAnsi" w:hAnsiTheme="minorHAnsi" w:cs="Calibri"/>
        </w:rPr>
      </w:pPr>
      <w:r w:rsidRPr="002D7A10">
        <w:rPr>
          <w:rFonts w:asciiTheme="minorHAnsi" w:hAnsiTheme="minorHAnsi" w:cs="Calibri"/>
        </w:rPr>
        <w:t xml:space="preserve">Okrem toho majú študenti možnosť vyjadrovať sa ku kvalite výučby jednotlivých predmetov a učiteľov samostatne, opäť pomocou dotazníka v AIS. </w:t>
      </w:r>
    </w:p>
    <w:p w:rsidR="00596775" w:rsidRPr="002D7A10" w:rsidRDefault="00E9711A" w:rsidP="00596775">
      <w:pPr>
        <w:rPr>
          <w:rFonts w:asciiTheme="minorHAnsi" w:hAnsiTheme="minorHAnsi" w:cs="Calibri"/>
        </w:rPr>
      </w:pPr>
      <w:r w:rsidRPr="002D7A10">
        <w:rPr>
          <w:rFonts w:asciiTheme="minorHAnsi" w:hAnsiTheme="minorHAnsi" w:cs="Calibri"/>
        </w:rPr>
        <w:t>Uvedené možnosti sa na fakultách využíva rôzne. Na niektorých sa vyhodnocujú po každom semestri, na nie</w:t>
      </w:r>
      <w:r w:rsidR="00DC7369">
        <w:rPr>
          <w:rFonts w:asciiTheme="minorHAnsi" w:hAnsiTheme="minorHAnsi" w:cs="Calibri"/>
        </w:rPr>
        <w:t xml:space="preserve">ktorých raz za akademický rok. </w:t>
      </w:r>
      <w:r w:rsidRPr="002D7A10">
        <w:rPr>
          <w:rFonts w:asciiTheme="minorHAnsi" w:hAnsiTheme="minorHAnsi" w:cs="Calibri"/>
        </w:rPr>
        <w:t>Nie je zriedkavosťou aj aktivita jednotlivých učiteľov o stručnú spätnú väzbu od študento</w:t>
      </w:r>
      <w:r w:rsidR="00596775" w:rsidRPr="002D7A10">
        <w:rPr>
          <w:rFonts w:asciiTheme="minorHAnsi" w:hAnsiTheme="minorHAnsi" w:cs="Calibri"/>
        </w:rPr>
        <w:t>v pomocou vlastných dotazníkov.</w:t>
      </w:r>
    </w:p>
    <w:p w:rsidR="00E9711A" w:rsidRPr="002D7A10" w:rsidRDefault="00E9711A" w:rsidP="00596775">
      <w:pPr>
        <w:rPr>
          <w:rFonts w:asciiTheme="minorHAnsi" w:hAnsiTheme="minorHAnsi" w:cs="Calibri"/>
        </w:rPr>
      </w:pPr>
      <w:r w:rsidRPr="002D7A10">
        <w:rPr>
          <w:rFonts w:asciiTheme="minorHAnsi" w:hAnsiTheme="minorHAnsi" w:cs="Calibri"/>
        </w:rPr>
        <w:t xml:space="preserve">Študenti majú možnosť vyjadriť sa ku kvalite vzdelávania a učiteľov, resp. ostatným záležitostiam štúdia na fakultách aj prostredníctvom anonymného </w:t>
      </w:r>
      <w:proofErr w:type="spellStart"/>
      <w:r w:rsidRPr="002D7A10">
        <w:rPr>
          <w:rFonts w:asciiTheme="minorHAnsi" w:hAnsiTheme="minorHAnsi" w:cs="Calibri"/>
        </w:rPr>
        <w:t>B</w:t>
      </w:r>
      <w:r w:rsidR="00596775" w:rsidRPr="002D7A10">
        <w:rPr>
          <w:rFonts w:asciiTheme="minorHAnsi" w:hAnsiTheme="minorHAnsi" w:cs="Calibri"/>
        </w:rPr>
        <w:t>lack</w:t>
      </w:r>
      <w:proofErr w:type="spellEnd"/>
      <w:r w:rsidR="00596775" w:rsidRPr="002D7A10">
        <w:rPr>
          <w:rFonts w:asciiTheme="minorHAnsi" w:hAnsiTheme="minorHAnsi" w:cs="Calibri"/>
        </w:rPr>
        <w:t xml:space="preserve"> Boxu (elektronicky cez web</w:t>
      </w:r>
      <w:r w:rsidRPr="002D7A10">
        <w:rPr>
          <w:rFonts w:asciiTheme="minorHAnsi" w:hAnsiTheme="minorHAnsi" w:cs="Calibri"/>
        </w:rPr>
        <w:t xml:space="preserve">). Tieto námety sa zbierajú a analyzujú priebežne počas celého akademického roka a podľa závažnosti sa operatívne riešia vo vedeniach fakúlt. </w:t>
      </w:r>
    </w:p>
    <w:p w:rsidR="00E9711A" w:rsidRPr="002D7A10" w:rsidRDefault="00596775" w:rsidP="00596775">
      <w:pPr>
        <w:rPr>
          <w:rFonts w:asciiTheme="minorHAnsi" w:hAnsiTheme="minorHAnsi" w:cs="Calibri"/>
        </w:rPr>
      </w:pPr>
      <w:r w:rsidRPr="002D7A10">
        <w:rPr>
          <w:rFonts w:asciiTheme="minorHAnsi" w:hAnsiTheme="minorHAnsi" w:cs="Calibri"/>
        </w:rPr>
        <w:t>D</w:t>
      </w:r>
      <w:r w:rsidR="00E9711A" w:rsidRPr="002D7A10">
        <w:rPr>
          <w:rFonts w:asciiTheme="minorHAnsi" w:hAnsiTheme="minorHAnsi" w:cs="Calibri"/>
        </w:rPr>
        <w:t xml:space="preserve">o uvedených aktivít </w:t>
      </w:r>
      <w:r w:rsidRPr="002D7A10">
        <w:rPr>
          <w:rFonts w:asciiTheme="minorHAnsi" w:hAnsiTheme="minorHAnsi" w:cs="Calibri"/>
        </w:rPr>
        <w:t>sa môžu zapojiť</w:t>
      </w:r>
      <w:r w:rsidR="00E9711A" w:rsidRPr="002D7A10">
        <w:rPr>
          <w:rFonts w:asciiTheme="minorHAnsi" w:hAnsiTheme="minorHAnsi" w:cs="Calibri"/>
        </w:rPr>
        <w:t xml:space="preserve"> študent</w:t>
      </w:r>
      <w:r w:rsidRPr="002D7A10">
        <w:rPr>
          <w:rFonts w:asciiTheme="minorHAnsi" w:hAnsiTheme="minorHAnsi" w:cs="Calibri"/>
        </w:rPr>
        <w:t>i</w:t>
      </w:r>
      <w:r w:rsidR="00E9711A" w:rsidRPr="002D7A10">
        <w:rPr>
          <w:rFonts w:asciiTheme="minorHAnsi" w:hAnsiTheme="minorHAnsi" w:cs="Calibri"/>
        </w:rPr>
        <w:t xml:space="preserve"> na </w:t>
      </w:r>
      <w:r w:rsidRPr="002D7A10">
        <w:rPr>
          <w:rFonts w:asciiTheme="minorHAnsi" w:hAnsiTheme="minorHAnsi" w:cs="Calibri"/>
        </w:rPr>
        <w:t xml:space="preserve">všetkých troch stupňoch štúdia. </w:t>
      </w:r>
      <w:r w:rsidR="00E9711A" w:rsidRPr="002D7A10">
        <w:rPr>
          <w:rFonts w:asciiTheme="minorHAnsi" w:hAnsiTheme="minorHAnsi" w:cs="Calibri"/>
        </w:rPr>
        <w:t>Využívanie AIS na dotazníkové ankety možno hodnotiť pozitívne, hlavne z hľadiska jednoduchosti monitorovania a vyhodnocovania.</w:t>
      </w:r>
    </w:p>
    <w:p w:rsidR="00596775" w:rsidRPr="002D7A10" w:rsidRDefault="00596775" w:rsidP="00596775">
      <w:pPr>
        <w:rPr>
          <w:rFonts w:asciiTheme="minorHAnsi" w:hAnsiTheme="minorHAnsi" w:cs="Calibri"/>
        </w:rPr>
      </w:pPr>
    </w:p>
    <w:p w:rsidR="00567CE1" w:rsidRPr="002D7A10" w:rsidRDefault="00567CE1" w:rsidP="00E9711A">
      <w:pPr>
        <w:spacing w:after="120"/>
        <w:rPr>
          <w:rFonts w:asciiTheme="minorHAnsi" w:hAnsiTheme="minorHAnsi" w:cs="Calibri"/>
        </w:rPr>
      </w:pPr>
      <w:r w:rsidRPr="002D7A10">
        <w:rPr>
          <w:rFonts w:asciiTheme="minorHAnsi" w:hAnsiTheme="minorHAnsi" w:cs="Calibri"/>
        </w:rPr>
        <w:lastRenderedPageBreak/>
        <w:t>Vážnym a</w:t>
      </w:r>
      <w:r w:rsidR="00E9711A" w:rsidRPr="002D7A10">
        <w:rPr>
          <w:rFonts w:asciiTheme="minorHAnsi" w:hAnsiTheme="minorHAnsi" w:cs="Calibri"/>
        </w:rPr>
        <w:t xml:space="preserve"> dlhodobým negatívom je nízke zapojenie sa študentov do ankiet, ktor</w:t>
      </w:r>
      <w:r w:rsidRPr="002D7A10">
        <w:rPr>
          <w:rFonts w:asciiTheme="minorHAnsi" w:hAnsiTheme="minorHAnsi" w:cs="Calibri"/>
        </w:rPr>
        <w:t>é</w:t>
      </w:r>
      <w:r w:rsidR="00E9711A" w:rsidRPr="002D7A10">
        <w:rPr>
          <w:rFonts w:asciiTheme="minorHAnsi" w:hAnsiTheme="minorHAnsi" w:cs="Calibri"/>
        </w:rPr>
        <w:t xml:space="preserve"> sa na väčšine fakúlt v priemere pohybuje na úrovni 10% a to aj napriek tomu, že študenti sú na fakultách rozličným spôsobom vyzývaní na zapojenie sa do ankety. Pozitívne možno hodnotiť nárast účasti študentov na ankete na SvF </w:t>
      </w:r>
      <w:r w:rsidR="00E9711A" w:rsidRPr="002D7A10">
        <w:rPr>
          <w:rFonts w:asciiTheme="minorHAnsi" w:hAnsiTheme="minorHAnsi" w:cs="Calibri"/>
          <w:b/>
        </w:rPr>
        <w:t>(nárast zo 7% na takmer 50 % z počtu všetkých študentov SvF),</w:t>
      </w:r>
      <w:r w:rsidR="00E9711A" w:rsidRPr="002D7A10">
        <w:rPr>
          <w:rFonts w:asciiTheme="minorHAnsi" w:hAnsiTheme="minorHAnsi" w:cs="Calibri"/>
        </w:rPr>
        <w:t xml:space="preserve"> ktorý je výsledkom zavedenia viacerých motivačných opatrení, najmä zavedením informačných kampaní pred začiatkom každej ankety, v rámci ktorých sa študentom vysvetľuje význam ankiet pre zvyšovanie </w:t>
      </w:r>
      <w:r w:rsidRPr="002D7A10">
        <w:rPr>
          <w:rFonts w:asciiTheme="minorHAnsi" w:hAnsiTheme="minorHAnsi" w:cs="Calibri"/>
        </w:rPr>
        <w:t xml:space="preserve">kvality pedagogického procesu. </w:t>
      </w:r>
      <w:r w:rsidR="00E9711A" w:rsidRPr="002D7A10">
        <w:rPr>
          <w:rFonts w:asciiTheme="minorHAnsi" w:hAnsiTheme="minorHAnsi" w:cs="Calibri"/>
        </w:rPr>
        <w:t>Vysoká účasť študentov prvého a druhého stupňa štúdia na ankete</w:t>
      </w:r>
      <w:r w:rsidR="00E9711A" w:rsidRPr="002D7A10">
        <w:rPr>
          <w:rFonts w:asciiTheme="minorHAnsi" w:hAnsiTheme="minorHAnsi" w:cs="Calibri"/>
          <w:b/>
        </w:rPr>
        <w:t xml:space="preserve"> (viac ako 95 %)</w:t>
      </w:r>
      <w:r w:rsidR="00E9711A" w:rsidRPr="002D7A10">
        <w:rPr>
          <w:rFonts w:asciiTheme="minorHAnsi" w:hAnsiTheme="minorHAnsi" w:cs="Calibri"/>
        </w:rPr>
        <w:t xml:space="preserve"> je na FCHPT, kde je anketa súčasťou zápisu</w:t>
      </w:r>
      <w:r w:rsidR="00951D98" w:rsidRPr="002D7A10">
        <w:rPr>
          <w:rFonts w:asciiTheme="minorHAnsi" w:hAnsiTheme="minorHAnsi" w:cs="Calibri"/>
        </w:rPr>
        <w:t xml:space="preserve"> študentov do vyššieho ročníka.</w:t>
      </w:r>
    </w:p>
    <w:p w:rsidR="00E9711A" w:rsidRPr="002D7A10" w:rsidRDefault="00E9711A" w:rsidP="00E9711A">
      <w:pPr>
        <w:spacing w:after="120"/>
        <w:rPr>
          <w:rFonts w:asciiTheme="minorHAnsi" w:hAnsiTheme="minorHAnsi" w:cs="Calibri"/>
        </w:rPr>
      </w:pPr>
      <w:r w:rsidRPr="002D7A10">
        <w:rPr>
          <w:rFonts w:asciiTheme="minorHAnsi" w:hAnsiTheme="minorHAnsi" w:cs="Calibri"/>
        </w:rPr>
        <w:t xml:space="preserve">V tejto súvislosti treba ale spomenúť, že vyjadrovanie sa študentov ku kvalite výučby a učiteľov dotazníkovou formou, nie je ich jediná možnosť uplatniť svoj názor. Študenti majú zákonom dané zastúpenie v akademickom senáte, stretávajú sa formálne aj neformálne s riadiacimi štruktúrami vzdelávacieho procesu od garantov študijných programov až po vedenia fakúlt a univerzity. </w:t>
      </w:r>
    </w:p>
    <w:p w:rsidR="00E9711A" w:rsidRPr="002D7A10" w:rsidRDefault="00E9711A" w:rsidP="00E9711A">
      <w:pPr>
        <w:rPr>
          <w:rFonts w:asciiTheme="minorHAnsi" w:eastAsia="Times New Roman" w:hAnsiTheme="minorHAnsi" w:cs="Arial"/>
          <w:lang w:eastAsia="sk-SK"/>
        </w:rPr>
      </w:pPr>
    </w:p>
    <w:p w:rsidR="00B51749" w:rsidRPr="002D7A10" w:rsidRDefault="00B51749" w:rsidP="00B51749">
      <w:pPr>
        <w:pStyle w:val="Nadpis2"/>
        <w:rPr>
          <w:rFonts w:asciiTheme="minorHAnsi" w:hAnsiTheme="minorHAnsi"/>
          <w:color w:val="auto"/>
          <w:sz w:val="24"/>
          <w:szCs w:val="24"/>
        </w:rPr>
      </w:pPr>
      <w:bookmarkStart w:id="80" w:name="_Toc448261615"/>
      <w:r w:rsidRPr="002D7A10">
        <w:rPr>
          <w:rFonts w:asciiTheme="minorHAnsi" w:hAnsiTheme="minorHAnsi"/>
          <w:color w:val="auto"/>
          <w:sz w:val="24"/>
          <w:szCs w:val="24"/>
        </w:rPr>
        <w:t>Kvantitatívne vyhodnotenie zabezpečovania kvality vzdelávania</w:t>
      </w:r>
      <w:bookmarkEnd w:id="80"/>
    </w:p>
    <w:p w:rsidR="007303A8" w:rsidRPr="002D7A10" w:rsidRDefault="007303A8" w:rsidP="007303A8">
      <w:pPr>
        <w:spacing w:after="120"/>
        <w:rPr>
          <w:rFonts w:asciiTheme="minorHAnsi" w:hAnsiTheme="minorHAnsi" w:cs="Calibri"/>
        </w:rPr>
      </w:pPr>
      <w:r w:rsidRPr="002D7A10">
        <w:rPr>
          <w:rFonts w:asciiTheme="minorHAnsi" w:hAnsiTheme="minorHAnsi" w:cs="Calibri"/>
        </w:rPr>
        <w:t>Výsledky vzdelávacieho procesu možno hodnotiť z viacerých hľadísk. Jedno z hľadísk je posudzovanie študijných výsledkov študentov dosiahnutých v priebehu semestrov, r</w:t>
      </w:r>
      <w:r w:rsidR="00DC1D83" w:rsidRPr="002D7A10">
        <w:rPr>
          <w:rFonts w:asciiTheme="minorHAnsi" w:hAnsiTheme="minorHAnsi" w:cs="Calibri"/>
        </w:rPr>
        <w:t xml:space="preserve">esp. v danom akademickom roku. </w:t>
      </w:r>
      <w:r w:rsidRPr="002D7A10">
        <w:rPr>
          <w:rFonts w:asciiTheme="minorHAnsi" w:hAnsiTheme="minorHAnsi" w:cs="Calibri"/>
        </w:rPr>
        <w:t>Na druhej strane vysokoškolské vzdelávanie možno chápať ako proces, ktorého výsledný produkt je absolvent. Potom hodnotenie - kvalitu vzdelávania možno tiež posudzovať ako schopnosť absolventa uplatniť sa na trhu práce. Parameter, ktorým toto možno posudzovať je percento nezamestnanosti absolventov, ktoré zverejňuje Ministerstvo práce, sociálnych vecí a rodiny SR. Skutočnosť, že v ostatných rokoch STU patrí medzi univerzity s najnižším percentom nezamestnaných je potvrdením, že spoločenská prax má o našich absolventov záujem.</w:t>
      </w:r>
    </w:p>
    <w:p w:rsidR="007303A8" w:rsidRPr="00EA22C1" w:rsidRDefault="007303A8" w:rsidP="007303A8">
      <w:pPr>
        <w:spacing w:after="120"/>
        <w:rPr>
          <w:rFonts w:asciiTheme="minorHAnsi" w:hAnsiTheme="minorHAnsi" w:cs="Calibri"/>
          <w:sz w:val="20"/>
          <w:szCs w:val="20"/>
        </w:rPr>
      </w:pPr>
      <w:r w:rsidRPr="002D7A10">
        <w:rPr>
          <w:rFonts w:asciiTheme="minorHAnsi" w:hAnsiTheme="minorHAnsi" w:cs="Calibri"/>
        </w:rPr>
        <w:t xml:space="preserve">K ďalším parametrom, ktorý vyjadruje náročnosť a aj kvalitu vzdelávacieho procesu patrí % úspešnosti študentov. V tabuľke č. 12.1 a v </w:t>
      </w:r>
      <w:r w:rsidR="00DC1D83" w:rsidRPr="002D7A10">
        <w:rPr>
          <w:rFonts w:asciiTheme="minorHAnsi" w:hAnsiTheme="minorHAnsi" w:cs="Calibri"/>
        </w:rPr>
        <w:t>t</w:t>
      </w:r>
      <w:r w:rsidRPr="002D7A10">
        <w:rPr>
          <w:rFonts w:asciiTheme="minorHAnsi" w:hAnsiTheme="minorHAnsi" w:cs="Calibri"/>
        </w:rPr>
        <w:t>abuľke č. 12.2 je uvedený prehľad úspešnosti študentov na prvom a druhom stupni štúdia, ktorých štúdium začalo v jednotlivých akademických rokoch so stavom k 31.12.2015.</w:t>
      </w:r>
    </w:p>
    <w:p w:rsidR="007303A8" w:rsidRPr="00EA22C1" w:rsidRDefault="007303A8" w:rsidP="007303A8">
      <w:pPr>
        <w:rPr>
          <w:rFonts w:asciiTheme="minorHAnsi" w:eastAsia="Times New Roman" w:hAnsiTheme="minorHAnsi" w:cs="Arial"/>
          <w:b/>
          <w:iCs/>
          <w:sz w:val="20"/>
          <w:szCs w:val="20"/>
          <w:lang w:eastAsia="sk-SK"/>
        </w:rPr>
      </w:pPr>
      <w:r w:rsidRPr="00EA22C1">
        <w:rPr>
          <w:rFonts w:asciiTheme="minorHAnsi" w:eastAsia="Times New Roman" w:hAnsiTheme="minorHAnsi" w:cs="Arial"/>
          <w:b/>
          <w:iCs/>
          <w:sz w:val="20"/>
          <w:szCs w:val="20"/>
          <w:lang w:eastAsia="sk-SK"/>
        </w:rPr>
        <w:t>Tabuľka č. 12.1:  Percento úspešnosti študentov na prvom stupni štúdia</w:t>
      </w:r>
    </w:p>
    <w:tbl>
      <w:tblPr>
        <w:tblW w:w="9513" w:type="dxa"/>
        <w:tblInd w:w="55" w:type="dxa"/>
        <w:tblLayout w:type="fixed"/>
        <w:tblCellMar>
          <w:left w:w="70" w:type="dxa"/>
          <w:right w:w="70" w:type="dxa"/>
        </w:tblCellMar>
        <w:tblLook w:val="04A0" w:firstRow="1" w:lastRow="0" w:firstColumn="1" w:lastColumn="0" w:noHBand="0" w:noVBand="1"/>
      </w:tblPr>
      <w:tblGrid>
        <w:gridCol w:w="1120"/>
        <w:gridCol w:w="1305"/>
        <w:gridCol w:w="886"/>
        <w:gridCol w:w="886"/>
        <w:gridCol w:w="886"/>
        <w:gridCol w:w="886"/>
        <w:gridCol w:w="886"/>
        <w:gridCol w:w="886"/>
        <w:gridCol w:w="886"/>
        <w:gridCol w:w="886"/>
      </w:tblGrid>
      <w:tr w:rsidR="007303A8" w:rsidRPr="00EA22C1" w:rsidTr="00911364">
        <w:trPr>
          <w:trHeight w:val="20"/>
        </w:trPr>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Rok začatia štúdia</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3A8" w:rsidRPr="00EA22C1" w:rsidRDefault="007303A8" w:rsidP="00911364">
            <w:pPr>
              <w:jc w:val="cente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 xml:space="preserve">celkový počet zapísaných študentov </w:t>
            </w:r>
          </w:p>
        </w:tc>
        <w:tc>
          <w:tcPr>
            <w:tcW w:w="1772" w:type="dxa"/>
            <w:gridSpan w:val="2"/>
            <w:tcBorders>
              <w:top w:val="single" w:sz="4" w:space="0" w:color="auto"/>
              <w:left w:val="nil"/>
              <w:bottom w:val="single" w:sz="4" w:space="0" w:color="auto"/>
              <w:right w:val="single" w:sz="4" w:space="0" w:color="000000"/>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 xml:space="preserve">Riadne skončili štúdium </w:t>
            </w:r>
          </w:p>
        </w:tc>
        <w:tc>
          <w:tcPr>
            <w:tcW w:w="1772" w:type="dxa"/>
            <w:gridSpan w:val="2"/>
            <w:tcBorders>
              <w:top w:val="single" w:sz="4" w:space="0" w:color="auto"/>
              <w:left w:val="nil"/>
              <w:bottom w:val="single" w:sz="4" w:space="0" w:color="auto"/>
              <w:right w:val="single" w:sz="4" w:space="0" w:color="000000"/>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Boli vylúčení zo štúdia alebo zanechali štúdium</w:t>
            </w:r>
          </w:p>
        </w:tc>
        <w:tc>
          <w:tcPr>
            <w:tcW w:w="1772" w:type="dxa"/>
            <w:gridSpan w:val="2"/>
            <w:tcBorders>
              <w:top w:val="single" w:sz="4" w:space="0" w:color="auto"/>
              <w:left w:val="nil"/>
              <w:bottom w:val="single" w:sz="4" w:space="0" w:color="auto"/>
              <w:right w:val="single" w:sz="4" w:space="0" w:color="000000"/>
            </w:tcBorders>
            <w:shd w:val="clear" w:color="auto" w:fill="auto"/>
            <w:vAlign w:val="center"/>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zmenili študijný program</w:t>
            </w:r>
          </w:p>
        </w:tc>
        <w:tc>
          <w:tcPr>
            <w:tcW w:w="1772" w:type="dxa"/>
            <w:gridSpan w:val="2"/>
            <w:tcBorders>
              <w:top w:val="single" w:sz="4" w:space="0" w:color="auto"/>
              <w:left w:val="nil"/>
              <w:bottom w:val="single" w:sz="4" w:space="0" w:color="auto"/>
              <w:right w:val="single" w:sz="4" w:space="0" w:color="000000"/>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 xml:space="preserve">štúdium trvá, prípadne je prerušené </w:t>
            </w:r>
          </w:p>
        </w:tc>
      </w:tr>
      <w:tr w:rsidR="007303A8" w:rsidRPr="00EA22C1" w:rsidTr="00911364">
        <w:trPr>
          <w:trHeight w:val="20"/>
        </w:trPr>
        <w:tc>
          <w:tcPr>
            <w:tcW w:w="1120" w:type="dxa"/>
            <w:vMerge/>
            <w:tcBorders>
              <w:top w:val="single" w:sz="4" w:space="0" w:color="auto"/>
              <w:left w:val="single" w:sz="4" w:space="0" w:color="auto"/>
              <w:bottom w:val="single" w:sz="4" w:space="0" w:color="000000"/>
              <w:right w:val="single" w:sz="4" w:space="0" w:color="auto"/>
            </w:tcBorders>
            <w:vAlign w:val="center"/>
            <w:hideMark/>
          </w:tcPr>
          <w:p w:rsidR="007303A8" w:rsidRPr="00EA22C1" w:rsidRDefault="007303A8" w:rsidP="00911364">
            <w:pPr>
              <w:rPr>
                <w:rFonts w:asciiTheme="minorHAnsi" w:eastAsia="Times New Roman" w:hAnsiTheme="minorHAnsi" w:cs="Arial"/>
                <w:sz w:val="20"/>
                <w:szCs w:val="20"/>
                <w:lang w:eastAsia="sk-SK"/>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rsidR="007303A8" w:rsidRPr="00EA22C1" w:rsidRDefault="007303A8" w:rsidP="00911364">
            <w:pPr>
              <w:rPr>
                <w:rFonts w:asciiTheme="minorHAnsi" w:eastAsia="Times New Roman" w:hAnsiTheme="minorHAnsi" w:cs="Arial"/>
                <w:b/>
                <w:bCs/>
                <w:sz w:val="20"/>
                <w:szCs w:val="20"/>
                <w:lang w:eastAsia="sk-SK"/>
              </w:rPr>
            </w:pPr>
          </w:p>
        </w:tc>
        <w:tc>
          <w:tcPr>
            <w:tcW w:w="886" w:type="dxa"/>
            <w:tcBorders>
              <w:top w:val="nil"/>
              <w:left w:val="nil"/>
              <w:bottom w:val="single" w:sz="4" w:space="0" w:color="auto"/>
              <w:right w:val="single" w:sz="4" w:space="0" w:color="auto"/>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počet</w:t>
            </w:r>
          </w:p>
        </w:tc>
        <w:tc>
          <w:tcPr>
            <w:tcW w:w="886" w:type="dxa"/>
            <w:tcBorders>
              <w:top w:val="nil"/>
              <w:left w:val="nil"/>
              <w:bottom w:val="single" w:sz="4" w:space="0" w:color="auto"/>
              <w:right w:val="single" w:sz="4" w:space="0" w:color="auto"/>
            </w:tcBorders>
            <w:shd w:val="clear" w:color="auto" w:fill="D9D9D9" w:themeFill="background1" w:themeFillShade="D9"/>
            <w:noWrap/>
            <w:vAlign w:val="center"/>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w:t>
            </w:r>
          </w:p>
        </w:tc>
        <w:tc>
          <w:tcPr>
            <w:tcW w:w="886" w:type="dxa"/>
            <w:tcBorders>
              <w:top w:val="nil"/>
              <w:left w:val="nil"/>
              <w:bottom w:val="single" w:sz="4" w:space="0" w:color="auto"/>
              <w:right w:val="single" w:sz="4" w:space="0" w:color="auto"/>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počet</w:t>
            </w:r>
          </w:p>
        </w:tc>
        <w:tc>
          <w:tcPr>
            <w:tcW w:w="886" w:type="dxa"/>
            <w:tcBorders>
              <w:top w:val="nil"/>
              <w:left w:val="nil"/>
              <w:bottom w:val="single" w:sz="4" w:space="0" w:color="auto"/>
              <w:right w:val="single" w:sz="4" w:space="0" w:color="auto"/>
            </w:tcBorders>
            <w:shd w:val="clear" w:color="auto" w:fill="D9D9D9" w:themeFill="background1" w:themeFillShade="D9"/>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 xml:space="preserve">% </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počet</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w:t>
            </w:r>
          </w:p>
        </w:tc>
        <w:tc>
          <w:tcPr>
            <w:tcW w:w="886" w:type="dxa"/>
            <w:tcBorders>
              <w:top w:val="nil"/>
              <w:left w:val="nil"/>
              <w:bottom w:val="single" w:sz="4" w:space="0" w:color="auto"/>
              <w:right w:val="single" w:sz="4" w:space="0" w:color="auto"/>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počet</w:t>
            </w:r>
          </w:p>
        </w:tc>
        <w:tc>
          <w:tcPr>
            <w:tcW w:w="886" w:type="dxa"/>
            <w:tcBorders>
              <w:top w:val="nil"/>
              <w:left w:val="nil"/>
              <w:bottom w:val="single" w:sz="4" w:space="0" w:color="auto"/>
              <w:right w:val="single" w:sz="4" w:space="0" w:color="auto"/>
            </w:tcBorders>
            <w:shd w:val="clear" w:color="auto" w:fill="D9D9D9" w:themeFill="background1" w:themeFillShade="D9"/>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 xml:space="preserve">% </w:t>
            </w:r>
          </w:p>
        </w:tc>
      </w:tr>
      <w:tr w:rsidR="007303A8" w:rsidRPr="00EA22C1" w:rsidTr="00911364">
        <w:trPr>
          <w:trHeight w:val="2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2008/2009</w:t>
            </w:r>
          </w:p>
        </w:tc>
        <w:tc>
          <w:tcPr>
            <w:tcW w:w="1305"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4868</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1827</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38%</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2573</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53%</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464</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10%</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4</w:t>
            </w:r>
          </w:p>
        </w:tc>
        <w:tc>
          <w:tcPr>
            <w:tcW w:w="886" w:type="dxa"/>
            <w:tcBorders>
              <w:top w:val="nil"/>
              <w:left w:val="nil"/>
              <w:bottom w:val="single" w:sz="4" w:space="0" w:color="auto"/>
              <w:right w:val="single" w:sz="4" w:space="0" w:color="auto"/>
            </w:tcBorders>
            <w:shd w:val="clear" w:color="auto" w:fill="D9D9D9" w:themeFill="background1" w:themeFillShade="D9"/>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0%</w:t>
            </w:r>
          </w:p>
        </w:tc>
      </w:tr>
      <w:tr w:rsidR="007303A8" w:rsidRPr="00EA22C1" w:rsidTr="00911364">
        <w:trPr>
          <w:trHeight w:val="2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2009/2010</w:t>
            </w:r>
          </w:p>
        </w:tc>
        <w:tc>
          <w:tcPr>
            <w:tcW w:w="1305"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6178</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2642</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43%</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2867</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46%</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666</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11%</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3</w:t>
            </w:r>
          </w:p>
        </w:tc>
        <w:tc>
          <w:tcPr>
            <w:tcW w:w="886" w:type="dxa"/>
            <w:tcBorders>
              <w:top w:val="nil"/>
              <w:left w:val="nil"/>
              <w:bottom w:val="single" w:sz="4" w:space="0" w:color="auto"/>
              <w:right w:val="single" w:sz="4" w:space="0" w:color="auto"/>
            </w:tcBorders>
            <w:shd w:val="clear" w:color="auto" w:fill="D9D9D9" w:themeFill="background1" w:themeFillShade="D9"/>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0%</w:t>
            </w:r>
          </w:p>
        </w:tc>
      </w:tr>
      <w:tr w:rsidR="007303A8" w:rsidRPr="00EA22C1" w:rsidTr="00911364">
        <w:trPr>
          <w:trHeight w:val="2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2010/2011</w:t>
            </w:r>
          </w:p>
        </w:tc>
        <w:tc>
          <w:tcPr>
            <w:tcW w:w="1305"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5067</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1929</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38%</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2927</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58%</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196</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4%</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15</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0%</w:t>
            </w:r>
          </w:p>
        </w:tc>
      </w:tr>
      <w:tr w:rsidR="007303A8" w:rsidRPr="00EA22C1" w:rsidTr="00911364">
        <w:trPr>
          <w:trHeight w:val="2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2011/2012</w:t>
            </w:r>
          </w:p>
        </w:tc>
        <w:tc>
          <w:tcPr>
            <w:tcW w:w="1305"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5022</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1827</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36%</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3012</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60%</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103</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80</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w:t>
            </w:r>
          </w:p>
        </w:tc>
      </w:tr>
      <w:tr w:rsidR="007303A8" w:rsidRPr="00EA22C1" w:rsidTr="00911364">
        <w:trPr>
          <w:trHeight w:val="2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2012/2013</w:t>
            </w:r>
          </w:p>
        </w:tc>
        <w:tc>
          <w:tcPr>
            <w:tcW w:w="1305"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5292</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1403</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27%</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3179</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60%</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98</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612</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12%</w:t>
            </w:r>
          </w:p>
        </w:tc>
      </w:tr>
      <w:tr w:rsidR="007303A8" w:rsidRPr="00EA22C1" w:rsidTr="00911364">
        <w:trPr>
          <w:trHeight w:val="2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2013/2014</w:t>
            </w:r>
          </w:p>
        </w:tc>
        <w:tc>
          <w:tcPr>
            <w:tcW w:w="1305"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5165</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332</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6%</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2992</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58%</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223</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4%</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1618</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31%</w:t>
            </w:r>
          </w:p>
        </w:tc>
      </w:tr>
      <w:tr w:rsidR="007303A8" w:rsidRPr="00EA22C1" w:rsidTr="00911364">
        <w:trPr>
          <w:trHeight w:val="2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2014/2015</w:t>
            </w:r>
          </w:p>
        </w:tc>
        <w:tc>
          <w:tcPr>
            <w:tcW w:w="1305"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4543</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156</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3%</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1952</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43%</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156</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3%</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2279</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50%</w:t>
            </w:r>
          </w:p>
        </w:tc>
      </w:tr>
    </w:tbl>
    <w:p w:rsidR="007303A8" w:rsidRPr="00EA22C1" w:rsidRDefault="007303A8" w:rsidP="007303A8">
      <w:pPr>
        <w:rPr>
          <w:rFonts w:asciiTheme="minorHAnsi" w:hAnsiTheme="minorHAnsi"/>
          <w:sz w:val="20"/>
          <w:szCs w:val="20"/>
          <w:lang w:eastAsia="sk-SK"/>
        </w:rPr>
      </w:pPr>
      <w:r w:rsidRPr="00EA22C1">
        <w:rPr>
          <w:rFonts w:asciiTheme="minorHAnsi" w:hAnsiTheme="minorHAnsi"/>
          <w:sz w:val="20"/>
          <w:szCs w:val="20"/>
          <w:lang w:eastAsia="sk-SK"/>
        </w:rPr>
        <w:t>Stav k 31.12.2015</w:t>
      </w:r>
    </w:p>
    <w:p w:rsidR="007303A8" w:rsidRPr="00EA22C1" w:rsidRDefault="007303A8" w:rsidP="007303A8">
      <w:pPr>
        <w:rPr>
          <w:rFonts w:asciiTheme="minorHAnsi" w:hAnsiTheme="minorHAnsi"/>
          <w:sz w:val="20"/>
          <w:szCs w:val="20"/>
          <w:lang w:eastAsia="sk-SK"/>
        </w:rPr>
      </w:pPr>
    </w:p>
    <w:p w:rsidR="007303A8" w:rsidRPr="00EA22C1" w:rsidRDefault="007303A8" w:rsidP="007303A8">
      <w:pPr>
        <w:rPr>
          <w:rFonts w:asciiTheme="minorHAnsi" w:eastAsia="Times New Roman" w:hAnsiTheme="minorHAnsi" w:cs="Arial"/>
          <w:b/>
          <w:iCs/>
          <w:sz w:val="20"/>
          <w:szCs w:val="20"/>
          <w:lang w:eastAsia="sk-SK"/>
        </w:rPr>
      </w:pPr>
      <w:r w:rsidRPr="00EA22C1">
        <w:rPr>
          <w:rFonts w:asciiTheme="minorHAnsi" w:eastAsia="Times New Roman" w:hAnsiTheme="minorHAnsi" w:cs="Arial"/>
          <w:b/>
          <w:iCs/>
          <w:sz w:val="20"/>
          <w:szCs w:val="20"/>
          <w:lang w:eastAsia="sk-SK"/>
        </w:rPr>
        <w:t>Tabuľka č. 12.2  Percento úspešnosti študentov na druhom stupni štúdia</w:t>
      </w:r>
    </w:p>
    <w:tbl>
      <w:tblPr>
        <w:tblW w:w="9513" w:type="dxa"/>
        <w:tblInd w:w="55" w:type="dxa"/>
        <w:tblLayout w:type="fixed"/>
        <w:tblCellMar>
          <w:left w:w="70" w:type="dxa"/>
          <w:right w:w="70" w:type="dxa"/>
        </w:tblCellMar>
        <w:tblLook w:val="04A0" w:firstRow="1" w:lastRow="0" w:firstColumn="1" w:lastColumn="0" w:noHBand="0" w:noVBand="1"/>
      </w:tblPr>
      <w:tblGrid>
        <w:gridCol w:w="1149"/>
        <w:gridCol w:w="1276"/>
        <w:gridCol w:w="886"/>
        <w:gridCol w:w="886"/>
        <w:gridCol w:w="886"/>
        <w:gridCol w:w="886"/>
        <w:gridCol w:w="886"/>
        <w:gridCol w:w="886"/>
        <w:gridCol w:w="886"/>
        <w:gridCol w:w="886"/>
      </w:tblGrid>
      <w:tr w:rsidR="007303A8" w:rsidRPr="00EA22C1" w:rsidTr="00911364">
        <w:trPr>
          <w:trHeight w:val="2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Rok začatia štúdia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3A8" w:rsidRPr="00EA22C1" w:rsidRDefault="007303A8" w:rsidP="00911364">
            <w:pPr>
              <w:jc w:val="cente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 xml:space="preserve">celkový počet zapísaných študentov </w:t>
            </w:r>
          </w:p>
        </w:tc>
        <w:tc>
          <w:tcPr>
            <w:tcW w:w="1772" w:type="dxa"/>
            <w:gridSpan w:val="2"/>
            <w:tcBorders>
              <w:top w:val="single" w:sz="4" w:space="0" w:color="auto"/>
              <w:left w:val="nil"/>
              <w:bottom w:val="single" w:sz="4" w:space="0" w:color="auto"/>
              <w:right w:val="single" w:sz="4" w:space="0" w:color="000000"/>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 xml:space="preserve">Riadne skončili štúdium </w:t>
            </w:r>
          </w:p>
        </w:tc>
        <w:tc>
          <w:tcPr>
            <w:tcW w:w="1772" w:type="dxa"/>
            <w:gridSpan w:val="2"/>
            <w:tcBorders>
              <w:top w:val="single" w:sz="4" w:space="0" w:color="auto"/>
              <w:left w:val="nil"/>
              <w:bottom w:val="single" w:sz="4" w:space="0" w:color="auto"/>
              <w:right w:val="single" w:sz="4" w:space="0" w:color="000000"/>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 xml:space="preserve">Boli vylúčení zo štúdia alebo zanechali štúdium </w:t>
            </w:r>
          </w:p>
        </w:tc>
        <w:tc>
          <w:tcPr>
            <w:tcW w:w="1772" w:type="dxa"/>
            <w:gridSpan w:val="2"/>
            <w:tcBorders>
              <w:top w:val="single" w:sz="4" w:space="0" w:color="auto"/>
              <w:left w:val="nil"/>
              <w:bottom w:val="single" w:sz="4" w:space="0" w:color="auto"/>
              <w:right w:val="single" w:sz="4" w:space="0" w:color="auto"/>
            </w:tcBorders>
            <w:shd w:val="clear" w:color="auto" w:fill="auto"/>
            <w:vAlign w:val="center"/>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zmenili študijný program</w:t>
            </w:r>
          </w:p>
        </w:tc>
        <w:tc>
          <w:tcPr>
            <w:tcW w:w="1772" w:type="dxa"/>
            <w:gridSpan w:val="2"/>
            <w:tcBorders>
              <w:top w:val="single" w:sz="4" w:space="0" w:color="auto"/>
              <w:left w:val="nil"/>
              <w:bottom w:val="single" w:sz="4" w:space="0" w:color="auto"/>
              <w:right w:val="single" w:sz="4" w:space="0" w:color="000000"/>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 xml:space="preserve">štúdium trvá, prípadne je prerušené </w:t>
            </w:r>
          </w:p>
        </w:tc>
      </w:tr>
      <w:tr w:rsidR="007303A8" w:rsidRPr="00EA22C1" w:rsidTr="00911364">
        <w:trPr>
          <w:trHeight w:val="2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7303A8" w:rsidRPr="00EA22C1" w:rsidRDefault="007303A8" w:rsidP="00911364">
            <w:pPr>
              <w:rPr>
                <w:rFonts w:asciiTheme="minorHAnsi" w:eastAsia="Times New Roman" w:hAnsiTheme="minorHAnsi" w:cs="Arial"/>
                <w:sz w:val="20"/>
                <w:szCs w:val="20"/>
                <w:lang w:eastAsia="sk-SK"/>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303A8" w:rsidRPr="00EA22C1" w:rsidRDefault="007303A8" w:rsidP="00911364">
            <w:pPr>
              <w:rPr>
                <w:rFonts w:asciiTheme="minorHAnsi" w:eastAsia="Times New Roman" w:hAnsiTheme="minorHAnsi" w:cs="Arial"/>
                <w:b/>
                <w:bCs/>
                <w:sz w:val="20"/>
                <w:szCs w:val="20"/>
                <w:lang w:eastAsia="sk-SK"/>
              </w:rPr>
            </w:pPr>
          </w:p>
        </w:tc>
        <w:tc>
          <w:tcPr>
            <w:tcW w:w="886" w:type="dxa"/>
            <w:tcBorders>
              <w:top w:val="nil"/>
              <w:left w:val="nil"/>
              <w:bottom w:val="single" w:sz="4" w:space="0" w:color="auto"/>
              <w:right w:val="single" w:sz="4" w:space="0" w:color="auto"/>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počet</w:t>
            </w:r>
          </w:p>
        </w:tc>
        <w:tc>
          <w:tcPr>
            <w:tcW w:w="886" w:type="dxa"/>
            <w:tcBorders>
              <w:top w:val="nil"/>
              <w:left w:val="nil"/>
              <w:bottom w:val="single" w:sz="4" w:space="0" w:color="auto"/>
              <w:right w:val="single" w:sz="4" w:space="0" w:color="auto"/>
            </w:tcBorders>
            <w:shd w:val="clear" w:color="auto" w:fill="D9D9D9" w:themeFill="background1" w:themeFillShade="D9"/>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w:t>
            </w:r>
          </w:p>
        </w:tc>
        <w:tc>
          <w:tcPr>
            <w:tcW w:w="886" w:type="dxa"/>
            <w:tcBorders>
              <w:top w:val="nil"/>
              <w:left w:val="nil"/>
              <w:bottom w:val="single" w:sz="4" w:space="0" w:color="auto"/>
              <w:right w:val="single" w:sz="4" w:space="0" w:color="auto"/>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počet</w:t>
            </w:r>
          </w:p>
        </w:tc>
        <w:tc>
          <w:tcPr>
            <w:tcW w:w="886" w:type="dxa"/>
            <w:tcBorders>
              <w:top w:val="nil"/>
              <w:left w:val="nil"/>
              <w:bottom w:val="single" w:sz="4" w:space="0" w:color="auto"/>
              <w:right w:val="single" w:sz="4" w:space="0" w:color="auto"/>
            </w:tcBorders>
            <w:shd w:val="clear" w:color="auto" w:fill="D9D9D9" w:themeFill="background1" w:themeFillShade="D9"/>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 xml:space="preserve">% </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počet</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 xml:space="preserve">% </w:t>
            </w:r>
          </w:p>
        </w:tc>
        <w:tc>
          <w:tcPr>
            <w:tcW w:w="886" w:type="dxa"/>
            <w:tcBorders>
              <w:top w:val="nil"/>
              <w:left w:val="nil"/>
              <w:bottom w:val="single" w:sz="4" w:space="0" w:color="auto"/>
              <w:right w:val="single" w:sz="4" w:space="0" w:color="auto"/>
            </w:tcBorders>
            <w:shd w:val="clear" w:color="auto" w:fill="auto"/>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počet</w:t>
            </w:r>
          </w:p>
        </w:tc>
        <w:tc>
          <w:tcPr>
            <w:tcW w:w="886" w:type="dxa"/>
            <w:tcBorders>
              <w:top w:val="nil"/>
              <w:left w:val="nil"/>
              <w:bottom w:val="single" w:sz="4" w:space="0" w:color="auto"/>
              <w:right w:val="single" w:sz="4" w:space="0" w:color="auto"/>
            </w:tcBorders>
            <w:shd w:val="clear" w:color="auto" w:fill="D9D9D9" w:themeFill="background1" w:themeFillShade="D9"/>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 xml:space="preserve">% </w:t>
            </w:r>
          </w:p>
        </w:tc>
      </w:tr>
      <w:tr w:rsidR="007303A8" w:rsidRPr="00EA22C1" w:rsidTr="00911364">
        <w:trPr>
          <w:trHeight w:val="2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2008/2009</w:t>
            </w:r>
          </w:p>
        </w:tc>
        <w:tc>
          <w:tcPr>
            <w:tcW w:w="127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2688</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1640</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61%</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220</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8%</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827</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31%</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0%</w:t>
            </w:r>
          </w:p>
        </w:tc>
      </w:tr>
      <w:tr w:rsidR="007303A8" w:rsidRPr="00EA22C1" w:rsidTr="00911364">
        <w:trPr>
          <w:trHeight w:val="2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2009/2010</w:t>
            </w:r>
          </w:p>
        </w:tc>
        <w:tc>
          <w:tcPr>
            <w:tcW w:w="127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4226</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3089</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73%</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337</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8%</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800</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19%</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0</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0%</w:t>
            </w:r>
          </w:p>
        </w:tc>
      </w:tr>
      <w:tr w:rsidR="007303A8" w:rsidRPr="00EA22C1" w:rsidTr="00911364">
        <w:trPr>
          <w:trHeight w:val="2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2010/2011</w:t>
            </w:r>
          </w:p>
        </w:tc>
        <w:tc>
          <w:tcPr>
            <w:tcW w:w="127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2895</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2477</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86%</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322</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11%</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94</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3%</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0%</w:t>
            </w:r>
          </w:p>
        </w:tc>
      </w:tr>
      <w:tr w:rsidR="007303A8" w:rsidRPr="00EA22C1" w:rsidTr="00911364">
        <w:trPr>
          <w:trHeight w:val="2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2011/2012</w:t>
            </w:r>
          </w:p>
        </w:tc>
        <w:tc>
          <w:tcPr>
            <w:tcW w:w="127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2528</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2041</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81%</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336</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13%</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147</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6%</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4</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0%</w:t>
            </w:r>
          </w:p>
        </w:tc>
      </w:tr>
      <w:tr w:rsidR="007303A8" w:rsidRPr="00EA22C1" w:rsidTr="00911364">
        <w:trPr>
          <w:trHeight w:val="2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2012/2013</w:t>
            </w:r>
          </w:p>
        </w:tc>
        <w:tc>
          <w:tcPr>
            <w:tcW w:w="127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2405</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2119</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88%</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255</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11%</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10</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0%</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21</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w:t>
            </w:r>
          </w:p>
        </w:tc>
      </w:tr>
      <w:tr w:rsidR="007303A8" w:rsidRPr="00EA22C1" w:rsidTr="00911364">
        <w:trPr>
          <w:trHeight w:val="2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2013/2014</w:t>
            </w:r>
          </w:p>
        </w:tc>
        <w:tc>
          <w:tcPr>
            <w:tcW w:w="127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2166</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1739</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80%</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243</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11%</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9</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0%</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175</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8%</w:t>
            </w:r>
          </w:p>
        </w:tc>
      </w:tr>
      <w:tr w:rsidR="007303A8" w:rsidRPr="00EA22C1" w:rsidTr="00911364">
        <w:trPr>
          <w:trHeight w:val="2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2014/2015</w:t>
            </w:r>
          </w:p>
        </w:tc>
        <w:tc>
          <w:tcPr>
            <w:tcW w:w="127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2097</w:t>
            </w:r>
          </w:p>
        </w:tc>
        <w:tc>
          <w:tcPr>
            <w:tcW w:w="886" w:type="dxa"/>
            <w:tcBorders>
              <w:top w:val="nil"/>
              <w:left w:val="nil"/>
              <w:bottom w:val="single" w:sz="4" w:space="0" w:color="auto"/>
              <w:right w:val="single" w:sz="4" w:space="0" w:color="auto"/>
            </w:tcBorders>
            <w:shd w:val="clear" w:color="auto" w:fill="auto"/>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24</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148</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7%</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10</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0%</w:t>
            </w:r>
          </w:p>
        </w:tc>
        <w:tc>
          <w:tcPr>
            <w:tcW w:w="886" w:type="dxa"/>
            <w:tcBorders>
              <w:top w:val="nil"/>
              <w:left w:val="nil"/>
              <w:bottom w:val="single" w:sz="4" w:space="0" w:color="auto"/>
              <w:right w:val="single" w:sz="4" w:space="0" w:color="auto"/>
            </w:tcBorders>
            <w:shd w:val="clear" w:color="auto" w:fill="auto"/>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1915</w:t>
            </w:r>
          </w:p>
        </w:tc>
        <w:tc>
          <w:tcPr>
            <w:tcW w:w="886" w:type="dxa"/>
            <w:tcBorders>
              <w:top w:val="nil"/>
              <w:left w:val="nil"/>
              <w:bottom w:val="single" w:sz="4" w:space="0" w:color="auto"/>
              <w:right w:val="single" w:sz="4" w:space="0" w:color="auto"/>
            </w:tcBorders>
            <w:shd w:val="clear" w:color="auto" w:fill="D9D9D9" w:themeFill="background1" w:themeFillShade="D9"/>
            <w:noWrap/>
            <w:vAlign w:val="bottom"/>
            <w:hideMark/>
          </w:tcPr>
          <w:p w:rsidR="007303A8" w:rsidRPr="00EA22C1" w:rsidRDefault="007303A8" w:rsidP="00911364">
            <w:pPr>
              <w:jc w:val="center"/>
              <w:rPr>
                <w:rFonts w:asciiTheme="minorHAnsi" w:eastAsia="Times New Roman" w:hAnsiTheme="minorHAnsi" w:cs="Arial"/>
                <w:color w:val="000000"/>
                <w:sz w:val="20"/>
                <w:szCs w:val="20"/>
                <w:lang w:eastAsia="sk-SK"/>
              </w:rPr>
            </w:pPr>
            <w:r w:rsidRPr="00EA22C1">
              <w:rPr>
                <w:rFonts w:asciiTheme="minorHAnsi" w:eastAsia="Times New Roman" w:hAnsiTheme="minorHAnsi" w:cs="Arial"/>
                <w:color w:val="000000"/>
                <w:sz w:val="20"/>
                <w:szCs w:val="20"/>
                <w:lang w:eastAsia="sk-SK"/>
              </w:rPr>
              <w:t>91%</w:t>
            </w:r>
          </w:p>
        </w:tc>
      </w:tr>
    </w:tbl>
    <w:p w:rsidR="007303A8" w:rsidRPr="00EA22C1" w:rsidRDefault="007303A8" w:rsidP="007303A8">
      <w:pPr>
        <w:rPr>
          <w:rFonts w:asciiTheme="minorHAnsi" w:hAnsiTheme="minorHAnsi"/>
          <w:sz w:val="20"/>
          <w:szCs w:val="20"/>
          <w:lang w:eastAsia="sk-SK"/>
        </w:rPr>
      </w:pPr>
      <w:r w:rsidRPr="00EA22C1">
        <w:rPr>
          <w:rFonts w:asciiTheme="minorHAnsi" w:hAnsiTheme="minorHAnsi"/>
          <w:sz w:val="20"/>
          <w:szCs w:val="20"/>
          <w:lang w:eastAsia="sk-SK"/>
        </w:rPr>
        <w:t>Stav k 31.12.2015</w:t>
      </w:r>
    </w:p>
    <w:p w:rsidR="007303A8" w:rsidRPr="00EA22C1" w:rsidRDefault="007303A8" w:rsidP="007303A8">
      <w:pPr>
        <w:rPr>
          <w:rFonts w:asciiTheme="minorHAnsi" w:hAnsiTheme="minorHAnsi"/>
          <w:sz w:val="20"/>
          <w:szCs w:val="20"/>
          <w:lang w:eastAsia="sk-SK"/>
        </w:rPr>
      </w:pPr>
    </w:p>
    <w:p w:rsidR="007303A8" w:rsidRPr="002D7A10" w:rsidRDefault="007303A8" w:rsidP="007303A8">
      <w:pPr>
        <w:spacing w:after="120"/>
        <w:rPr>
          <w:rFonts w:asciiTheme="minorHAnsi" w:hAnsiTheme="minorHAnsi" w:cs="Calibri"/>
        </w:rPr>
      </w:pPr>
      <w:r w:rsidRPr="002D7A10">
        <w:rPr>
          <w:rFonts w:asciiTheme="minorHAnsi" w:hAnsiTheme="minorHAnsi" w:cs="Calibri"/>
        </w:rPr>
        <w:t xml:space="preserve">Je vidieť, že aj keď sú medzi fakultami podstatné rozdiely v úspešnosti študentov na prvom stupni, je potrebné riešiť tento stav systémovo na celej univerzite a preto je zvyšovanie úspešnosti študentov (hlavne prvého stupňa štúdia) jedným zo strategických cieľov STU v oblasti vzdelávania na roky 2012 – 2017. Treba ale uviesť, že úspešnosť študentov na technických univerzitách v okolitých krajinách sa pohybuje na úrovni 50%. </w:t>
      </w:r>
    </w:p>
    <w:p w:rsidR="007303A8" w:rsidRPr="002D7A10" w:rsidRDefault="007303A8" w:rsidP="007303A8">
      <w:pPr>
        <w:spacing w:after="120"/>
        <w:rPr>
          <w:rFonts w:asciiTheme="minorHAnsi" w:hAnsiTheme="minorHAnsi" w:cs="Calibri"/>
        </w:rPr>
      </w:pPr>
      <w:r w:rsidRPr="002D7A10">
        <w:rPr>
          <w:rFonts w:asciiTheme="minorHAnsi" w:hAnsiTheme="minorHAnsi" w:cs="Calibri"/>
        </w:rPr>
        <w:t xml:space="preserve">Jedným z opatrení, ktoré sa na STU darí uplatňovať je tzv. </w:t>
      </w:r>
      <w:r w:rsidRPr="002D7A10">
        <w:rPr>
          <w:rFonts w:asciiTheme="minorHAnsi" w:hAnsiTheme="minorHAnsi" w:cs="Calibri"/>
          <w:b/>
        </w:rPr>
        <w:t xml:space="preserve">študentský </w:t>
      </w:r>
      <w:proofErr w:type="spellStart"/>
      <w:r w:rsidRPr="002D7A10">
        <w:rPr>
          <w:rFonts w:asciiTheme="minorHAnsi" w:hAnsiTheme="minorHAnsi" w:cs="Calibri"/>
          <w:b/>
        </w:rPr>
        <w:t>koučing</w:t>
      </w:r>
      <w:proofErr w:type="spellEnd"/>
      <w:r w:rsidRPr="002D7A10">
        <w:rPr>
          <w:rFonts w:asciiTheme="minorHAnsi" w:hAnsiTheme="minorHAnsi" w:cs="Calibri"/>
          <w:b/>
        </w:rPr>
        <w:t xml:space="preserve"> – vzájomné podporovanie sa študentov hlavne formou doučovania</w:t>
      </w:r>
      <w:r w:rsidRPr="002D7A10">
        <w:rPr>
          <w:rFonts w:asciiTheme="minorHAnsi" w:hAnsiTheme="minorHAnsi" w:cs="Calibri"/>
        </w:rPr>
        <w:t>, do ktorého sa postupne zapojili FEI, FIIT, MTF, SvF a FCHPT.</w:t>
      </w:r>
    </w:p>
    <w:p w:rsidR="007303A8" w:rsidRPr="002D7A10" w:rsidRDefault="007303A8" w:rsidP="007303A8">
      <w:pPr>
        <w:spacing w:after="120"/>
        <w:rPr>
          <w:rFonts w:asciiTheme="minorHAnsi" w:hAnsiTheme="minorHAnsi" w:cs="Calibri"/>
        </w:rPr>
      </w:pPr>
      <w:r w:rsidRPr="002D7A10">
        <w:rPr>
          <w:rFonts w:asciiTheme="minorHAnsi" w:hAnsiTheme="minorHAnsi" w:cs="Calibri"/>
        </w:rPr>
        <w:t xml:space="preserve">Ako už bolo uvedené v inej časti správy medzi najčastejšie príčiny neúspechu študentov na prvom stupni patria: nedostatočná príprava na strednej škole na štúdium technického zamerania </w:t>
      </w:r>
      <w:r w:rsidRPr="002D7A10">
        <w:rPr>
          <w:rFonts w:asciiTheme="minorHAnsi" w:hAnsiTheme="minorHAnsi" w:cs="Calibri"/>
          <w:b/>
        </w:rPr>
        <w:t>(znižovanie rozsahu a úrovne hlavne prírodovedných predmetov)</w:t>
      </w:r>
      <w:r w:rsidRPr="002D7A10">
        <w:rPr>
          <w:rFonts w:asciiTheme="minorHAnsi" w:hAnsiTheme="minorHAnsi" w:cs="Calibri"/>
        </w:rPr>
        <w:t xml:space="preserve">, zmena prostredia a systému vzdelávania na univerzite, prenášanie predmetov a kreditov do vyšších rokov štúdia a pod. </w:t>
      </w:r>
    </w:p>
    <w:p w:rsidR="007303A8" w:rsidRPr="002D7A10" w:rsidRDefault="007303A8" w:rsidP="007303A8">
      <w:pPr>
        <w:spacing w:after="120"/>
        <w:rPr>
          <w:rFonts w:asciiTheme="minorHAnsi" w:hAnsiTheme="minorHAnsi" w:cs="Calibri"/>
        </w:rPr>
      </w:pPr>
      <w:r w:rsidRPr="002D7A10">
        <w:rPr>
          <w:rFonts w:asciiTheme="minorHAnsi" w:hAnsiTheme="minorHAnsi" w:cs="Calibri"/>
        </w:rPr>
        <w:t>Naproti tomu úspešnosť štúdia na druhom stupni je vysoká (tabuľka č. 12.2 ), dosahuje v priemere takmer 90% na celej univerzite. Je daná hlavne vyššou motiváciou študentov úspešne skončiť štúdium, bližším vzťahom študentov k študovanému študijnému programu ako aj kvalitné odborné znalosti, zručnosti a návyky získané počas prvého stupňa štúdia.</w:t>
      </w:r>
    </w:p>
    <w:p w:rsidR="007303A8" w:rsidRPr="002D7A10" w:rsidRDefault="007303A8" w:rsidP="007303A8">
      <w:pPr>
        <w:rPr>
          <w:rFonts w:asciiTheme="minorHAnsi" w:hAnsiTheme="minorHAnsi" w:cs="Calibri"/>
        </w:rPr>
      </w:pPr>
      <w:r w:rsidRPr="002D7A10">
        <w:rPr>
          <w:rFonts w:asciiTheme="minorHAnsi" w:hAnsiTheme="minorHAnsi" w:cs="Calibri"/>
        </w:rPr>
        <w:t>Zo študijných výsledkov študentov prvého stupňa štúdia, ktoré sú reprezentované váženými študijnými priemermi (tabuľka č. 12.3) je vidieť, že študenti dosahujú väčšinou priemerné študijné výsledky (vážený študijný priemer 2,00 – 2,99), pričom výsledky sa výraznejšie zlepšujú vo vyšších rokoch štúdia.</w:t>
      </w:r>
    </w:p>
    <w:p w:rsidR="007303A8" w:rsidRPr="002D7A10" w:rsidRDefault="007303A8" w:rsidP="007303A8">
      <w:pPr>
        <w:rPr>
          <w:rFonts w:asciiTheme="minorHAnsi" w:hAnsiTheme="minorHAnsi" w:cs="Calibri"/>
        </w:rPr>
      </w:pPr>
    </w:p>
    <w:p w:rsidR="007303A8" w:rsidRPr="00EA22C1" w:rsidRDefault="007303A8" w:rsidP="007303A8">
      <w:pPr>
        <w:rPr>
          <w:rFonts w:asciiTheme="minorHAnsi" w:hAnsiTheme="minorHAnsi" w:cs="Calibri"/>
          <w:b/>
          <w:sz w:val="20"/>
          <w:szCs w:val="20"/>
        </w:rPr>
      </w:pPr>
      <w:r w:rsidRPr="00EA22C1">
        <w:rPr>
          <w:rFonts w:asciiTheme="minorHAnsi" w:hAnsiTheme="minorHAnsi" w:cs="Calibri"/>
          <w:b/>
          <w:sz w:val="20"/>
          <w:szCs w:val="20"/>
        </w:rPr>
        <w:t xml:space="preserve">Tabuľka č. 12.3: Študijné výsledky na  prvom stupni štúdia v dennej forme v akad. roku 2014/2015 </w:t>
      </w:r>
    </w:p>
    <w:tbl>
      <w:tblPr>
        <w:tblW w:w="5685" w:type="dxa"/>
        <w:tblInd w:w="55" w:type="dxa"/>
        <w:tblLayout w:type="fixed"/>
        <w:tblCellMar>
          <w:left w:w="70" w:type="dxa"/>
          <w:right w:w="70" w:type="dxa"/>
        </w:tblCellMar>
        <w:tblLook w:val="04A0" w:firstRow="1" w:lastRow="0" w:firstColumn="1" w:lastColumn="0" w:noHBand="0" w:noVBand="1"/>
      </w:tblPr>
      <w:tblGrid>
        <w:gridCol w:w="960"/>
        <w:gridCol w:w="1575"/>
        <w:gridCol w:w="1575"/>
        <w:gridCol w:w="1575"/>
      </w:tblGrid>
      <w:tr w:rsidR="007303A8" w:rsidRPr="00EA22C1" w:rsidTr="00911364">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ročník</w:t>
            </w:r>
          </w:p>
        </w:tc>
        <w:tc>
          <w:tcPr>
            <w:tcW w:w="47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03A8" w:rsidRPr="00EA22C1" w:rsidRDefault="007303A8" w:rsidP="00911364">
            <w:pPr>
              <w:jc w:val="cente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vážený študijný priemer</w:t>
            </w:r>
          </w:p>
        </w:tc>
      </w:tr>
      <w:tr w:rsidR="007303A8" w:rsidRPr="00EA22C1" w:rsidTr="00911364">
        <w:trPr>
          <w:trHeight w:val="28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7303A8" w:rsidRPr="00EA22C1" w:rsidRDefault="007303A8" w:rsidP="00911364">
            <w:pPr>
              <w:rPr>
                <w:rFonts w:asciiTheme="minorHAnsi" w:eastAsia="Times New Roman" w:hAnsiTheme="minorHAnsi" w:cs="Arial"/>
                <w:b/>
                <w:bCs/>
                <w:sz w:val="20"/>
                <w:szCs w:val="20"/>
                <w:lang w:eastAsia="sk-SK"/>
              </w:rPr>
            </w:pP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VŠP 1,00-1,99</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VŠP 2,00-2,99</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VŠP 3,00-4,00</w:t>
            </w:r>
          </w:p>
        </w:tc>
      </w:tr>
      <w:tr w:rsidR="007303A8" w:rsidRPr="00EA22C1"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1. ročník</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13,26%</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31,94%</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54,80%</w:t>
            </w:r>
          </w:p>
        </w:tc>
      </w:tr>
      <w:tr w:rsidR="007303A8" w:rsidRPr="00EA22C1"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2. ročník</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22,87%</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43,42%</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33,71%</w:t>
            </w:r>
          </w:p>
        </w:tc>
      </w:tr>
      <w:tr w:rsidR="007303A8" w:rsidRPr="00EA22C1" w:rsidTr="0091136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3. ročník</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45,33%</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38,45%</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16,22%</w:t>
            </w:r>
          </w:p>
        </w:tc>
      </w:tr>
      <w:tr w:rsidR="007303A8" w:rsidRPr="00EA22C1"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4. ročník</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62,20%</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23,43%</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14,37%</w:t>
            </w:r>
          </w:p>
        </w:tc>
      </w:tr>
    </w:tbl>
    <w:p w:rsidR="007303A8" w:rsidRPr="00EA22C1" w:rsidRDefault="007303A8" w:rsidP="007303A8">
      <w:pP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Stav k 31. 8. 2015</w:t>
      </w:r>
    </w:p>
    <w:p w:rsidR="007303A8" w:rsidRPr="00EA22C1" w:rsidRDefault="007303A8" w:rsidP="007303A8">
      <w:pPr>
        <w:rPr>
          <w:rFonts w:asciiTheme="minorHAnsi" w:eastAsia="Calibri" w:hAnsiTheme="minorHAnsi" w:cs="Calibri"/>
          <w:sz w:val="20"/>
          <w:szCs w:val="20"/>
        </w:rPr>
      </w:pPr>
    </w:p>
    <w:p w:rsidR="007303A8" w:rsidRPr="002D7A10" w:rsidRDefault="007303A8" w:rsidP="007303A8">
      <w:pPr>
        <w:rPr>
          <w:rFonts w:asciiTheme="minorHAnsi" w:hAnsiTheme="minorHAnsi" w:cs="Calibri"/>
        </w:rPr>
      </w:pPr>
      <w:r w:rsidRPr="002D7A10">
        <w:rPr>
          <w:rFonts w:asciiTheme="minorHAnsi" w:hAnsiTheme="minorHAnsi" w:cs="Calibri"/>
        </w:rPr>
        <w:t>Na druhom stupni štúdia naopak väčšina študentov dosahuje lepšie študijné výsledky (vážený študijný priemer 1,00 – 1,99), čo je zrejme dané už spomínanou vyššou motiváciu a záujmom študovať (tabuľka č. 12.4)</w:t>
      </w:r>
    </w:p>
    <w:p w:rsidR="007303A8" w:rsidRPr="00EA22C1" w:rsidRDefault="007303A8" w:rsidP="007303A8">
      <w:pPr>
        <w:rPr>
          <w:rFonts w:asciiTheme="minorHAnsi" w:hAnsiTheme="minorHAnsi" w:cs="Calibri"/>
          <w:sz w:val="20"/>
          <w:szCs w:val="20"/>
        </w:rPr>
      </w:pPr>
    </w:p>
    <w:p w:rsidR="007303A8" w:rsidRPr="00EA22C1" w:rsidRDefault="007303A8" w:rsidP="007303A8">
      <w:pPr>
        <w:rPr>
          <w:rFonts w:asciiTheme="minorHAnsi" w:hAnsiTheme="minorHAnsi" w:cs="Calibri"/>
          <w:b/>
          <w:sz w:val="20"/>
          <w:szCs w:val="20"/>
        </w:rPr>
      </w:pPr>
      <w:r w:rsidRPr="00EA22C1">
        <w:rPr>
          <w:rFonts w:asciiTheme="minorHAnsi" w:hAnsiTheme="minorHAnsi" w:cs="Calibri"/>
          <w:b/>
          <w:sz w:val="20"/>
          <w:szCs w:val="20"/>
        </w:rPr>
        <w:t>Tabuľka č. 12.4: Študijné výsledky na druhom stupni štúdia v dennej forme v akad. roku 2014/2015</w:t>
      </w:r>
    </w:p>
    <w:tbl>
      <w:tblPr>
        <w:tblW w:w="5685" w:type="dxa"/>
        <w:tblInd w:w="55" w:type="dxa"/>
        <w:tblLayout w:type="fixed"/>
        <w:tblCellMar>
          <w:left w:w="70" w:type="dxa"/>
          <w:right w:w="70" w:type="dxa"/>
        </w:tblCellMar>
        <w:tblLook w:val="04A0" w:firstRow="1" w:lastRow="0" w:firstColumn="1" w:lastColumn="0" w:noHBand="0" w:noVBand="1"/>
      </w:tblPr>
      <w:tblGrid>
        <w:gridCol w:w="960"/>
        <w:gridCol w:w="1575"/>
        <w:gridCol w:w="1575"/>
        <w:gridCol w:w="1575"/>
      </w:tblGrid>
      <w:tr w:rsidR="007303A8" w:rsidRPr="00EA22C1" w:rsidTr="00911364">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ročník</w:t>
            </w:r>
          </w:p>
        </w:tc>
        <w:tc>
          <w:tcPr>
            <w:tcW w:w="47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03A8" w:rsidRPr="00EA22C1" w:rsidRDefault="007303A8" w:rsidP="00911364">
            <w:pPr>
              <w:jc w:val="cente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vážený študijný priemer</w:t>
            </w:r>
          </w:p>
        </w:tc>
      </w:tr>
      <w:tr w:rsidR="007303A8" w:rsidRPr="00EA22C1" w:rsidTr="00911364">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303A8" w:rsidRPr="00EA22C1" w:rsidRDefault="007303A8" w:rsidP="00911364">
            <w:pPr>
              <w:rPr>
                <w:rFonts w:asciiTheme="minorHAnsi" w:eastAsia="Times New Roman" w:hAnsiTheme="minorHAnsi" w:cs="Arial"/>
                <w:b/>
                <w:bCs/>
                <w:sz w:val="20"/>
                <w:szCs w:val="20"/>
                <w:lang w:eastAsia="sk-SK"/>
              </w:rPr>
            </w:pP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VŠP 1,00-1,99</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VŠP 2,00-2,99</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VŠP 3,00-4,00</w:t>
            </w:r>
          </w:p>
        </w:tc>
      </w:tr>
      <w:tr w:rsidR="007303A8" w:rsidRPr="00EA22C1"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1. ročník</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59,14%</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33,25%</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7,61%</w:t>
            </w:r>
          </w:p>
        </w:tc>
      </w:tr>
      <w:tr w:rsidR="007303A8" w:rsidRPr="00EA22C1" w:rsidTr="00911364">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2. ročník</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76,37%</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15,71%</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7,92%</w:t>
            </w:r>
          </w:p>
        </w:tc>
      </w:tr>
      <w:tr w:rsidR="007303A8" w:rsidRPr="00EA22C1" w:rsidTr="00911364">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03A8" w:rsidRPr="00EA22C1" w:rsidRDefault="007303A8" w:rsidP="00911364">
            <w:pPr>
              <w:rPr>
                <w:rFonts w:asciiTheme="minorHAnsi" w:eastAsia="Times New Roman" w:hAnsiTheme="minorHAnsi" w:cs="Arial"/>
                <w:b/>
                <w:bCs/>
                <w:sz w:val="20"/>
                <w:szCs w:val="20"/>
                <w:lang w:eastAsia="sk-SK"/>
              </w:rPr>
            </w:pPr>
            <w:r w:rsidRPr="00EA22C1">
              <w:rPr>
                <w:rFonts w:asciiTheme="minorHAnsi" w:eastAsia="Times New Roman" w:hAnsiTheme="minorHAnsi" w:cs="Arial"/>
                <w:b/>
                <w:bCs/>
                <w:sz w:val="20"/>
                <w:szCs w:val="20"/>
                <w:lang w:eastAsia="sk-SK"/>
              </w:rPr>
              <w:t>3. ročník</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0,00%</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100,00%</w:t>
            </w:r>
          </w:p>
        </w:tc>
        <w:tc>
          <w:tcPr>
            <w:tcW w:w="1575" w:type="dxa"/>
            <w:tcBorders>
              <w:top w:val="nil"/>
              <w:left w:val="nil"/>
              <w:bottom w:val="single" w:sz="4" w:space="0" w:color="auto"/>
              <w:right w:val="single" w:sz="4" w:space="0" w:color="auto"/>
            </w:tcBorders>
            <w:shd w:val="clear" w:color="auto" w:fill="auto"/>
            <w:noWrap/>
            <w:vAlign w:val="center"/>
            <w:hideMark/>
          </w:tcPr>
          <w:p w:rsidR="007303A8" w:rsidRPr="00EA22C1" w:rsidRDefault="007303A8" w:rsidP="00911364">
            <w:pPr>
              <w:jc w:val="center"/>
              <w:rPr>
                <w:rFonts w:asciiTheme="minorHAnsi" w:eastAsia="Times New Roman" w:hAnsiTheme="minorHAnsi" w:cs="Arial"/>
                <w:sz w:val="20"/>
                <w:szCs w:val="20"/>
                <w:lang w:eastAsia="sk-SK"/>
              </w:rPr>
            </w:pPr>
            <w:r w:rsidRPr="00EA22C1">
              <w:rPr>
                <w:rFonts w:asciiTheme="minorHAnsi" w:eastAsia="Times New Roman" w:hAnsiTheme="minorHAnsi" w:cs="Arial"/>
                <w:sz w:val="20"/>
                <w:szCs w:val="20"/>
                <w:lang w:eastAsia="sk-SK"/>
              </w:rPr>
              <w:t>0,00%</w:t>
            </w:r>
          </w:p>
        </w:tc>
      </w:tr>
    </w:tbl>
    <w:p w:rsidR="007303A8" w:rsidRPr="00EA22C1" w:rsidRDefault="007303A8" w:rsidP="007303A8">
      <w:pPr>
        <w:rPr>
          <w:rFonts w:asciiTheme="minorHAnsi" w:hAnsiTheme="minorHAnsi" w:cs="Calibri"/>
          <w:b/>
          <w:sz w:val="20"/>
          <w:szCs w:val="20"/>
        </w:rPr>
      </w:pPr>
      <w:r w:rsidRPr="00EA22C1">
        <w:rPr>
          <w:rFonts w:asciiTheme="minorHAnsi" w:eastAsia="Times New Roman" w:hAnsiTheme="minorHAnsi" w:cs="Arial"/>
          <w:sz w:val="20"/>
          <w:szCs w:val="20"/>
          <w:lang w:eastAsia="sk-SK"/>
        </w:rPr>
        <w:t>Stav k 31. 8. 2015</w:t>
      </w:r>
    </w:p>
    <w:p w:rsidR="007303A8" w:rsidRPr="00EA22C1" w:rsidRDefault="007303A8" w:rsidP="007303A8">
      <w:pPr>
        <w:rPr>
          <w:rFonts w:asciiTheme="minorHAnsi" w:hAnsiTheme="minorHAnsi" w:cs="Calibri"/>
          <w:sz w:val="20"/>
          <w:szCs w:val="20"/>
        </w:rPr>
      </w:pPr>
    </w:p>
    <w:p w:rsidR="00E9711A" w:rsidRPr="00EA22C1" w:rsidRDefault="00E9711A" w:rsidP="00E9711A">
      <w:pPr>
        <w:rPr>
          <w:rFonts w:asciiTheme="minorHAnsi" w:hAnsiTheme="minorHAnsi"/>
          <w:sz w:val="20"/>
          <w:szCs w:val="20"/>
          <w:lang w:eastAsia="cs-CZ"/>
        </w:rPr>
      </w:pPr>
    </w:p>
    <w:p w:rsidR="00B51749" w:rsidRPr="002D7A10" w:rsidRDefault="00B51749" w:rsidP="00B51749">
      <w:pPr>
        <w:pStyle w:val="Nadpis2"/>
        <w:rPr>
          <w:rFonts w:asciiTheme="minorHAnsi" w:hAnsiTheme="minorHAnsi"/>
          <w:color w:val="auto"/>
          <w:sz w:val="24"/>
          <w:szCs w:val="24"/>
        </w:rPr>
      </w:pPr>
      <w:bookmarkStart w:id="81" w:name="_Toc448261616"/>
      <w:r w:rsidRPr="002D7A10">
        <w:rPr>
          <w:rFonts w:asciiTheme="minorHAnsi" w:hAnsiTheme="minorHAnsi"/>
          <w:color w:val="auto"/>
          <w:sz w:val="24"/>
          <w:szCs w:val="24"/>
        </w:rPr>
        <w:t>Hodnotenie úrovne vzdelávacej činnosti na STU za akademický rok 201</w:t>
      </w:r>
      <w:r w:rsidR="00722520" w:rsidRPr="002D7A10">
        <w:rPr>
          <w:rFonts w:asciiTheme="minorHAnsi" w:hAnsiTheme="minorHAnsi"/>
          <w:color w:val="auto"/>
          <w:sz w:val="24"/>
          <w:szCs w:val="24"/>
        </w:rPr>
        <w:t>4</w:t>
      </w:r>
      <w:r w:rsidRPr="002D7A10">
        <w:rPr>
          <w:rFonts w:asciiTheme="minorHAnsi" w:hAnsiTheme="minorHAnsi"/>
          <w:color w:val="auto"/>
          <w:sz w:val="24"/>
          <w:szCs w:val="24"/>
        </w:rPr>
        <w:t>/1</w:t>
      </w:r>
      <w:r w:rsidR="00722520" w:rsidRPr="002D7A10">
        <w:rPr>
          <w:rFonts w:asciiTheme="minorHAnsi" w:hAnsiTheme="minorHAnsi"/>
          <w:color w:val="auto"/>
          <w:sz w:val="24"/>
          <w:szCs w:val="24"/>
        </w:rPr>
        <w:t>5</w:t>
      </w:r>
      <w:r w:rsidRPr="002D7A10">
        <w:rPr>
          <w:rFonts w:asciiTheme="minorHAnsi" w:hAnsiTheme="minorHAnsi"/>
          <w:color w:val="auto"/>
          <w:sz w:val="24"/>
          <w:szCs w:val="24"/>
        </w:rPr>
        <w:t xml:space="preserve"> z pohľadu Vedeckej rady STU</w:t>
      </w:r>
      <w:bookmarkEnd w:id="81"/>
    </w:p>
    <w:p w:rsidR="00B51749" w:rsidRPr="002D7A10" w:rsidRDefault="00B51749" w:rsidP="00B51749">
      <w:pPr>
        <w:rPr>
          <w:rFonts w:asciiTheme="minorHAnsi" w:hAnsiTheme="minorHAnsi"/>
          <w:lang w:eastAsia="cs-CZ"/>
        </w:rPr>
      </w:pPr>
    </w:p>
    <w:p w:rsidR="007303A8" w:rsidRPr="002D7A10" w:rsidRDefault="007303A8" w:rsidP="007303A8">
      <w:pPr>
        <w:rPr>
          <w:rFonts w:asciiTheme="minorHAnsi" w:hAnsiTheme="minorHAnsi" w:cs="Calibri"/>
        </w:rPr>
      </w:pPr>
      <w:r w:rsidRPr="002D7A10">
        <w:rPr>
          <w:rFonts w:asciiTheme="minorHAnsi" w:hAnsiTheme="minorHAnsi" w:cs="Calibri"/>
        </w:rPr>
        <w:t>Vedecká rada STU hodnotí úroveň vzdelávacej činnosti na Slovenskej technickej univerzite za akademický rok 2014/2015 nasledovne:</w:t>
      </w:r>
    </w:p>
    <w:p w:rsidR="007303A8" w:rsidRPr="002D7A10" w:rsidRDefault="007303A8" w:rsidP="00D31559">
      <w:pPr>
        <w:numPr>
          <w:ilvl w:val="0"/>
          <w:numId w:val="21"/>
        </w:numPr>
        <w:rPr>
          <w:rFonts w:asciiTheme="minorHAnsi" w:hAnsiTheme="minorHAnsi" w:cs="Calibri"/>
        </w:rPr>
      </w:pPr>
      <w:r w:rsidRPr="002D7A10">
        <w:rPr>
          <w:rFonts w:asciiTheme="minorHAnsi" w:hAnsiTheme="minorHAnsi" w:cs="Calibri"/>
        </w:rPr>
        <w:t>Všetky študijné programy sú ponúkané a realizované na STU v súlade so zákonom č.  131/2002 Z. z. o vysokých školách a o zmene a doplnení niektorých zákonov v znení neskorších predpisov.</w:t>
      </w:r>
    </w:p>
    <w:p w:rsidR="007303A8" w:rsidRPr="002D7A10" w:rsidRDefault="007303A8" w:rsidP="00D31559">
      <w:pPr>
        <w:numPr>
          <w:ilvl w:val="0"/>
          <w:numId w:val="21"/>
        </w:numPr>
        <w:rPr>
          <w:rFonts w:asciiTheme="minorHAnsi" w:hAnsiTheme="minorHAnsi" w:cs="Calibri"/>
        </w:rPr>
      </w:pPr>
      <w:r w:rsidRPr="002D7A10">
        <w:rPr>
          <w:rFonts w:asciiTheme="minorHAnsi" w:hAnsiTheme="minorHAnsi" w:cs="Calibri"/>
        </w:rPr>
        <w:t>Akreditácia študijných programov je priebežne sledovaná, vyhodnocovaná a podľa potreby aj aktualizovaná.</w:t>
      </w:r>
    </w:p>
    <w:p w:rsidR="007303A8" w:rsidRPr="002D7A10" w:rsidRDefault="007303A8" w:rsidP="00D31559">
      <w:pPr>
        <w:numPr>
          <w:ilvl w:val="0"/>
          <w:numId w:val="21"/>
        </w:numPr>
        <w:rPr>
          <w:rFonts w:asciiTheme="minorHAnsi" w:hAnsiTheme="minorHAnsi" w:cs="Calibri"/>
        </w:rPr>
      </w:pPr>
      <w:r w:rsidRPr="002D7A10">
        <w:rPr>
          <w:rFonts w:asciiTheme="minorHAnsi" w:hAnsiTheme="minorHAnsi" w:cs="Calibri"/>
        </w:rPr>
        <w:t>STU v rámci komplexnej akreditácie činností STU inovovala existujúce študijné program a zároveň pripravila nové študijné programy v súlade s požiadavkami spoločenskej praxe.</w:t>
      </w:r>
    </w:p>
    <w:p w:rsidR="007303A8" w:rsidRPr="002D7A10" w:rsidRDefault="007303A8" w:rsidP="00D31559">
      <w:pPr>
        <w:numPr>
          <w:ilvl w:val="0"/>
          <w:numId w:val="21"/>
        </w:numPr>
        <w:rPr>
          <w:rFonts w:asciiTheme="minorHAnsi" w:hAnsiTheme="minorHAnsi" w:cs="Calibri"/>
        </w:rPr>
      </w:pPr>
      <w:r w:rsidRPr="002D7A10">
        <w:rPr>
          <w:rFonts w:asciiTheme="minorHAnsi" w:hAnsiTheme="minorHAnsi" w:cs="Calibri"/>
        </w:rPr>
        <w:t xml:space="preserve">Celkové počty študentov na STU mierne klesajú; pokles je zrejmý v obidvoch formách štúdia. </w:t>
      </w:r>
    </w:p>
    <w:p w:rsidR="007303A8" w:rsidRPr="002D7A10" w:rsidRDefault="007303A8" w:rsidP="00D31559">
      <w:pPr>
        <w:numPr>
          <w:ilvl w:val="0"/>
          <w:numId w:val="21"/>
        </w:numPr>
        <w:rPr>
          <w:rFonts w:asciiTheme="minorHAnsi" w:hAnsiTheme="minorHAnsi" w:cs="Calibri"/>
        </w:rPr>
      </w:pPr>
      <w:r w:rsidRPr="002D7A10">
        <w:rPr>
          <w:rFonts w:asciiTheme="minorHAnsi" w:hAnsiTheme="minorHAnsi" w:cs="Calibri"/>
        </w:rPr>
        <w:t>Záujem o štúdium na STU na prvom stupni je stabilný napriek klesajúcemu trendu maturantov na Slovensku.</w:t>
      </w:r>
    </w:p>
    <w:p w:rsidR="007303A8" w:rsidRPr="002D7A10" w:rsidRDefault="007303A8" w:rsidP="00D31559">
      <w:pPr>
        <w:numPr>
          <w:ilvl w:val="0"/>
          <w:numId w:val="21"/>
        </w:numPr>
        <w:rPr>
          <w:rFonts w:asciiTheme="minorHAnsi" w:hAnsiTheme="minorHAnsi" w:cs="Calibri"/>
        </w:rPr>
      </w:pPr>
      <w:r w:rsidRPr="002D7A10">
        <w:rPr>
          <w:rFonts w:asciiTheme="minorHAnsi" w:hAnsiTheme="minorHAnsi" w:cs="Calibri"/>
        </w:rPr>
        <w:t>Je zrejmý výrazne celoslovenský záber STU – v priemere 4/5 študentov sú z mimo bratislavského kraja.</w:t>
      </w:r>
    </w:p>
    <w:p w:rsidR="007303A8" w:rsidRPr="002D7A10" w:rsidRDefault="007303A8" w:rsidP="00D31559">
      <w:pPr>
        <w:numPr>
          <w:ilvl w:val="0"/>
          <w:numId w:val="21"/>
        </w:numPr>
        <w:rPr>
          <w:rFonts w:asciiTheme="minorHAnsi" w:hAnsiTheme="minorHAnsi" w:cs="Calibri"/>
        </w:rPr>
      </w:pPr>
      <w:r w:rsidRPr="002D7A10">
        <w:rPr>
          <w:rFonts w:asciiTheme="minorHAnsi" w:hAnsiTheme="minorHAnsi" w:cs="Calibri"/>
        </w:rPr>
        <w:t>Je badateľný nárast študentov v oblasti medzinárodných mobilít. Počet zahraničných študentov s uceleným štúdiom na univerzite na STU je dlhodobo nízky.</w:t>
      </w:r>
    </w:p>
    <w:p w:rsidR="007303A8" w:rsidRPr="002D7A10" w:rsidRDefault="007303A8" w:rsidP="00D31559">
      <w:pPr>
        <w:numPr>
          <w:ilvl w:val="0"/>
          <w:numId w:val="21"/>
        </w:numPr>
        <w:shd w:val="clear" w:color="auto" w:fill="FFFFFF"/>
        <w:rPr>
          <w:rFonts w:asciiTheme="minorHAnsi" w:hAnsiTheme="minorHAnsi" w:cs="Calibri"/>
        </w:rPr>
      </w:pPr>
      <w:r w:rsidRPr="002D7A10">
        <w:rPr>
          <w:rFonts w:asciiTheme="minorHAnsi" w:hAnsiTheme="minorHAnsi" w:cs="Calibri"/>
        </w:rPr>
        <w:t>STU si dlhodobo udržiava veľmi dobrú pozíciu medzi vysokými školami na Slovensku z hľadiska zamestnanosti absolventov.</w:t>
      </w:r>
    </w:p>
    <w:p w:rsidR="007303A8" w:rsidRPr="002D7A10" w:rsidRDefault="007303A8" w:rsidP="00D31559">
      <w:pPr>
        <w:numPr>
          <w:ilvl w:val="0"/>
          <w:numId w:val="21"/>
        </w:numPr>
        <w:shd w:val="clear" w:color="auto" w:fill="FFFFFF"/>
        <w:rPr>
          <w:rFonts w:asciiTheme="minorHAnsi" w:hAnsiTheme="minorHAnsi" w:cs="Calibri"/>
        </w:rPr>
      </w:pPr>
      <w:r w:rsidRPr="002D7A10">
        <w:rPr>
          <w:rFonts w:asciiTheme="minorHAnsi" w:hAnsiTheme="minorHAnsi" w:cs="Calibri"/>
        </w:rPr>
        <w:t xml:space="preserve">Dlhodobo pozitívnym trendom vo vzdelávaní študentov je spolupráca s praxou, o čom svedčia mnohé ocenenia študentov STU. </w:t>
      </w:r>
    </w:p>
    <w:p w:rsidR="007303A8" w:rsidRPr="002D7A10" w:rsidRDefault="007303A8" w:rsidP="00D31559">
      <w:pPr>
        <w:numPr>
          <w:ilvl w:val="0"/>
          <w:numId w:val="21"/>
        </w:numPr>
        <w:shd w:val="clear" w:color="auto" w:fill="FFFFFF"/>
        <w:rPr>
          <w:rFonts w:asciiTheme="minorHAnsi" w:hAnsiTheme="minorHAnsi" w:cs="Calibri"/>
        </w:rPr>
      </w:pPr>
      <w:r w:rsidRPr="002D7A10">
        <w:rPr>
          <w:rFonts w:asciiTheme="minorHAnsi" w:hAnsiTheme="minorHAnsi" w:cs="Calibri"/>
        </w:rPr>
        <w:t>STU poskytuje dobr</w:t>
      </w:r>
      <w:r w:rsidR="002763B6" w:rsidRPr="002D7A10">
        <w:rPr>
          <w:rFonts w:asciiTheme="minorHAnsi" w:hAnsiTheme="minorHAnsi" w:cs="Calibri"/>
        </w:rPr>
        <w:t xml:space="preserve">ú sociálnu podporu svojim študentom </w:t>
      </w:r>
      <w:r w:rsidRPr="002D7A10">
        <w:rPr>
          <w:rFonts w:asciiTheme="minorHAnsi" w:hAnsiTheme="minorHAnsi" w:cs="Calibri"/>
        </w:rPr>
        <w:t xml:space="preserve">(hlavne </w:t>
      </w:r>
      <w:r w:rsidR="002763B6" w:rsidRPr="002D7A10">
        <w:rPr>
          <w:rFonts w:asciiTheme="minorHAnsi" w:hAnsiTheme="minorHAnsi" w:cs="Calibri"/>
        </w:rPr>
        <w:t>v rámci poskytovania štipendií, ubytovania</w:t>
      </w:r>
      <w:r w:rsidRPr="002D7A10">
        <w:rPr>
          <w:rFonts w:asciiTheme="minorHAnsi" w:hAnsiTheme="minorHAnsi" w:cs="Calibri"/>
        </w:rPr>
        <w:t xml:space="preserve"> a s</w:t>
      </w:r>
      <w:r w:rsidR="002763B6" w:rsidRPr="002D7A10">
        <w:rPr>
          <w:rFonts w:asciiTheme="minorHAnsi" w:hAnsiTheme="minorHAnsi" w:cs="Calibri"/>
        </w:rPr>
        <w:t>travovania</w:t>
      </w:r>
      <w:r w:rsidRPr="002D7A10">
        <w:rPr>
          <w:rFonts w:asciiTheme="minorHAnsi" w:hAnsiTheme="minorHAnsi" w:cs="Calibri"/>
        </w:rPr>
        <w:t xml:space="preserve">). </w:t>
      </w:r>
    </w:p>
    <w:p w:rsidR="007303A8" w:rsidRPr="002D7A10" w:rsidRDefault="007303A8" w:rsidP="00D31559">
      <w:pPr>
        <w:numPr>
          <w:ilvl w:val="0"/>
          <w:numId w:val="21"/>
        </w:numPr>
        <w:rPr>
          <w:rFonts w:asciiTheme="minorHAnsi" w:hAnsiTheme="minorHAnsi" w:cs="Calibri"/>
        </w:rPr>
      </w:pPr>
      <w:r w:rsidRPr="002D7A10">
        <w:rPr>
          <w:rFonts w:asciiTheme="minorHAnsi" w:hAnsiTheme="minorHAnsi" w:cs="Calibri"/>
        </w:rPr>
        <w:t xml:space="preserve">Oblasť celoživotného vzdelávania má na STU dlhodobo veľmi dobrú úroveň. </w:t>
      </w:r>
    </w:p>
    <w:p w:rsidR="007303A8" w:rsidRPr="002D7A10" w:rsidRDefault="007303A8" w:rsidP="007303A8">
      <w:pPr>
        <w:rPr>
          <w:rFonts w:asciiTheme="minorHAnsi" w:hAnsiTheme="minorHAnsi" w:cs="Calibri"/>
        </w:rPr>
      </w:pPr>
    </w:p>
    <w:p w:rsidR="007303A8" w:rsidRPr="002D7A10" w:rsidRDefault="007303A8" w:rsidP="007303A8">
      <w:pPr>
        <w:rPr>
          <w:rFonts w:asciiTheme="minorHAnsi" w:hAnsiTheme="minorHAnsi" w:cs="Calibri"/>
          <w:b/>
        </w:rPr>
      </w:pPr>
      <w:r w:rsidRPr="002D7A10">
        <w:rPr>
          <w:rFonts w:asciiTheme="minorHAnsi" w:hAnsiTheme="minorHAnsi" w:cs="Calibri"/>
        </w:rPr>
        <w:lastRenderedPageBreak/>
        <w:t>Záverom je možné konštatovať, že vzdelávanie na STU je obsahovo inovované výsledkami tvorivej vedeckej a umeleckej činnosti a aktuálnymi požiadavkami spoločenskej praxe. V akademickom roku 2014/2015 sa uskutočňovalo na veľmi dobrej kvalitatívnej a kvantitatívnej úrovni, ktorá bola pozitívne hod</w:t>
      </w:r>
      <w:r w:rsidR="00DC1D83" w:rsidRPr="002D7A10">
        <w:rPr>
          <w:rFonts w:asciiTheme="minorHAnsi" w:hAnsiTheme="minorHAnsi" w:cs="Calibri"/>
        </w:rPr>
        <w:t xml:space="preserve">notená aj vonkajším prostredím. </w:t>
      </w:r>
      <w:r w:rsidRPr="002D7A10">
        <w:rPr>
          <w:rFonts w:asciiTheme="minorHAnsi" w:hAnsiTheme="minorHAnsi" w:cs="Calibri"/>
        </w:rPr>
        <w:t>Slovenská technická univerzita v Bratislave si v oblasti vzdelávania plní poslanie dané jej zákonom č. 131/2002 Z. z. o vysokých školách a o zmene a doplnení niektorých zákonov v znení neskorších predpisov a formulované Dlhodobým zámerov rozvoja STU</w:t>
      </w:r>
      <w:r w:rsidR="00DC1D83" w:rsidRPr="002D7A10">
        <w:rPr>
          <w:rFonts w:asciiTheme="minorHAnsi" w:hAnsiTheme="minorHAnsi" w:cs="Calibri"/>
        </w:rPr>
        <w:t>.</w:t>
      </w:r>
    </w:p>
    <w:p w:rsidR="007303A8" w:rsidRPr="002D7A10" w:rsidRDefault="007303A8" w:rsidP="007303A8">
      <w:pPr>
        <w:rPr>
          <w:rFonts w:asciiTheme="minorHAnsi" w:hAnsiTheme="minorHAnsi" w:cs="Calibri"/>
        </w:rPr>
      </w:pPr>
    </w:p>
    <w:p w:rsidR="007303A8" w:rsidRPr="002D7A10" w:rsidRDefault="007303A8" w:rsidP="00B51749">
      <w:pPr>
        <w:rPr>
          <w:rFonts w:asciiTheme="minorHAnsi" w:hAnsiTheme="minorHAnsi"/>
          <w:lang w:eastAsia="cs-CZ"/>
        </w:rPr>
      </w:pPr>
    </w:p>
    <w:p w:rsidR="00B51749" w:rsidRPr="002D7A10" w:rsidRDefault="00B51749" w:rsidP="00B51749">
      <w:pPr>
        <w:rPr>
          <w:rFonts w:asciiTheme="minorHAnsi" w:hAnsiTheme="minorHAnsi"/>
          <w:b/>
          <w:color w:val="FF0000"/>
        </w:rPr>
      </w:pPr>
    </w:p>
    <w:p w:rsidR="00B51749" w:rsidRPr="00867A0E" w:rsidRDefault="00B51749" w:rsidP="00B51749">
      <w:pPr>
        <w:pStyle w:val="Nadpis2"/>
        <w:numPr>
          <w:ilvl w:val="0"/>
          <w:numId w:val="0"/>
        </w:numPr>
        <w:ind w:left="576" w:hanging="576"/>
        <w:jc w:val="left"/>
        <w:rPr>
          <w:rFonts w:asciiTheme="minorHAnsi" w:hAnsiTheme="minorHAnsi"/>
          <w:sz w:val="24"/>
          <w:szCs w:val="24"/>
        </w:rPr>
      </w:pPr>
      <w:bookmarkStart w:id="82" w:name="_Toc448261617"/>
      <w:r w:rsidRPr="00867A0E">
        <w:rPr>
          <w:rFonts w:asciiTheme="minorHAnsi" w:hAnsiTheme="minorHAnsi"/>
          <w:color w:val="auto"/>
          <w:sz w:val="24"/>
          <w:szCs w:val="24"/>
        </w:rPr>
        <w:t>1</w:t>
      </w:r>
      <w:r w:rsidR="00EA22C1" w:rsidRPr="00867A0E">
        <w:rPr>
          <w:rFonts w:asciiTheme="minorHAnsi" w:hAnsiTheme="minorHAnsi"/>
          <w:color w:val="auto"/>
          <w:sz w:val="24"/>
          <w:szCs w:val="24"/>
        </w:rPr>
        <w:t>2</w:t>
      </w:r>
      <w:r w:rsidRPr="00867A0E">
        <w:rPr>
          <w:rFonts w:asciiTheme="minorHAnsi" w:hAnsiTheme="minorHAnsi"/>
          <w:color w:val="auto"/>
          <w:sz w:val="24"/>
          <w:szCs w:val="24"/>
        </w:rPr>
        <w:t xml:space="preserve">.5. </w:t>
      </w:r>
      <w:r w:rsidRPr="00867A0E">
        <w:rPr>
          <w:rFonts w:asciiTheme="minorHAnsi" w:hAnsiTheme="minorHAnsi"/>
          <w:sz w:val="24"/>
          <w:szCs w:val="24"/>
        </w:rPr>
        <w:t>Hodnotenie úrovne vedeckovýskumnej a umeleckej činnosti na STU za rok 201</w:t>
      </w:r>
      <w:r w:rsidR="00867A0E" w:rsidRPr="00867A0E">
        <w:rPr>
          <w:rFonts w:asciiTheme="minorHAnsi" w:hAnsiTheme="minorHAnsi"/>
          <w:sz w:val="24"/>
          <w:szCs w:val="24"/>
        </w:rPr>
        <w:t>5</w:t>
      </w:r>
      <w:r w:rsidRPr="00867A0E">
        <w:rPr>
          <w:rFonts w:asciiTheme="minorHAnsi" w:hAnsiTheme="minorHAnsi"/>
          <w:sz w:val="24"/>
          <w:szCs w:val="24"/>
        </w:rPr>
        <w:t xml:space="preserve"> z pohľadu Vedeckej rady STU</w:t>
      </w:r>
      <w:bookmarkEnd w:id="82"/>
      <w:r w:rsidRPr="00867A0E">
        <w:rPr>
          <w:rFonts w:asciiTheme="minorHAnsi" w:hAnsiTheme="minorHAnsi"/>
          <w:sz w:val="24"/>
          <w:szCs w:val="24"/>
        </w:rPr>
        <w:t xml:space="preserve"> </w:t>
      </w:r>
    </w:p>
    <w:p w:rsidR="00867A0E" w:rsidRPr="00867A0E" w:rsidRDefault="00867A0E" w:rsidP="00867A0E">
      <w:pPr>
        <w:rPr>
          <w:rFonts w:asciiTheme="minorHAnsi" w:hAnsiTheme="minorHAnsi"/>
          <w:lang w:eastAsia="cs-CZ"/>
        </w:rPr>
      </w:pPr>
    </w:p>
    <w:p w:rsidR="00867A0E" w:rsidRPr="00867A0E" w:rsidRDefault="00867A0E" w:rsidP="00867A0E">
      <w:pPr>
        <w:rPr>
          <w:rFonts w:asciiTheme="minorHAnsi" w:eastAsia="Times New Roman" w:hAnsiTheme="minorHAnsi" w:cs="Arial"/>
          <w:lang w:eastAsia="sk-SK"/>
        </w:rPr>
      </w:pPr>
      <w:r w:rsidRPr="00867A0E">
        <w:rPr>
          <w:rFonts w:asciiTheme="minorHAnsi" w:eastAsia="Times New Roman" w:hAnsiTheme="minorHAnsi" w:cs="Arial"/>
          <w:lang w:eastAsia="sk-SK"/>
        </w:rPr>
        <w:t xml:space="preserve">Vedecká rada STU sa na svojom zasadnutí 23.03.2016 oboznámila so správou o vedeckovýskumnej a umeleckej činnosti STU za rok 2015, prerokovala ju a v zmysle § 12 </w:t>
      </w:r>
      <w:proofErr w:type="spellStart"/>
      <w:r w:rsidRPr="00867A0E">
        <w:rPr>
          <w:rFonts w:asciiTheme="minorHAnsi" w:eastAsia="Times New Roman" w:hAnsiTheme="minorHAnsi" w:cs="Arial"/>
          <w:lang w:eastAsia="sk-SK"/>
        </w:rPr>
        <w:t>odst</w:t>
      </w:r>
      <w:proofErr w:type="spellEnd"/>
      <w:r w:rsidRPr="00867A0E">
        <w:rPr>
          <w:rFonts w:asciiTheme="minorHAnsi" w:eastAsia="Times New Roman" w:hAnsiTheme="minorHAnsi" w:cs="Arial"/>
          <w:lang w:eastAsia="sk-SK"/>
        </w:rPr>
        <w:t>. (1) písm. b) Zákona č. 131/2002 Z. z. v platnom znení hodnotí úroveň Slovenskej technickej univerzity v oblasti vedy, techniky a umenia nasledovne:</w:t>
      </w:r>
    </w:p>
    <w:p w:rsidR="00867A0E" w:rsidRPr="00867A0E" w:rsidRDefault="00867A0E" w:rsidP="00867A0E">
      <w:pPr>
        <w:pStyle w:val="Odsekzoznamu"/>
        <w:numPr>
          <w:ilvl w:val="0"/>
          <w:numId w:val="8"/>
        </w:numPr>
        <w:spacing w:after="0" w:line="240" w:lineRule="auto"/>
        <w:rPr>
          <w:rFonts w:asciiTheme="minorHAnsi" w:eastAsia="Times New Roman" w:hAnsiTheme="minorHAnsi" w:cs="Arial"/>
          <w:sz w:val="24"/>
          <w:szCs w:val="24"/>
          <w:lang w:eastAsia="sk-SK"/>
        </w:rPr>
      </w:pPr>
      <w:r w:rsidRPr="00867A0E">
        <w:rPr>
          <w:rFonts w:asciiTheme="minorHAnsi" w:eastAsia="Times New Roman" w:hAnsiTheme="minorHAnsi" w:cs="Arial"/>
          <w:sz w:val="24"/>
          <w:szCs w:val="24"/>
          <w:lang w:eastAsia="sk-SK"/>
        </w:rPr>
        <w:t>Vedecká rada Slovenskej technickej univerzity v Bratislave hodnotí pozitívne úroveň činnosti STU v oblasti vedy, techniky a umenia v roku 2015.</w:t>
      </w:r>
    </w:p>
    <w:p w:rsidR="00867A0E" w:rsidRPr="00867A0E" w:rsidRDefault="00867A0E" w:rsidP="00867A0E">
      <w:pPr>
        <w:pStyle w:val="Odsekzoznamu"/>
        <w:numPr>
          <w:ilvl w:val="0"/>
          <w:numId w:val="8"/>
        </w:numPr>
        <w:spacing w:after="0" w:line="240" w:lineRule="auto"/>
        <w:rPr>
          <w:rFonts w:asciiTheme="minorHAnsi" w:eastAsia="Times New Roman" w:hAnsiTheme="minorHAnsi" w:cs="Arial"/>
          <w:sz w:val="24"/>
          <w:szCs w:val="24"/>
          <w:lang w:eastAsia="sk-SK"/>
        </w:rPr>
      </w:pPr>
      <w:r w:rsidRPr="00867A0E">
        <w:rPr>
          <w:rFonts w:asciiTheme="minorHAnsi" w:eastAsia="Times New Roman" w:hAnsiTheme="minorHAnsi" w:cs="Arial"/>
          <w:sz w:val="24"/>
          <w:szCs w:val="24"/>
          <w:lang w:eastAsia="sk-SK"/>
        </w:rPr>
        <w:t>Aj v roku 2015 si univerzita svojimi kvalitnými výsledkami prehlbovala svoju profiláciu výskumnej univerzity. Vynikajúce výkony v oblasti vedy a techniky a umenia dosahovala vo viacerých vyhodnocovaných ukazovateľoch, predovšetkým v oblasti úspešnosti pri získavaní financovania vedeckých projektov a publikovaní v prestížnych vedeckých časopisoch. STU si vybudovala v uplynulom roku  dominantné postavenie medzi slovenskými verejnými vysokými školami v počte  publikácií evidovanými v databáze SCOPUS (25%) a v získavaní finančných prostriedkov v rámci podnikateľskej činnosti (65 %).</w:t>
      </w:r>
    </w:p>
    <w:p w:rsidR="00867A0E" w:rsidRPr="00867A0E" w:rsidRDefault="00867A0E" w:rsidP="00867A0E">
      <w:pPr>
        <w:pStyle w:val="Odsekzoznamu"/>
        <w:numPr>
          <w:ilvl w:val="0"/>
          <w:numId w:val="8"/>
        </w:numPr>
        <w:spacing w:after="0" w:line="240" w:lineRule="auto"/>
        <w:rPr>
          <w:rFonts w:asciiTheme="minorHAnsi" w:eastAsia="Times New Roman" w:hAnsiTheme="minorHAnsi" w:cs="Arial"/>
          <w:sz w:val="24"/>
          <w:szCs w:val="24"/>
          <w:lang w:eastAsia="sk-SK"/>
        </w:rPr>
      </w:pPr>
      <w:r w:rsidRPr="00867A0E">
        <w:rPr>
          <w:rFonts w:asciiTheme="minorHAnsi" w:eastAsia="Times New Roman" w:hAnsiTheme="minorHAnsi" w:cs="Arial"/>
          <w:sz w:val="24"/>
          <w:szCs w:val="24"/>
          <w:lang w:eastAsia="sk-SK"/>
        </w:rPr>
        <w:t>Vedecká rada osobitne vysoko hodnotí prístup STU k využívaniu štrukturálnych fondov EÚ pre oblasť posilňovania infraštruktúry výskumu a vývoja v objeme takmer 80 mil. € najmä pri budovaní univerzitného vedeckého parku.</w:t>
      </w:r>
    </w:p>
    <w:p w:rsidR="00867A0E" w:rsidRPr="00867A0E" w:rsidRDefault="00867A0E" w:rsidP="00867A0E">
      <w:pPr>
        <w:pStyle w:val="Odsekzoznamu"/>
        <w:numPr>
          <w:ilvl w:val="0"/>
          <w:numId w:val="8"/>
        </w:numPr>
        <w:spacing w:after="0" w:line="240" w:lineRule="auto"/>
        <w:rPr>
          <w:rFonts w:asciiTheme="minorHAnsi" w:eastAsia="Times New Roman" w:hAnsiTheme="minorHAnsi" w:cs="Arial"/>
          <w:sz w:val="24"/>
          <w:szCs w:val="24"/>
          <w:lang w:eastAsia="sk-SK"/>
        </w:rPr>
      </w:pPr>
      <w:r w:rsidRPr="00867A0E">
        <w:rPr>
          <w:rFonts w:asciiTheme="minorHAnsi" w:eastAsia="Times New Roman" w:hAnsiTheme="minorHAnsi" w:cs="Arial"/>
          <w:sz w:val="24"/>
          <w:szCs w:val="24"/>
          <w:lang w:eastAsia="sk-SK"/>
        </w:rPr>
        <w:t>Za významný úspech STU považuje Vedecká rada masívne zapojenie sa pracovníkov STU do riešenia výskumných projektov v rámci výziev HORIZONT 2020 (110 žiadostí,  10 úspešných a 30 nad prahom bodového hodnotenia ale nefinancované).</w:t>
      </w:r>
    </w:p>
    <w:p w:rsidR="00867A0E" w:rsidRDefault="00867A0E" w:rsidP="00867A0E">
      <w:pPr>
        <w:pStyle w:val="Odsekzoznamu"/>
        <w:numPr>
          <w:ilvl w:val="0"/>
          <w:numId w:val="8"/>
        </w:numPr>
        <w:spacing w:after="0" w:line="240" w:lineRule="auto"/>
        <w:rPr>
          <w:rFonts w:asciiTheme="minorHAnsi" w:eastAsia="Times New Roman" w:hAnsiTheme="minorHAnsi" w:cs="Arial"/>
          <w:sz w:val="24"/>
          <w:szCs w:val="24"/>
          <w:lang w:eastAsia="sk-SK"/>
        </w:rPr>
      </w:pPr>
      <w:r w:rsidRPr="00867A0E">
        <w:rPr>
          <w:rFonts w:asciiTheme="minorHAnsi" w:eastAsia="Times New Roman" w:hAnsiTheme="minorHAnsi" w:cs="Arial"/>
          <w:sz w:val="24"/>
          <w:szCs w:val="24"/>
          <w:lang w:eastAsia="sk-SK"/>
        </w:rPr>
        <w:t>Vedecká rada oceňuje cieľavedomý prístup univerzity v motivovaní pracovníkov s cieľom zvýšiť kvantitu ale aj kvalitu vedecko-výskumných a umeleckých výstupov. Zvláštny zreteľ kladie STU na podporu mladých výskumníkov pridelením 110 grantov a 12 pokračujúcich grantov.</w:t>
      </w:r>
    </w:p>
    <w:p w:rsidR="00867A0E" w:rsidRPr="00867A0E" w:rsidRDefault="00867A0E" w:rsidP="00867A0E">
      <w:pPr>
        <w:pStyle w:val="Odsekzoznamu"/>
        <w:numPr>
          <w:ilvl w:val="0"/>
          <w:numId w:val="8"/>
        </w:numPr>
        <w:spacing w:after="0" w:line="240" w:lineRule="auto"/>
        <w:rPr>
          <w:rFonts w:asciiTheme="minorHAnsi" w:eastAsia="Times New Roman" w:hAnsiTheme="minorHAnsi" w:cs="Arial"/>
          <w:sz w:val="24"/>
          <w:szCs w:val="24"/>
          <w:lang w:eastAsia="sk-SK"/>
        </w:rPr>
      </w:pPr>
      <w:r w:rsidRPr="00867A0E">
        <w:rPr>
          <w:rFonts w:asciiTheme="minorHAnsi" w:eastAsia="Times New Roman" w:hAnsiTheme="minorHAnsi" w:cs="Arial"/>
          <w:sz w:val="24"/>
          <w:szCs w:val="24"/>
          <w:lang w:eastAsia="sk-SK"/>
        </w:rPr>
        <w:lastRenderedPageBreak/>
        <w:t>Vedecká rada oceňuje aktivity STU v smere ochrany duševného vlastníctva v oblasti patentovej politiky (</w:t>
      </w:r>
      <w:r w:rsidRPr="00867A0E">
        <w:rPr>
          <w:rFonts w:asciiTheme="minorHAnsi" w:hAnsiTheme="minorHAnsi"/>
          <w:sz w:val="24"/>
          <w:szCs w:val="24"/>
        </w:rPr>
        <w:t>7 patentových prihlášok, 15 prihlášok úžitkových vzorov, 2 medzinárodné prihlášky a 1 Európska patentová prihláška</w:t>
      </w:r>
      <w:r w:rsidRPr="00867A0E">
        <w:rPr>
          <w:rFonts w:asciiTheme="minorHAnsi" w:eastAsia="Times New Roman" w:hAnsiTheme="minorHAnsi" w:cs="Arial"/>
          <w:sz w:val="24"/>
          <w:szCs w:val="24"/>
          <w:lang w:eastAsia="sk-SK"/>
        </w:rPr>
        <w:t>).</w:t>
      </w:r>
    </w:p>
    <w:p w:rsidR="00867A0E" w:rsidRPr="00867A0E" w:rsidRDefault="00867A0E" w:rsidP="00867A0E">
      <w:pPr>
        <w:rPr>
          <w:rFonts w:asciiTheme="minorHAnsi" w:eastAsia="Times New Roman" w:hAnsiTheme="minorHAnsi" w:cs="Arial"/>
          <w:lang w:eastAsia="sk-SK"/>
        </w:rPr>
      </w:pPr>
    </w:p>
    <w:p w:rsidR="00B51749" w:rsidRDefault="00B51749" w:rsidP="00B51749">
      <w:pPr>
        <w:rPr>
          <w:rFonts w:asciiTheme="minorHAnsi" w:hAnsiTheme="minorHAnsi"/>
        </w:rPr>
      </w:pPr>
    </w:p>
    <w:p w:rsidR="00867A0E" w:rsidRPr="00867A0E" w:rsidRDefault="00867A0E" w:rsidP="00B51749">
      <w:pPr>
        <w:rPr>
          <w:rFonts w:asciiTheme="minorHAnsi" w:hAnsiTheme="minorHAnsi"/>
        </w:rPr>
      </w:pPr>
    </w:p>
    <w:p w:rsidR="00B51749" w:rsidRPr="002D7A10" w:rsidRDefault="00B51749" w:rsidP="00B51749">
      <w:pPr>
        <w:pStyle w:val="Nadpis1"/>
        <w:rPr>
          <w:rFonts w:asciiTheme="minorHAnsi" w:hAnsiTheme="minorHAnsi"/>
          <w:color w:val="auto"/>
          <w:sz w:val="24"/>
          <w:szCs w:val="24"/>
        </w:rPr>
      </w:pPr>
      <w:bookmarkStart w:id="83" w:name="_Toc448261618"/>
      <w:r w:rsidRPr="00867A0E">
        <w:rPr>
          <w:rFonts w:asciiTheme="minorHAnsi" w:hAnsiTheme="minorHAnsi"/>
          <w:color w:val="auto"/>
          <w:sz w:val="24"/>
          <w:szCs w:val="24"/>
        </w:rPr>
        <w:t>Kontaktné</w:t>
      </w:r>
      <w:r w:rsidRPr="002D7A10">
        <w:rPr>
          <w:rFonts w:asciiTheme="minorHAnsi" w:hAnsiTheme="minorHAnsi"/>
          <w:color w:val="auto"/>
          <w:sz w:val="24"/>
          <w:szCs w:val="24"/>
        </w:rPr>
        <w:t xml:space="preserve"> údaje</w:t>
      </w:r>
      <w:bookmarkEnd w:id="83"/>
    </w:p>
    <w:p w:rsidR="00B51749" w:rsidRPr="002D7A10" w:rsidRDefault="00B51749" w:rsidP="00B51749">
      <w:pPr>
        <w:rPr>
          <w:rFonts w:asciiTheme="minorHAnsi" w:hAnsiTheme="minorHAnsi"/>
        </w:rPr>
      </w:pPr>
    </w:p>
    <w:p w:rsidR="00B51749" w:rsidRPr="002D7A10" w:rsidRDefault="00B51749" w:rsidP="00B51749">
      <w:pPr>
        <w:rPr>
          <w:rFonts w:asciiTheme="minorHAnsi" w:hAnsiTheme="minorHAnsi"/>
        </w:rPr>
      </w:pPr>
      <w:r w:rsidRPr="002D7A10">
        <w:rPr>
          <w:rFonts w:asciiTheme="minorHAnsi" w:hAnsiTheme="minorHAnsi"/>
        </w:rPr>
        <w:t xml:space="preserve">Slovenská technická univerzita v Bratislave </w:t>
      </w:r>
    </w:p>
    <w:p w:rsidR="00B51749" w:rsidRPr="002D7A10" w:rsidRDefault="00B51749" w:rsidP="00B51749">
      <w:pPr>
        <w:rPr>
          <w:rFonts w:asciiTheme="minorHAnsi" w:hAnsiTheme="minorHAnsi"/>
        </w:rPr>
      </w:pPr>
      <w:r w:rsidRPr="002D7A10">
        <w:rPr>
          <w:rFonts w:asciiTheme="minorHAnsi" w:hAnsiTheme="minorHAnsi"/>
        </w:rPr>
        <w:t>Rektorát</w:t>
      </w:r>
    </w:p>
    <w:p w:rsidR="00B51749" w:rsidRPr="002D7A10" w:rsidRDefault="00B51749" w:rsidP="00B51749">
      <w:pPr>
        <w:rPr>
          <w:rFonts w:asciiTheme="minorHAnsi" w:hAnsiTheme="minorHAnsi"/>
        </w:rPr>
      </w:pPr>
      <w:proofErr w:type="spellStart"/>
      <w:r w:rsidRPr="002D7A10">
        <w:rPr>
          <w:rFonts w:asciiTheme="minorHAnsi" w:hAnsiTheme="minorHAnsi"/>
        </w:rPr>
        <w:t>Vazovova</w:t>
      </w:r>
      <w:proofErr w:type="spellEnd"/>
      <w:r w:rsidRPr="002D7A10">
        <w:rPr>
          <w:rFonts w:asciiTheme="minorHAnsi" w:hAnsiTheme="minorHAnsi"/>
        </w:rPr>
        <w:t xml:space="preserve"> 5</w:t>
      </w:r>
    </w:p>
    <w:p w:rsidR="00B51749" w:rsidRPr="002D7A10" w:rsidRDefault="00B51749" w:rsidP="00B51749">
      <w:pPr>
        <w:rPr>
          <w:rFonts w:asciiTheme="minorHAnsi" w:hAnsiTheme="minorHAnsi"/>
        </w:rPr>
      </w:pPr>
      <w:r w:rsidRPr="002D7A10">
        <w:rPr>
          <w:rFonts w:asciiTheme="minorHAnsi" w:hAnsiTheme="minorHAnsi"/>
        </w:rPr>
        <w:t>812 43 Bratislava 1</w:t>
      </w:r>
    </w:p>
    <w:p w:rsidR="00B51749" w:rsidRPr="002D7A10" w:rsidRDefault="00B51749" w:rsidP="00B51749">
      <w:pPr>
        <w:rPr>
          <w:rFonts w:asciiTheme="minorHAnsi" w:hAnsiTheme="minorHAnsi"/>
        </w:rPr>
      </w:pPr>
      <w:r w:rsidRPr="002D7A10">
        <w:rPr>
          <w:rFonts w:asciiTheme="minorHAnsi" w:hAnsiTheme="minorHAnsi"/>
          <w:bCs/>
        </w:rPr>
        <w:t>Tel.:</w:t>
      </w:r>
      <w:r w:rsidRPr="002D7A10">
        <w:rPr>
          <w:rFonts w:asciiTheme="minorHAnsi" w:hAnsiTheme="minorHAnsi"/>
        </w:rPr>
        <w:t xml:space="preserve"> 02/5249 7196</w:t>
      </w:r>
    </w:p>
    <w:p w:rsidR="00B51749" w:rsidRPr="002D7A10" w:rsidRDefault="00B51749" w:rsidP="00B51749">
      <w:pPr>
        <w:rPr>
          <w:rFonts w:asciiTheme="minorHAnsi" w:hAnsiTheme="minorHAnsi"/>
        </w:rPr>
      </w:pPr>
      <w:r w:rsidRPr="002D7A10">
        <w:rPr>
          <w:rFonts w:asciiTheme="minorHAnsi" w:hAnsiTheme="minorHAnsi"/>
        </w:rPr>
        <w:t xml:space="preserve">0918 669 118 </w:t>
      </w:r>
    </w:p>
    <w:p w:rsidR="00B51749" w:rsidRPr="002D7A10" w:rsidRDefault="00B51749" w:rsidP="00B51749">
      <w:pPr>
        <w:rPr>
          <w:rFonts w:asciiTheme="minorHAnsi" w:hAnsiTheme="minorHAnsi"/>
        </w:rPr>
      </w:pPr>
      <w:r w:rsidRPr="002D7A10">
        <w:rPr>
          <w:rFonts w:asciiTheme="minorHAnsi" w:hAnsiTheme="minorHAnsi"/>
          <w:bCs/>
        </w:rPr>
        <w:t>Fax:</w:t>
      </w:r>
      <w:r w:rsidRPr="002D7A10">
        <w:rPr>
          <w:rFonts w:asciiTheme="minorHAnsi" w:hAnsiTheme="minorHAnsi"/>
        </w:rPr>
        <w:t xml:space="preserve"> 02/5249 9384 </w:t>
      </w:r>
    </w:p>
    <w:p w:rsidR="00B51749" w:rsidRPr="002D7A10" w:rsidRDefault="00B51749" w:rsidP="00B51749">
      <w:pPr>
        <w:rPr>
          <w:rFonts w:asciiTheme="minorHAnsi" w:hAnsiTheme="minorHAnsi"/>
        </w:rPr>
      </w:pPr>
      <w:r w:rsidRPr="002D7A10">
        <w:rPr>
          <w:rFonts w:asciiTheme="minorHAnsi" w:hAnsiTheme="minorHAnsi"/>
          <w:bCs/>
        </w:rPr>
        <w:t xml:space="preserve">E-mail: </w:t>
      </w:r>
      <w:hyperlink r:id="rId73" w:history="1">
        <w:r w:rsidRPr="002D7A10">
          <w:rPr>
            <w:rStyle w:val="Hypertextovprepojenie"/>
            <w:rFonts w:asciiTheme="minorHAnsi" w:hAnsiTheme="minorHAnsi"/>
            <w:color w:val="auto"/>
          </w:rPr>
          <w:t>rector@stuba.sk</w:t>
        </w:r>
      </w:hyperlink>
    </w:p>
    <w:p w:rsidR="00B51749" w:rsidRPr="002D7A10" w:rsidRDefault="00B51749" w:rsidP="00B51749">
      <w:pPr>
        <w:rPr>
          <w:rStyle w:val="Hypertextovprepojenie"/>
          <w:rFonts w:asciiTheme="minorHAnsi" w:hAnsiTheme="minorHAnsi"/>
          <w:color w:val="auto"/>
        </w:rPr>
      </w:pPr>
      <w:r w:rsidRPr="002D7A10">
        <w:rPr>
          <w:rFonts w:asciiTheme="minorHAnsi" w:hAnsiTheme="minorHAnsi"/>
        </w:rPr>
        <w:t xml:space="preserve">Web: </w:t>
      </w:r>
      <w:hyperlink r:id="rId74" w:history="1">
        <w:r w:rsidRPr="002D7A10">
          <w:rPr>
            <w:rStyle w:val="Hypertextovprepojenie"/>
            <w:rFonts w:asciiTheme="minorHAnsi" w:hAnsiTheme="minorHAnsi"/>
            <w:color w:val="auto"/>
          </w:rPr>
          <w:t>www.stuba.sk</w:t>
        </w:r>
      </w:hyperlink>
    </w:p>
    <w:p w:rsidR="00B51749" w:rsidRPr="002D7A10" w:rsidRDefault="00B51749" w:rsidP="00867A0E">
      <w:pPr>
        <w:spacing w:after="200" w:line="276" w:lineRule="auto"/>
        <w:jc w:val="left"/>
        <w:rPr>
          <w:rFonts w:asciiTheme="minorHAnsi" w:hAnsiTheme="minorHAnsi"/>
          <w:color w:val="FF0000"/>
          <w:u w:val="single"/>
        </w:rPr>
      </w:pPr>
    </w:p>
    <w:p w:rsidR="00867A0E" w:rsidRDefault="00867A0E">
      <w:pPr>
        <w:spacing w:after="200" w:line="276" w:lineRule="auto"/>
        <w:jc w:val="left"/>
        <w:rPr>
          <w:rFonts w:asciiTheme="minorHAnsi" w:hAnsiTheme="minorHAnsi"/>
          <w:color w:val="FF0000"/>
        </w:rPr>
      </w:pPr>
      <w:r>
        <w:rPr>
          <w:rFonts w:asciiTheme="minorHAnsi" w:hAnsiTheme="minorHAnsi"/>
          <w:color w:val="FF0000"/>
        </w:rPr>
        <w:br w:type="page"/>
      </w:r>
    </w:p>
    <w:p w:rsidR="00B51749" w:rsidRPr="002D7A10" w:rsidRDefault="00B51749" w:rsidP="00B51749">
      <w:pPr>
        <w:rPr>
          <w:rFonts w:asciiTheme="minorHAnsi" w:hAnsiTheme="minorHAnsi"/>
          <w:color w:val="FF0000"/>
        </w:rPr>
      </w:pPr>
    </w:p>
    <w:p w:rsidR="00B51749" w:rsidRPr="002D7A10" w:rsidRDefault="00B51749" w:rsidP="00B51749">
      <w:pPr>
        <w:pStyle w:val="Nadpis1"/>
        <w:rPr>
          <w:rFonts w:asciiTheme="minorHAnsi" w:hAnsiTheme="minorHAnsi"/>
          <w:color w:val="auto"/>
          <w:sz w:val="24"/>
          <w:szCs w:val="24"/>
        </w:rPr>
      </w:pPr>
      <w:bookmarkStart w:id="84" w:name="_Toc448261619"/>
      <w:r w:rsidRPr="002D7A10">
        <w:rPr>
          <w:rFonts w:asciiTheme="minorHAnsi" w:hAnsiTheme="minorHAnsi"/>
          <w:color w:val="auto"/>
          <w:sz w:val="24"/>
          <w:szCs w:val="24"/>
        </w:rPr>
        <w:t>Sumár</w:t>
      </w:r>
      <w:bookmarkEnd w:id="84"/>
      <w:r w:rsidRPr="002D7A10">
        <w:rPr>
          <w:rFonts w:asciiTheme="minorHAnsi" w:hAnsiTheme="minorHAnsi"/>
          <w:color w:val="auto"/>
          <w:sz w:val="24"/>
          <w:szCs w:val="24"/>
        </w:rPr>
        <w:t xml:space="preserve"> </w:t>
      </w:r>
    </w:p>
    <w:p w:rsidR="00B51749" w:rsidRPr="002D7A10" w:rsidRDefault="00B51749" w:rsidP="00B51749">
      <w:pPr>
        <w:rPr>
          <w:rFonts w:asciiTheme="minorHAnsi" w:hAnsiTheme="minorHAnsi"/>
          <w:color w:val="FF0000"/>
        </w:rPr>
      </w:pPr>
    </w:p>
    <w:p w:rsidR="00E063B7" w:rsidRPr="002D7A10" w:rsidRDefault="00E063B7" w:rsidP="00E063B7">
      <w:pPr>
        <w:shd w:val="clear" w:color="auto" w:fill="FFFFFF"/>
        <w:rPr>
          <w:rFonts w:asciiTheme="minorHAnsi" w:hAnsiTheme="minorHAnsi" w:cs="Calibri"/>
        </w:rPr>
      </w:pPr>
      <w:r w:rsidRPr="002D7A10">
        <w:rPr>
          <w:rFonts w:asciiTheme="minorHAnsi" w:hAnsiTheme="minorHAnsi"/>
        </w:rPr>
        <w:t xml:space="preserve">V akademickom roku </w:t>
      </w:r>
      <w:r w:rsidRPr="002D7A10">
        <w:rPr>
          <w:rFonts w:asciiTheme="minorHAnsi" w:hAnsiTheme="minorHAnsi" w:cs="Calibri"/>
          <w:shd w:val="clear" w:color="auto" w:fill="FFFFFF"/>
        </w:rPr>
        <w:t xml:space="preserve">2014/2015 na STU úspešne </w:t>
      </w:r>
      <w:r w:rsidRPr="002D7A10">
        <w:rPr>
          <w:rFonts w:asciiTheme="minorHAnsi" w:hAnsiTheme="minorHAnsi" w:cs="Calibri"/>
          <w:b/>
          <w:shd w:val="clear" w:color="auto" w:fill="FFFFFF"/>
        </w:rPr>
        <w:t>skončilo štúdium 4 172 absolventov</w:t>
      </w:r>
      <w:r w:rsidRPr="002D7A10">
        <w:rPr>
          <w:rFonts w:asciiTheme="minorHAnsi" w:hAnsiTheme="minorHAnsi" w:cs="Calibri"/>
          <w:shd w:val="clear" w:color="auto" w:fill="FFFFFF"/>
        </w:rPr>
        <w:t>, z toho na prvom stupni úspešne skončilo štúdium 2 068 absolventov, na druhom stupni 1 859 absolventov a na treťom stupni 245 absolventov</w:t>
      </w:r>
      <w:r w:rsidRPr="002D7A10">
        <w:rPr>
          <w:rFonts w:asciiTheme="minorHAnsi" w:hAnsiTheme="minorHAnsi" w:cs="Calibri"/>
        </w:rPr>
        <w:t>.</w:t>
      </w:r>
    </w:p>
    <w:p w:rsidR="00B51749" w:rsidRPr="002D7A10" w:rsidRDefault="00B51749" w:rsidP="00B51749">
      <w:pPr>
        <w:pStyle w:val="Odsekzoznamu"/>
        <w:spacing w:after="0" w:line="240" w:lineRule="auto"/>
        <w:ind w:left="0" w:right="275"/>
        <w:rPr>
          <w:rFonts w:asciiTheme="minorHAnsi" w:hAnsiTheme="minorHAnsi" w:cs="Cambria"/>
          <w:color w:val="FF0000"/>
          <w:sz w:val="24"/>
          <w:szCs w:val="24"/>
        </w:rPr>
      </w:pPr>
    </w:p>
    <w:p w:rsidR="005C514F" w:rsidRPr="002D7A10" w:rsidRDefault="005C514F" w:rsidP="005C514F">
      <w:pPr>
        <w:tabs>
          <w:tab w:val="left" w:pos="9498"/>
        </w:tabs>
        <w:rPr>
          <w:rFonts w:asciiTheme="minorHAnsi" w:hAnsiTheme="minorHAnsi" w:cstheme="majorHAnsi"/>
        </w:rPr>
      </w:pPr>
      <w:r w:rsidRPr="002D7A10">
        <w:rPr>
          <w:rFonts w:asciiTheme="minorHAnsi" w:hAnsiTheme="minorHAnsi" w:cstheme="majorHAnsi"/>
          <w:b/>
        </w:rPr>
        <w:t>V prijímacom konaní 2015/2016 sa do prvých ročníkov celkovo zapísalo 6 590 nových študentov</w:t>
      </w:r>
      <w:r w:rsidRPr="002D7A10">
        <w:rPr>
          <w:rFonts w:asciiTheme="minorHAnsi" w:hAnsiTheme="minorHAnsi" w:cstheme="majorHAnsi"/>
        </w:rPr>
        <w:t xml:space="preserve"> - na prvom stupni štúdia 4 171 študentov; 2 220 študentov na druhom stupni štúdia a na treťom stupni 199 študentov (149 v dennej forme a 50 v  externej forme). </w:t>
      </w:r>
      <w:r w:rsidRPr="002D7A10">
        <w:rPr>
          <w:rFonts w:asciiTheme="minorHAnsi" w:hAnsiTheme="minorHAnsi" w:cstheme="majorHAnsi"/>
          <w:b/>
        </w:rPr>
        <w:t>Oproti akademickému roku 2014/2015 to znamená</w:t>
      </w:r>
      <w:r w:rsidRPr="002D7A10">
        <w:rPr>
          <w:rFonts w:asciiTheme="minorHAnsi" w:hAnsiTheme="minorHAnsi" w:cstheme="majorHAnsi"/>
        </w:rPr>
        <w:t xml:space="preserve"> </w:t>
      </w:r>
      <w:r w:rsidRPr="002D7A10">
        <w:rPr>
          <w:rFonts w:asciiTheme="minorHAnsi" w:hAnsiTheme="minorHAnsi" w:cstheme="majorHAnsi"/>
          <w:b/>
        </w:rPr>
        <w:t>pokles o 6,8 % na prvom stupni štúdia, nárast o 6,5 % na druhom stupni a pokles o 23,5% na treťom stupni štúdia.</w:t>
      </w:r>
      <w:r w:rsidRPr="002D7A10">
        <w:rPr>
          <w:rFonts w:asciiTheme="minorHAnsi" w:hAnsiTheme="minorHAnsi" w:cstheme="majorHAnsi"/>
        </w:rPr>
        <w:t xml:space="preserve"> Pokles na prvom stupni štúdia je spôsobený hlavne výrazným poklesom maturantov SR, až o 7,5 % oproti predchádzajúcemu školskému roku. </w:t>
      </w:r>
    </w:p>
    <w:p w:rsidR="00B51749" w:rsidRPr="002D7A10" w:rsidRDefault="005C514F" w:rsidP="005C514F">
      <w:pPr>
        <w:spacing w:after="120"/>
        <w:rPr>
          <w:rFonts w:asciiTheme="minorHAnsi" w:hAnsiTheme="minorHAnsi" w:cs="Cambria"/>
          <w:color w:val="FF0000"/>
        </w:rPr>
      </w:pPr>
      <w:r w:rsidRPr="002D7A10">
        <w:rPr>
          <w:rFonts w:asciiTheme="minorHAnsi" w:hAnsiTheme="minorHAnsi" w:cs="Calibri"/>
          <w:b/>
        </w:rPr>
        <w:t>Percento zapísaných študentov na STU z celkového počtu maturantov dennej formy v SR je však dlhodobo stabilné</w:t>
      </w:r>
      <w:r w:rsidRPr="002D7A10">
        <w:rPr>
          <w:rFonts w:asciiTheme="minorHAnsi" w:hAnsiTheme="minorHAnsi" w:cs="Calibri"/>
        </w:rPr>
        <w:t xml:space="preserve"> (okolo 6 %) </w:t>
      </w:r>
      <w:r w:rsidRPr="002D7A10">
        <w:rPr>
          <w:rFonts w:asciiTheme="minorHAnsi" w:hAnsiTheme="minorHAnsi" w:cs="Calibri"/>
          <w:b/>
        </w:rPr>
        <w:t>a to aj napriek pretrvávajúcemu poklesu počet maturantov</w:t>
      </w:r>
      <w:r w:rsidRPr="002D7A10">
        <w:rPr>
          <w:rFonts w:asciiTheme="minorHAnsi" w:hAnsiTheme="minorHAnsi" w:cs="Calibri"/>
        </w:rPr>
        <w:t xml:space="preserve"> (pokles viac ako 24 % za posledných 5 rokov).</w:t>
      </w:r>
    </w:p>
    <w:p w:rsidR="00975572" w:rsidRDefault="00975572" w:rsidP="00975572">
      <w:pPr>
        <w:rPr>
          <w:rFonts w:asciiTheme="minorHAnsi" w:hAnsiTheme="minorHAnsi"/>
        </w:rPr>
      </w:pPr>
      <w:r w:rsidRPr="00933500">
        <w:rPr>
          <w:rStyle w:val="Siln"/>
          <w:rFonts w:asciiTheme="minorHAnsi" w:hAnsiTheme="minorHAnsi"/>
          <w:b w:val="0"/>
        </w:rPr>
        <w:t>Výsledkami v oblasti vedy a výskumu obhájila Slovenská technická univerzita v Bratislave pevné postavenie medzi poprednými výskumnými inštitúciami na Slovensku.</w:t>
      </w:r>
      <w:r w:rsidRPr="00933500">
        <w:rPr>
          <w:rStyle w:val="Siln"/>
          <w:rFonts w:asciiTheme="minorHAnsi" w:hAnsiTheme="minorHAnsi"/>
          <w:b w:val="0"/>
          <w:color w:val="FF0000"/>
        </w:rPr>
        <w:t xml:space="preserve"> </w:t>
      </w:r>
      <w:r w:rsidRPr="00933500">
        <w:rPr>
          <w:rFonts w:asciiTheme="minorHAnsi" w:hAnsiTheme="minorHAnsi"/>
          <w:b/>
        </w:rPr>
        <w:t xml:space="preserve">V roku 2015 si STU udržala dominantné postavenie </w:t>
      </w:r>
      <w:r w:rsidRPr="00933500">
        <w:rPr>
          <w:rFonts w:asciiTheme="minorHAnsi" w:eastAsia="Times New Roman" w:hAnsiTheme="minorHAnsi" w:cs="Arial"/>
          <w:b/>
          <w:lang w:eastAsia="sk-SK"/>
        </w:rPr>
        <w:t>medzi slovenskými vere</w:t>
      </w:r>
      <w:r w:rsidR="009F724C">
        <w:rPr>
          <w:rFonts w:asciiTheme="minorHAnsi" w:eastAsia="Times New Roman" w:hAnsiTheme="minorHAnsi" w:cs="Arial"/>
          <w:b/>
          <w:lang w:eastAsia="sk-SK"/>
        </w:rPr>
        <w:t xml:space="preserve">jnými vysokými školami v počte </w:t>
      </w:r>
      <w:r w:rsidRPr="00933500">
        <w:rPr>
          <w:rFonts w:asciiTheme="minorHAnsi" w:eastAsia="Times New Roman" w:hAnsiTheme="minorHAnsi" w:cs="Arial"/>
          <w:b/>
          <w:lang w:eastAsia="sk-SK"/>
        </w:rPr>
        <w:t>publikácií evidovanými v databáze SCOPUS (25%) a v získavaní finančných prostriedkov v rámci podnikateľskej činnosti (65 %).</w:t>
      </w:r>
      <w:r w:rsidRPr="00933500">
        <w:rPr>
          <w:rFonts w:asciiTheme="minorHAnsi" w:hAnsiTheme="minorHAnsi"/>
          <w:b/>
        </w:rPr>
        <w:t xml:space="preserve"> </w:t>
      </w:r>
      <w:r w:rsidRPr="00933500">
        <w:rPr>
          <w:rFonts w:asciiTheme="minorHAnsi" w:hAnsiTheme="minorHAnsi"/>
        </w:rPr>
        <w:t>Pozitívne je, že v oblasti publikačných aktivít</w:t>
      </w:r>
      <w:r>
        <w:rPr>
          <w:rFonts w:asciiTheme="minorHAnsi" w:hAnsiTheme="minorHAnsi"/>
          <w:b/>
        </w:rPr>
        <w:t xml:space="preserve"> </w:t>
      </w:r>
      <w:r>
        <w:rPr>
          <w:rFonts w:asciiTheme="minorHAnsi" w:hAnsiTheme="minorHAnsi"/>
        </w:rPr>
        <w:t xml:space="preserve">narástol počet publikácii </w:t>
      </w:r>
      <w:r w:rsidRPr="00933500">
        <w:rPr>
          <w:rFonts w:asciiTheme="minorHAnsi" w:hAnsiTheme="minorHAnsi"/>
        </w:rPr>
        <w:t xml:space="preserve">v kategórií </w:t>
      </w:r>
      <w:r>
        <w:rPr>
          <w:rFonts w:asciiTheme="minorHAnsi" w:hAnsiTheme="minorHAnsi"/>
        </w:rPr>
        <w:t>B,</w:t>
      </w:r>
      <w:r w:rsidRPr="00933500">
        <w:rPr>
          <w:rFonts w:asciiTheme="minorHAnsi" w:hAnsiTheme="minorHAnsi"/>
        </w:rPr>
        <w:t xml:space="preserve"> ktoré sú pri delení dotácie</w:t>
      </w:r>
      <w:r>
        <w:rPr>
          <w:rFonts w:asciiTheme="minorHAnsi" w:hAnsiTheme="minorHAnsi"/>
        </w:rPr>
        <w:t xml:space="preserve"> akceptované s najvyššou váhou.</w:t>
      </w:r>
    </w:p>
    <w:p w:rsidR="006728EC" w:rsidRPr="002D7A10" w:rsidRDefault="006728EC" w:rsidP="006728EC">
      <w:pPr>
        <w:rPr>
          <w:rFonts w:asciiTheme="minorHAnsi" w:hAnsiTheme="minorHAnsi"/>
          <w:b/>
        </w:rPr>
      </w:pPr>
      <w:r w:rsidRPr="002D7A10">
        <w:rPr>
          <w:rFonts w:asciiTheme="minorHAnsi" w:hAnsiTheme="minorHAnsi"/>
          <w:b/>
        </w:rPr>
        <w:t>V roku 2015 sa na STU riešilo 2</w:t>
      </w:r>
      <w:r w:rsidR="00D81C42">
        <w:rPr>
          <w:rFonts w:asciiTheme="minorHAnsi" w:hAnsiTheme="minorHAnsi"/>
          <w:b/>
        </w:rPr>
        <w:t>9</w:t>
      </w:r>
      <w:r w:rsidR="009762B9">
        <w:rPr>
          <w:rFonts w:asciiTheme="minorHAnsi" w:hAnsiTheme="minorHAnsi"/>
          <w:b/>
        </w:rPr>
        <w:t>4</w:t>
      </w:r>
      <w:r w:rsidRPr="002D7A10">
        <w:rPr>
          <w:rFonts w:asciiTheme="minorHAnsi" w:hAnsiTheme="minorHAnsi"/>
          <w:b/>
        </w:rPr>
        <w:t xml:space="preserve"> projektov zmluvného výskumu pre priemyselnú prax a takmer 500 výskumných projektov financovaných z grantov, z čoho bolo 22 projektov rámcových programov Európskej únie (7. RP a Horizont 2020), vrátane iniciatív ENIAC a ECSEL.</w:t>
      </w:r>
    </w:p>
    <w:p w:rsidR="006728EC" w:rsidRPr="002D7A10" w:rsidRDefault="006728EC" w:rsidP="00B51749">
      <w:pPr>
        <w:rPr>
          <w:rFonts w:asciiTheme="minorHAnsi" w:eastAsia="Calibri" w:hAnsiTheme="minorHAnsi"/>
          <w:color w:val="FF0000"/>
        </w:rPr>
      </w:pPr>
    </w:p>
    <w:p w:rsidR="0037197A" w:rsidRDefault="003C5DAB" w:rsidP="00B45560">
      <w:pPr>
        <w:rPr>
          <w:rFonts w:asciiTheme="minorHAnsi" w:hAnsiTheme="minorHAnsi"/>
        </w:rPr>
      </w:pPr>
      <w:r w:rsidRPr="002D7A10">
        <w:rPr>
          <w:rFonts w:asciiTheme="minorHAnsi" w:hAnsiTheme="minorHAnsi"/>
        </w:rPr>
        <w:t xml:space="preserve">Slovenská technická univerzita dokončila v roku 2015 významné rozvojové projekty –  projekt </w:t>
      </w:r>
      <w:r w:rsidRPr="002D7A10">
        <w:rPr>
          <w:rFonts w:asciiTheme="minorHAnsi" w:hAnsiTheme="minorHAnsi"/>
          <w:b/>
        </w:rPr>
        <w:t xml:space="preserve">Univerzitného vedeckého parku </w:t>
      </w:r>
      <w:proofErr w:type="spellStart"/>
      <w:r w:rsidRPr="002D7A10">
        <w:rPr>
          <w:rFonts w:asciiTheme="minorHAnsi" w:hAnsiTheme="minorHAnsi"/>
          <w:b/>
        </w:rPr>
        <w:t>Science</w:t>
      </w:r>
      <w:proofErr w:type="spellEnd"/>
      <w:r w:rsidRPr="002D7A10">
        <w:rPr>
          <w:rFonts w:asciiTheme="minorHAnsi" w:hAnsiTheme="minorHAnsi"/>
          <w:b/>
        </w:rPr>
        <w:t xml:space="preserve"> City v Bratislave </w:t>
      </w:r>
      <w:r w:rsidRPr="002D7A10">
        <w:rPr>
          <w:rFonts w:asciiTheme="minorHAnsi" w:hAnsiTheme="minorHAnsi"/>
        </w:rPr>
        <w:t>a projekt</w:t>
      </w:r>
      <w:r w:rsidRPr="002D7A10">
        <w:rPr>
          <w:rFonts w:asciiTheme="minorHAnsi" w:hAnsiTheme="minorHAnsi"/>
          <w:b/>
        </w:rPr>
        <w:t xml:space="preserve"> Univerzitného vedeckého parku </w:t>
      </w:r>
      <w:proofErr w:type="spellStart"/>
      <w:r w:rsidRPr="002D7A10">
        <w:rPr>
          <w:rFonts w:asciiTheme="minorHAnsi" w:hAnsiTheme="minorHAnsi"/>
          <w:b/>
        </w:rPr>
        <w:t>Cambo</w:t>
      </w:r>
      <w:proofErr w:type="spellEnd"/>
      <w:r w:rsidRPr="002D7A10">
        <w:rPr>
          <w:rFonts w:asciiTheme="minorHAnsi" w:hAnsiTheme="minorHAnsi"/>
          <w:b/>
        </w:rPr>
        <w:t xml:space="preserve"> v Trnave.</w:t>
      </w:r>
      <w:r w:rsidR="00975572">
        <w:rPr>
          <w:rFonts w:asciiTheme="minorHAnsi" w:hAnsiTheme="minorHAnsi"/>
        </w:rPr>
        <w:t xml:space="preserve"> </w:t>
      </w:r>
      <w:r w:rsidRPr="002D7A10">
        <w:rPr>
          <w:rFonts w:asciiTheme="minorHAnsi" w:hAnsiTheme="minorHAnsi"/>
        </w:rPr>
        <w:t xml:space="preserve">V rámci </w:t>
      </w:r>
      <w:r w:rsidR="009F724C">
        <w:rPr>
          <w:rFonts w:asciiTheme="minorHAnsi" w:hAnsiTheme="minorHAnsi"/>
        </w:rPr>
        <w:t xml:space="preserve">nich </w:t>
      </w:r>
      <w:r w:rsidRPr="002D7A10">
        <w:rPr>
          <w:rFonts w:asciiTheme="minorHAnsi" w:hAnsiTheme="minorHAnsi"/>
        </w:rPr>
        <w:t xml:space="preserve">STU vybudovala </w:t>
      </w:r>
      <w:r w:rsidRPr="002D7A10">
        <w:rPr>
          <w:rFonts w:asciiTheme="minorHAnsi" w:hAnsiTheme="minorHAnsi"/>
          <w:b/>
        </w:rPr>
        <w:t xml:space="preserve">nové vedecké laboratória, ktoré zariadila špičkovými prístrojmi. </w:t>
      </w:r>
      <w:r w:rsidRPr="002D7A10">
        <w:rPr>
          <w:rFonts w:asciiTheme="minorHAnsi" w:hAnsiTheme="minorHAnsi"/>
        </w:rPr>
        <w:t xml:space="preserve">Niektoré pracoviská na STU sú unikátne v európskom rozmere, čo umožňuje </w:t>
      </w:r>
      <w:r w:rsidRPr="002D7A10">
        <w:rPr>
          <w:rFonts w:asciiTheme="minorHAnsi" w:hAnsiTheme="minorHAnsi"/>
          <w:bCs/>
        </w:rPr>
        <w:t>zintenzívniť spoluprácu s</w:t>
      </w:r>
      <w:r w:rsidR="00B45560">
        <w:rPr>
          <w:rFonts w:asciiTheme="minorHAnsi" w:hAnsiTheme="minorHAnsi"/>
          <w:bCs/>
        </w:rPr>
        <w:t> </w:t>
      </w:r>
      <w:r w:rsidRPr="002D7A10">
        <w:rPr>
          <w:rFonts w:asciiTheme="minorHAnsi" w:hAnsiTheme="minorHAnsi"/>
          <w:bCs/>
        </w:rPr>
        <w:t>medzinárodnými</w:t>
      </w:r>
      <w:r w:rsidR="00B45560">
        <w:rPr>
          <w:rFonts w:asciiTheme="minorHAnsi" w:hAnsiTheme="minorHAnsi"/>
          <w:bCs/>
        </w:rPr>
        <w:t xml:space="preserve"> výskumnými tímami</w:t>
      </w:r>
      <w:r w:rsidR="009F724C">
        <w:rPr>
          <w:rFonts w:asciiTheme="minorHAnsi" w:hAnsiTheme="minorHAnsi"/>
        </w:rPr>
        <w:t xml:space="preserve">. </w:t>
      </w:r>
      <w:r w:rsidRPr="002D7A10">
        <w:rPr>
          <w:rFonts w:asciiTheme="minorHAnsi" w:hAnsiTheme="minorHAnsi"/>
        </w:rPr>
        <w:t xml:space="preserve">Na </w:t>
      </w:r>
      <w:proofErr w:type="spellStart"/>
      <w:r w:rsidRPr="002D7A10">
        <w:rPr>
          <w:rFonts w:asciiTheme="minorHAnsi" w:hAnsiTheme="minorHAnsi"/>
        </w:rPr>
        <w:t>Materiálovotechnologickej</w:t>
      </w:r>
      <w:proofErr w:type="spellEnd"/>
      <w:r w:rsidRPr="002D7A10">
        <w:rPr>
          <w:rFonts w:asciiTheme="minorHAnsi" w:hAnsiTheme="minorHAnsi"/>
        </w:rPr>
        <w:t xml:space="preserve"> fakulte STU so sídlom v Trnave pribudli </w:t>
      </w:r>
      <w:r w:rsidRPr="002D7A10">
        <w:rPr>
          <w:rFonts w:asciiTheme="minorHAnsi" w:hAnsiTheme="minorHAnsi" w:cs="Arial"/>
          <w:b/>
        </w:rPr>
        <w:t xml:space="preserve">nové pavilóny s laboratóriami: Slovenské </w:t>
      </w:r>
      <w:proofErr w:type="spellStart"/>
      <w:r w:rsidRPr="002D7A10">
        <w:rPr>
          <w:rFonts w:asciiTheme="minorHAnsi" w:hAnsiTheme="minorHAnsi" w:cs="Arial"/>
          <w:b/>
        </w:rPr>
        <w:t>ionové</w:t>
      </w:r>
      <w:proofErr w:type="spellEnd"/>
      <w:r w:rsidRPr="002D7A10">
        <w:rPr>
          <w:rFonts w:asciiTheme="minorHAnsi" w:hAnsiTheme="minorHAnsi" w:cs="Arial"/>
          <w:b/>
        </w:rPr>
        <w:t xml:space="preserve"> centrum </w:t>
      </w:r>
      <w:proofErr w:type="spellStart"/>
      <w:r w:rsidRPr="002D7A10">
        <w:rPr>
          <w:rFonts w:asciiTheme="minorHAnsi" w:hAnsiTheme="minorHAnsi" w:cs="Arial"/>
          <w:b/>
        </w:rPr>
        <w:t>SlovakION</w:t>
      </w:r>
      <w:proofErr w:type="spellEnd"/>
      <w:r w:rsidRPr="002D7A10">
        <w:rPr>
          <w:rFonts w:asciiTheme="minorHAnsi" w:hAnsiTheme="minorHAnsi" w:cs="Arial"/>
          <w:b/>
        </w:rPr>
        <w:t xml:space="preserve"> a Výskumné pracovisko automatizácie a informatizácie výrobných procesov</w:t>
      </w:r>
      <w:r w:rsidR="009F724C">
        <w:rPr>
          <w:rFonts w:asciiTheme="minorHAnsi" w:hAnsiTheme="minorHAnsi" w:cs="Arial"/>
        </w:rPr>
        <w:t xml:space="preserve">. </w:t>
      </w:r>
      <w:r w:rsidRPr="002D7A10">
        <w:rPr>
          <w:rFonts w:asciiTheme="minorHAnsi" w:hAnsiTheme="minorHAnsi" w:cs="Arial"/>
        </w:rPr>
        <w:t>V budove rekt</w:t>
      </w:r>
      <w:r w:rsidR="009F724C">
        <w:rPr>
          <w:rFonts w:asciiTheme="minorHAnsi" w:hAnsiTheme="minorHAnsi" w:cs="Arial"/>
        </w:rPr>
        <w:t xml:space="preserve">orátu </w:t>
      </w:r>
      <w:r w:rsidR="00B45560">
        <w:rPr>
          <w:rFonts w:asciiTheme="minorHAnsi" w:hAnsiTheme="minorHAnsi" w:cs="Arial"/>
        </w:rPr>
        <w:t>zase</w:t>
      </w:r>
      <w:r w:rsidRPr="002D7A10">
        <w:rPr>
          <w:rFonts w:asciiTheme="minorHAnsi" w:hAnsiTheme="minorHAnsi" w:cs="Arial"/>
        </w:rPr>
        <w:t xml:space="preserve"> nové </w:t>
      </w:r>
      <w:r w:rsidRPr="002D7A10">
        <w:rPr>
          <w:rFonts w:asciiTheme="minorHAnsi" w:hAnsiTheme="minorHAnsi"/>
          <w:b/>
          <w:bCs/>
        </w:rPr>
        <w:t xml:space="preserve">Centrum pre </w:t>
      </w:r>
      <w:proofErr w:type="spellStart"/>
      <w:r w:rsidRPr="002D7A10">
        <w:rPr>
          <w:rFonts w:asciiTheme="minorHAnsi" w:hAnsiTheme="minorHAnsi"/>
          <w:b/>
          <w:bCs/>
        </w:rPr>
        <w:t>nanodiagnostiku</w:t>
      </w:r>
      <w:proofErr w:type="spellEnd"/>
      <w:r w:rsidRPr="002D7A10">
        <w:rPr>
          <w:rFonts w:asciiTheme="minorHAnsi" w:hAnsiTheme="minorHAnsi"/>
          <w:b/>
          <w:bCs/>
        </w:rPr>
        <w:t xml:space="preserve">. </w:t>
      </w:r>
      <w:r w:rsidR="00B45560">
        <w:rPr>
          <w:rFonts w:asciiTheme="minorHAnsi" w:hAnsiTheme="minorHAnsi"/>
          <w:bCs/>
        </w:rPr>
        <w:t xml:space="preserve">V Mlynskej doline na FIIT STU </w:t>
      </w:r>
      <w:r w:rsidR="001F16E1" w:rsidRPr="002D7A10">
        <w:rPr>
          <w:rFonts w:asciiTheme="minorHAnsi" w:hAnsiTheme="minorHAnsi"/>
        </w:rPr>
        <w:t>nové dátové centrum s </w:t>
      </w:r>
      <w:proofErr w:type="spellStart"/>
      <w:r w:rsidR="001F16E1" w:rsidRPr="002D7A10">
        <w:rPr>
          <w:rFonts w:asciiTheme="minorHAnsi" w:hAnsiTheme="minorHAnsi"/>
        </w:rPr>
        <w:t>cloudom</w:t>
      </w:r>
      <w:proofErr w:type="spellEnd"/>
      <w:r w:rsidR="001F16E1" w:rsidRPr="002D7A10">
        <w:rPr>
          <w:rFonts w:asciiTheme="minorHAnsi" w:hAnsiTheme="minorHAnsi"/>
        </w:rPr>
        <w:t xml:space="preserve"> či </w:t>
      </w:r>
      <w:r w:rsidR="001F16E1" w:rsidRPr="002D7A10">
        <w:rPr>
          <w:rFonts w:asciiTheme="minorHAnsi" w:hAnsiTheme="minorHAnsi"/>
          <w:iCs/>
        </w:rPr>
        <w:t> </w:t>
      </w:r>
      <w:r w:rsidR="001F16E1" w:rsidRPr="002D7A10">
        <w:rPr>
          <w:rFonts w:asciiTheme="minorHAnsi" w:hAnsiTheme="minorHAnsi"/>
          <w:bCs/>
          <w:iCs/>
        </w:rPr>
        <w:t>výskumné c</w:t>
      </w:r>
      <w:r w:rsidR="00B45560">
        <w:rPr>
          <w:rFonts w:asciiTheme="minorHAnsi" w:hAnsiTheme="minorHAnsi"/>
          <w:bCs/>
          <w:iCs/>
        </w:rPr>
        <w:t xml:space="preserve">entrum používateľského zážitku. </w:t>
      </w:r>
      <w:r w:rsidR="0037197A">
        <w:rPr>
          <w:rFonts w:asciiTheme="minorHAnsi" w:hAnsiTheme="minorHAnsi"/>
          <w:bCs/>
          <w:iCs/>
        </w:rPr>
        <w:t xml:space="preserve">Nové laboratória so špičkovými prístrojmi otvorili aj ďalšie fakulty.  </w:t>
      </w:r>
    </w:p>
    <w:p w:rsidR="00B45560" w:rsidRPr="00027E94" w:rsidRDefault="00B45560" w:rsidP="00B45560">
      <w:pPr>
        <w:rPr>
          <w:rFonts w:asciiTheme="minorHAnsi" w:hAnsiTheme="minorHAnsi"/>
        </w:rPr>
      </w:pPr>
      <w:r w:rsidRPr="00027E94">
        <w:rPr>
          <w:rFonts w:asciiTheme="minorHAnsi" w:hAnsiTheme="minorHAnsi"/>
        </w:rPr>
        <w:lastRenderedPageBreak/>
        <w:t xml:space="preserve">Rok 2015 bol z hľadiska čerpania štrukturálnych fondov posledným rokom pre vyčerpanie financií </w:t>
      </w:r>
      <w:r w:rsidRPr="00027E94">
        <w:rPr>
          <w:rFonts w:asciiTheme="minorHAnsi" w:hAnsiTheme="minorHAnsi"/>
          <w:b/>
        </w:rPr>
        <w:t xml:space="preserve">v rámci programovacieho obdobia 2007-2013. V tomto programovacom období sa STU sa podarilo </w:t>
      </w:r>
      <w:proofErr w:type="spellStart"/>
      <w:r w:rsidRPr="00027E94">
        <w:rPr>
          <w:rFonts w:asciiTheme="minorHAnsi" w:hAnsiTheme="minorHAnsi"/>
          <w:b/>
        </w:rPr>
        <w:t>prefinancovať</w:t>
      </w:r>
      <w:proofErr w:type="spellEnd"/>
      <w:r w:rsidRPr="00027E94">
        <w:rPr>
          <w:rFonts w:asciiTheme="minorHAnsi" w:hAnsiTheme="minorHAnsi"/>
          <w:b/>
        </w:rPr>
        <w:t xml:space="preserve"> viac ako 130 miliónov eur.</w:t>
      </w:r>
      <w:r w:rsidRPr="00027E94">
        <w:rPr>
          <w:rFonts w:asciiTheme="minorHAnsi" w:hAnsiTheme="minorHAnsi"/>
        </w:rPr>
        <w:t xml:space="preserve"> Z </w:t>
      </w:r>
      <w:r>
        <w:rPr>
          <w:rFonts w:asciiTheme="minorHAnsi" w:hAnsiTheme="minorHAnsi"/>
        </w:rPr>
        <w:t>týchto</w:t>
      </w:r>
      <w:r w:rsidRPr="00027E94">
        <w:rPr>
          <w:rFonts w:asciiTheme="minorHAnsi" w:hAnsiTheme="minorHAnsi"/>
        </w:rPr>
        <w:t xml:space="preserve"> prostriedkov sa financovali výskumné projekty a vybudovali sa Centrá </w:t>
      </w:r>
      <w:proofErr w:type="spellStart"/>
      <w:r w:rsidRPr="00027E94">
        <w:rPr>
          <w:rFonts w:asciiTheme="minorHAnsi" w:hAnsiTheme="minorHAnsi"/>
        </w:rPr>
        <w:t>excelentnosti</w:t>
      </w:r>
      <w:proofErr w:type="spellEnd"/>
      <w:r w:rsidRPr="00027E94">
        <w:rPr>
          <w:rFonts w:asciiTheme="minorHAnsi" w:hAnsiTheme="minorHAnsi"/>
        </w:rPr>
        <w:t>, Kompetenčné centrá a spomenuté Univerzitné vedecké parky v Bratislave a v Trnave.  </w:t>
      </w:r>
    </w:p>
    <w:p w:rsidR="003C5DAB" w:rsidRPr="002D7A10" w:rsidRDefault="003C5DAB" w:rsidP="003C5DAB">
      <w:pPr>
        <w:rPr>
          <w:rStyle w:val="Siln"/>
          <w:rFonts w:asciiTheme="minorHAnsi" w:hAnsiTheme="minorHAnsi"/>
          <w:b w:val="0"/>
          <w:color w:val="FF0000"/>
        </w:rPr>
      </w:pPr>
    </w:p>
    <w:p w:rsidR="00842883" w:rsidRPr="002D7A10" w:rsidRDefault="00B51749" w:rsidP="00842883">
      <w:pPr>
        <w:pStyle w:val="Bezriadkovania"/>
        <w:jc w:val="both"/>
        <w:rPr>
          <w:rFonts w:asciiTheme="minorHAnsi" w:hAnsiTheme="minorHAnsi"/>
          <w:b/>
          <w:sz w:val="24"/>
          <w:szCs w:val="24"/>
        </w:rPr>
      </w:pPr>
      <w:r w:rsidRPr="002D7A10">
        <w:rPr>
          <w:rStyle w:val="Siln"/>
          <w:rFonts w:asciiTheme="minorHAnsi" w:hAnsiTheme="minorHAnsi"/>
          <w:b w:val="0"/>
          <w:sz w:val="24"/>
          <w:szCs w:val="24"/>
        </w:rPr>
        <w:t xml:space="preserve">Prioritou Slovenskej technickej univerzity v Bratislave bolo zlepšenie a zjednotenie patentovej politiky. Po </w:t>
      </w:r>
      <w:r w:rsidRPr="002D7A10">
        <w:rPr>
          <w:rFonts w:asciiTheme="minorHAnsi" w:hAnsiTheme="minorHAnsi"/>
          <w:sz w:val="24"/>
          <w:szCs w:val="24"/>
        </w:rPr>
        <w:t xml:space="preserve">zriadení špecializovaného pracoviska </w:t>
      </w:r>
      <w:proofErr w:type="spellStart"/>
      <w:r w:rsidRPr="002D7A10">
        <w:rPr>
          <w:rFonts w:asciiTheme="minorHAnsi" w:hAnsiTheme="minorHAnsi"/>
          <w:sz w:val="24"/>
          <w:szCs w:val="24"/>
        </w:rPr>
        <w:t>Know-how</w:t>
      </w:r>
      <w:proofErr w:type="spellEnd"/>
      <w:r w:rsidRPr="002D7A10">
        <w:rPr>
          <w:rFonts w:asciiTheme="minorHAnsi" w:hAnsiTheme="minorHAnsi"/>
          <w:sz w:val="24"/>
          <w:szCs w:val="24"/>
        </w:rPr>
        <w:t xml:space="preserve"> centra STU – Kancelári</w:t>
      </w:r>
      <w:r w:rsidR="00124B79" w:rsidRPr="002D7A10">
        <w:rPr>
          <w:rFonts w:asciiTheme="minorHAnsi" w:hAnsiTheme="minorHAnsi"/>
          <w:sz w:val="24"/>
          <w:szCs w:val="24"/>
        </w:rPr>
        <w:t>e</w:t>
      </w:r>
      <w:r w:rsidRPr="002D7A10">
        <w:rPr>
          <w:rFonts w:asciiTheme="minorHAnsi" w:hAnsiTheme="minorHAnsi"/>
          <w:sz w:val="24"/>
          <w:szCs w:val="24"/>
        </w:rPr>
        <w:t xml:space="preserve"> spolupráce s</w:t>
      </w:r>
      <w:r w:rsidR="00124B79" w:rsidRPr="002D7A10">
        <w:rPr>
          <w:rFonts w:asciiTheme="minorHAnsi" w:hAnsiTheme="minorHAnsi"/>
          <w:sz w:val="24"/>
          <w:szCs w:val="24"/>
        </w:rPr>
        <w:t> </w:t>
      </w:r>
      <w:r w:rsidRPr="002D7A10">
        <w:rPr>
          <w:rFonts w:asciiTheme="minorHAnsi" w:hAnsiTheme="minorHAnsi"/>
          <w:sz w:val="24"/>
          <w:szCs w:val="24"/>
        </w:rPr>
        <w:t>praxou</w:t>
      </w:r>
      <w:r w:rsidR="00124B79" w:rsidRPr="002D7A10">
        <w:rPr>
          <w:rFonts w:asciiTheme="minorHAnsi" w:hAnsiTheme="minorHAnsi"/>
          <w:sz w:val="24"/>
          <w:szCs w:val="24"/>
        </w:rPr>
        <w:t>,</w:t>
      </w:r>
      <w:r w:rsidRPr="002D7A10">
        <w:rPr>
          <w:rFonts w:asciiTheme="minorHAnsi" w:hAnsiTheme="minorHAnsi"/>
          <w:sz w:val="24"/>
          <w:szCs w:val="24"/>
        </w:rPr>
        <w:t xml:space="preserve"> nastali v tejto oblasti postupné zlepšenia. </w:t>
      </w:r>
      <w:r w:rsidRPr="002D7A10">
        <w:rPr>
          <w:rFonts w:asciiTheme="minorHAnsi" w:hAnsiTheme="minorHAnsi"/>
          <w:b/>
          <w:sz w:val="24"/>
          <w:szCs w:val="24"/>
        </w:rPr>
        <w:t xml:space="preserve">Na Úrad priemyselného vlastníctva bolo </w:t>
      </w:r>
      <w:r w:rsidR="00842883" w:rsidRPr="002D7A10">
        <w:rPr>
          <w:rFonts w:asciiTheme="minorHAnsi" w:hAnsiTheme="minorHAnsi"/>
          <w:b/>
          <w:sz w:val="24"/>
          <w:szCs w:val="24"/>
        </w:rPr>
        <w:t xml:space="preserve">v uplynulom roku </w:t>
      </w:r>
      <w:r w:rsidRPr="002D7A10">
        <w:rPr>
          <w:rFonts w:asciiTheme="minorHAnsi" w:hAnsiTheme="minorHAnsi"/>
          <w:b/>
          <w:sz w:val="24"/>
          <w:szCs w:val="24"/>
        </w:rPr>
        <w:t xml:space="preserve">podaných viac ako 20 patentových prihlášok a prihlášok </w:t>
      </w:r>
      <w:r w:rsidR="00124B79" w:rsidRPr="002D7A10">
        <w:rPr>
          <w:rFonts w:asciiTheme="minorHAnsi" w:hAnsiTheme="minorHAnsi"/>
          <w:b/>
          <w:sz w:val="24"/>
          <w:szCs w:val="24"/>
        </w:rPr>
        <w:t>úžitkových</w:t>
      </w:r>
      <w:r w:rsidR="00842883" w:rsidRPr="002D7A10">
        <w:rPr>
          <w:rFonts w:asciiTheme="minorHAnsi" w:hAnsiTheme="minorHAnsi"/>
          <w:b/>
          <w:sz w:val="24"/>
          <w:szCs w:val="24"/>
        </w:rPr>
        <w:t xml:space="preserve"> vzorov. Boli podané aj dve medzinárodné prihlášky a jedna európska patentová prihláška.</w:t>
      </w:r>
    </w:p>
    <w:p w:rsidR="00B51749" w:rsidRPr="002D7A10" w:rsidRDefault="00B51749" w:rsidP="00B51749">
      <w:pPr>
        <w:pStyle w:val="Bezriadkovania"/>
        <w:rPr>
          <w:rFonts w:asciiTheme="minorHAnsi" w:hAnsiTheme="minorHAnsi"/>
          <w:color w:val="FF0000"/>
          <w:sz w:val="24"/>
          <w:szCs w:val="24"/>
        </w:rPr>
      </w:pPr>
    </w:p>
    <w:p w:rsidR="009115BE" w:rsidRPr="002D7A10" w:rsidRDefault="00B51749" w:rsidP="009115BE">
      <w:pPr>
        <w:pStyle w:val="Bezriadkovania"/>
        <w:jc w:val="both"/>
        <w:rPr>
          <w:rFonts w:asciiTheme="minorHAnsi" w:hAnsiTheme="minorHAnsi"/>
          <w:sz w:val="24"/>
          <w:szCs w:val="24"/>
        </w:rPr>
      </w:pPr>
      <w:r w:rsidRPr="002D7A10">
        <w:rPr>
          <w:rFonts w:asciiTheme="minorHAnsi" w:hAnsiTheme="minorHAnsi"/>
          <w:sz w:val="24"/>
          <w:szCs w:val="24"/>
        </w:rPr>
        <w:t xml:space="preserve">Univerzita podporuje transfer poznatkov z laboratórií do praxe aj prostredníctvom </w:t>
      </w:r>
      <w:proofErr w:type="spellStart"/>
      <w:r w:rsidRPr="002D7A10">
        <w:rPr>
          <w:rFonts w:asciiTheme="minorHAnsi" w:hAnsiTheme="minorHAnsi"/>
          <w:sz w:val="24"/>
          <w:szCs w:val="24"/>
        </w:rPr>
        <w:t>spin-off</w:t>
      </w:r>
      <w:proofErr w:type="spellEnd"/>
      <w:r w:rsidRPr="002D7A10">
        <w:rPr>
          <w:rFonts w:asciiTheme="minorHAnsi" w:hAnsiTheme="minorHAnsi"/>
          <w:sz w:val="24"/>
          <w:szCs w:val="24"/>
        </w:rPr>
        <w:t xml:space="preserve"> a </w:t>
      </w:r>
      <w:proofErr w:type="spellStart"/>
      <w:r w:rsidRPr="002D7A10">
        <w:rPr>
          <w:rFonts w:asciiTheme="minorHAnsi" w:hAnsiTheme="minorHAnsi"/>
          <w:sz w:val="24"/>
          <w:szCs w:val="24"/>
        </w:rPr>
        <w:t>start-up</w:t>
      </w:r>
      <w:proofErr w:type="spellEnd"/>
      <w:r w:rsidRPr="002D7A10">
        <w:rPr>
          <w:rFonts w:asciiTheme="minorHAnsi" w:hAnsiTheme="minorHAnsi"/>
          <w:sz w:val="24"/>
          <w:szCs w:val="24"/>
        </w:rPr>
        <w:t xml:space="preserve"> spoločností. </w:t>
      </w:r>
      <w:r w:rsidR="009115BE" w:rsidRPr="002D7A10">
        <w:rPr>
          <w:rFonts w:asciiTheme="minorHAnsi" w:hAnsiTheme="minorHAnsi"/>
          <w:sz w:val="24"/>
          <w:szCs w:val="24"/>
        </w:rPr>
        <w:t xml:space="preserve"> Predovšetkým podpora </w:t>
      </w:r>
      <w:proofErr w:type="spellStart"/>
      <w:r w:rsidR="009115BE" w:rsidRPr="002D7A10">
        <w:rPr>
          <w:rFonts w:asciiTheme="minorHAnsi" w:hAnsiTheme="minorHAnsi"/>
          <w:sz w:val="24"/>
          <w:szCs w:val="24"/>
        </w:rPr>
        <w:t>start-up</w:t>
      </w:r>
      <w:proofErr w:type="spellEnd"/>
      <w:r w:rsidR="009115BE" w:rsidRPr="002D7A10">
        <w:rPr>
          <w:rFonts w:asciiTheme="minorHAnsi" w:hAnsiTheme="minorHAnsi"/>
          <w:sz w:val="24"/>
          <w:szCs w:val="24"/>
        </w:rPr>
        <w:t xml:space="preserve"> firiem má na STU dlhú tradíciu. </w:t>
      </w:r>
      <w:r w:rsidR="009115BE" w:rsidRPr="002D7A10">
        <w:rPr>
          <w:rFonts w:asciiTheme="minorHAnsi" w:hAnsiTheme="minorHAnsi" w:cs="Calibri"/>
          <w:b/>
          <w:color w:val="000000" w:themeColor="text1"/>
          <w:sz w:val="24"/>
          <w:szCs w:val="24"/>
        </w:rPr>
        <w:t>Univerzitný technologický inkubátor STU</w:t>
      </w:r>
      <w:r w:rsidR="009115BE" w:rsidRPr="002D7A10">
        <w:rPr>
          <w:rFonts w:asciiTheme="minorHAnsi" w:hAnsiTheme="minorHAnsi" w:cs="Calibri"/>
          <w:color w:val="000000" w:themeColor="text1"/>
          <w:sz w:val="24"/>
          <w:szCs w:val="24"/>
        </w:rPr>
        <w:t xml:space="preserve"> v sledovanom roku </w:t>
      </w:r>
      <w:r w:rsidR="009115BE" w:rsidRPr="002D7A10">
        <w:rPr>
          <w:rFonts w:asciiTheme="minorHAnsi" w:hAnsiTheme="minorHAnsi" w:cs="Calibri"/>
          <w:b/>
          <w:color w:val="000000" w:themeColor="text1"/>
          <w:sz w:val="24"/>
          <w:szCs w:val="24"/>
        </w:rPr>
        <w:t>oslávil 10. výročie svojho otvorenia.</w:t>
      </w:r>
      <w:r w:rsidR="009115BE" w:rsidRPr="002D7A10">
        <w:rPr>
          <w:rFonts w:asciiTheme="minorHAnsi" w:hAnsiTheme="minorHAnsi" w:cs="Calibri"/>
          <w:color w:val="000000" w:themeColor="text1"/>
          <w:sz w:val="24"/>
          <w:szCs w:val="24"/>
        </w:rPr>
        <w:t xml:space="preserve">  Za dobu fungovania podporil 44 </w:t>
      </w:r>
      <w:proofErr w:type="spellStart"/>
      <w:r w:rsidR="009115BE" w:rsidRPr="002D7A10">
        <w:rPr>
          <w:rFonts w:asciiTheme="minorHAnsi" w:hAnsiTheme="minorHAnsi" w:cs="Calibri"/>
          <w:color w:val="000000" w:themeColor="text1"/>
          <w:sz w:val="24"/>
          <w:szCs w:val="24"/>
        </w:rPr>
        <w:t>inkubovaných</w:t>
      </w:r>
      <w:proofErr w:type="spellEnd"/>
      <w:r w:rsidR="009115BE" w:rsidRPr="002D7A10">
        <w:rPr>
          <w:rFonts w:asciiTheme="minorHAnsi" w:hAnsiTheme="minorHAnsi" w:cs="Calibri"/>
          <w:color w:val="000000" w:themeColor="text1"/>
          <w:sz w:val="24"/>
          <w:szCs w:val="24"/>
        </w:rPr>
        <w:t xml:space="preserve"> firiem a 43 </w:t>
      </w:r>
      <w:proofErr w:type="spellStart"/>
      <w:r w:rsidR="009115BE" w:rsidRPr="002D7A10">
        <w:rPr>
          <w:rFonts w:asciiTheme="minorHAnsi" w:hAnsiTheme="minorHAnsi" w:cs="Calibri"/>
          <w:color w:val="000000" w:themeColor="text1"/>
          <w:sz w:val="24"/>
          <w:szCs w:val="24"/>
        </w:rPr>
        <w:t>startupov</w:t>
      </w:r>
      <w:proofErr w:type="spellEnd"/>
      <w:r w:rsidR="009115BE" w:rsidRPr="002D7A10">
        <w:rPr>
          <w:rFonts w:asciiTheme="minorHAnsi" w:hAnsiTheme="minorHAnsi" w:cs="Calibri"/>
          <w:color w:val="000000" w:themeColor="text1"/>
          <w:sz w:val="24"/>
          <w:szCs w:val="24"/>
        </w:rPr>
        <w:t xml:space="preserve">. </w:t>
      </w:r>
      <w:r w:rsidR="009115BE" w:rsidRPr="002D7A10">
        <w:rPr>
          <w:rFonts w:asciiTheme="minorHAnsi" w:hAnsiTheme="minorHAnsi"/>
          <w:sz w:val="24"/>
          <w:szCs w:val="24"/>
        </w:rPr>
        <w:t xml:space="preserve">V rámci univerzity v roku 2015pôsobilo 5 </w:t>
      </w:r>
      <w:proofErr w:type="spellStart"/>
      <w:r w:rsidR="009115BE" w:rsidRPr="002D7A10">
        <w:rPr>
          <w:rFonts w:asciiTheme="minorHAnsi" w:hAnsiTheme="minorHAnsi"/>
          <w:sz w:val="24"/>
          <w:szCs w:val="24"/>
        </w:rPr>
        <w:t>spin-off</w:t>
      </w:r>
      <w:proofErr w:type="spellEnd"/>
      <w:r w:rsidR="009115BE" w:rsidRPr="002D7A10">
        <w:rPr>
          <w:rFonts w:asciiTheme="minorHAnsi" w:hAnsiTheme="minorHAnsi"/>
          <w:sz w:val="24"/>
          <w:szCs w:val="24"/>
        </w:rPr>
        <w:t xml:space="preserve"> spoločností.</w:t>
      </w:r>
    </w:p>
    <w:p w:rsidR="00B51749" w:rsidRPr="002D7A10" w:rsidRDefault="00B51749" w:rsidP="00B51749">
      <w:pPr>
        <w:pStyle w:val="Bezriadkovania"/>
        <w:jc w:val="both"/>
        <w:rPr>
          <w:rStyle w:val="Siln"/>
          <w:rFonts w:asciiTheme="minorHAnsi" w:hAnsiTheme="minorHAnsi"/>
          <w:color w:val="FF0000"/>
          <w:sz w:val="24"/>
          <w:szCs w:val="24"/>
        </w:rPr>
      </w:pPr>
    </w:p>
    <w:p w:rsidR="009115BE" w:rsidRPr="002D7A10" w:rsidRDefault="009115BE" w:rsidP="009115BE">
      <w:pPr>
        <w:pStyle w:val="Default"/>
        <w:jc w:val="both"/>
        <w:rPr>
          <w:rFonts w:asciiTheme="minorHAnsi" w:hAnsiTheme="minorHAnsi" w:cs="Times New Roman"/>
          <w:b/>
          <w:color w:val="auto"/>
          <w:lang w:val="sk-SK"/>
        </w:rPr>
      </w:pPr>
      <w:r w:rsidRPr="002D7A10">
        <w:rPr>
          <w:rFonts w:asciiTheme="minorHAnsi" w:hAnsiTheme="minorHAnsi" w:cs="Times New Roman"/>
          <w:color w:val="auto"/>
          <w:lang w:val="sk-SK"/>
        </w:rPr>
        <w:t xml:space="preserve">V oblasti zamestnanosti v roku 2015 pokračovalo znižovanie celkového </w:t>
      </w:r>
      <w:r w:rsidRPr="002D7A10">
        <w:rPr>
          <w:rFonts w:asciiTheme="minorHAnsi" w:hAnsiTheme="minorHAnsi" w:cs="Times New Roman"/>
          <w:b/>
          <w:color w:val="auto"/>
          <w:lang w:val="sk-SK"/>
        </w:rPr>
        <w:t xml:space="preserve">počtu zamestnancov univerzity. </w:t>
      </w:r>
      <w:r w:rsidRPr="002D7A10">
        <w:rPr>
          <w:rFonts w:asciiTheme="minorHAnsi" w:hAnsiTheme="minorHAnsi" w:cs="Times New Roman"/>
          <w:color w:val="auto"/>
          <w:lang w:val="sk-SK"/>
        </w:rPr>
        <w:t xml:space="preserve">Negatívnom je, že pokračovalo aj znižovanie počtu vysokoškolských učiteľov a vedeckovýskumných pracovníkov. </w:t>
      </w:r>
      <w:r w:rsidRPr="002D7A10">
        <w:rPr>
          <w:rFonts w:asciiTheme="minorHAnsi" w:hAnsiTheme="minorHAnsi" w:cs="Times New Roman"/>
          <w:b/>
          <w:color w:val="auto"/>
          <w:lang w:val="sk-SK"/>
        </w:rPr>
        <w:t>V roku 2015 bol priemerný počet zamestnancov na STU 2835, z toho bolo 1118 vysokoškolských učiteľov a 425 vedeckovýskumných zamestnancov.</w:t>
      </w:r>
      <w:r w:rsidRPr="002D7A10">
        <w:rPr>
          <w:rFonts w:asciiTheme="minorHAnsi" w:hAnsiTheme="minorHAnsi" w:cs="Times New Roman"/>
          <w:b/>
          <w:color w:val="FF0000"/>
          <w:lang w:val="sk-SK"/>
        </w:rPr>
        <w:t xml:space="preserve"> </w:t>
      </w:r>
    </w:p>
    <w:p w:rsidR="003E15F0" w:rsidRPr="002D7A10" w:rsidRDefault="003E15F0" w:rsidP="009115BE">
      <w:pPr>
        <w:shd w:val="clear" w:color="auto" w:fill="FFFFFF"/>
        <w:rPr>
          <w:rFonts w:asciiTheme="minorHAnsi" w:hAnsiTheme="minorHAnsi"/>
          <w:b/>
          <w:color w:val="FF0000"/>
        </w:rPr>
      </w:pPr>
    </w:p>
    <w:p w:rsidR="003E15F0" w:rsidRPr="002D7A10" w:rsidRDefault="003E15F0" w:rsidP="00B51749">
      <w:pPr>
        <w:pStyle w:val="Default"/>
        <w:jc w:val="both"/>
        <w:rPr>
          <w:rFonts w:asciiTheme="minorHAnsi" w:hAnsiTheme="minorHAnsi"/>
          <w:color w:val="FF0000"/>
          <w:lang w:val="sk-SK"/>
        </w:rPr>
      </w:pPr>
      <w:r w:rsidRPr="002D7A10">
        <w:rPr>
          <w:rFonts w:asciiTheme="minorHAnsi" w:hAnsiTheme="minorHAnsi"/>
          <w:color w:val="auto"/>
          <w:lang w:val="sk-SK"/>
        </w:rPr>
        <w:t> </w:t>
      </w:r>
    </w:p>
    <w:p w:rsidR="00B51749" w:rsidRDefault="00B51749" w:rsidP="00B51749">
      <w:pPr>
        <w:rPr>
          <w:rFonts w:asciiTheme="minorHAnsi" w:hAnsiTheme="minorHAnsi"/>
          <w:color w:val="FF0000"/>
        </w:rPr>
      </w:pPr>
    </w:p>
    <w:p w:rsidR="009F724C" w:rsidRPr="002D7A10" w:rsidRDefault="009F724C" w:rsidP="00B51749">
      <w:pPr>
        <w:rPr>
          <w:rFonts w:asciiTheme="minorHAnsi" w:hAnsiTheme="minorHAnsi"/>
          <w:color w:val="FF0000"/>
        </w:rPr>
      </w:pPr>
    </w:p>
    <w:p w:rsidR="00B51749" w:rsidRPr="002D7A10" w:rsidRDefault="00B51749" w:rsidP="00B51749">
      <w:pPr>
        <w:pStyle w:val="Nadpis1"/>
        <w:rPr>
          <w:rFonts w:asciiTheme="minorHAnsi" w:hAnsiTheme="minorHAnsi"/>
          <w:color w:val="auto"/>
          <w:sz w:val="24"/>
          <w:szCs w:val="24"/>
        </w:rPr>
      </w:pPr>
      <w:bookmarkStart w:id="85" w:name="_Toc448261620"/>
      <w:r w:rsidRPr="002D7A10">
        <w:rPr>
          <w:rFonts w:asciiTheme="minorHAnsi" w:hAnsiTheme="minorHAnsi"/>
          <w:color w:val="auto"/>
          <w:sz w:val="24"/>
          <w:szCs w:val="24"/>
        </w:rPr>
        <w:t>Prílohy a tabuľky</w:t>
      </w:r>
      <w:bookmarkEnd w:id="85"/>
    </w:p>
    <w:p w:rsidR="00B51749" w:rsidRPr="002D7A10" w:rsidRDefault="00B51749" w:rsidP="00B51749">
      <w:pPr>
        <w:pStyle w:val="Odsekzoznamu"/>
        <w:spacing w:line="240" w:lineRule="auto"/>
        <w:rPr>
          <w:rFonts w:asciiTheme="minorHAnsi" w:hAnsiTheme="minorHAnsi"/>
          <w:b/>
          <w:bCs/>
          <w:color w:val="FF0000"/>
          <w:sz w:val="24"/>
          <w:szCs w:val="24"/>
        </w:rPr>
      </w:pPr>
    </w:p>
    <w:p w:rsidR="00B51749" w:rsidRPr="002D7A10" w:rsidRDefault="00B51749" w:rsidP="00B51749">
      <w:pPr>
        <w:jc w:val="center"/>
        <w:rPr>
          <w:rFonts w:asciiTheme="minorHAnsi" w:hAnsiTheme="minorHAnsi"/>
          <w:color w:val="FF0000"/>
        </w:rPr>
      </w:pPr>
    </w:p>
    <w:p w:rsidR="00D327A7" w:rsidRPr="002D7A10" w:rsidRDefault="00D327A7">
      <w:pPr>
        <w:rPr>
          <w:rFonts w:asciiTheme="minorHAnsi" w:hAnsiTheme="minorHAnsi"/>
        </w:rPr>
      </w:pPr>
    </w:p>
    <w:sectPr w:rsidR="00D327A7" w:rsidRPr="002D7A10" w:rsidSect="00024C6B">
      <w:pgSz w:w="11900" w:h="16840"/>
      <w:pgMar w:top="2127"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A2" w:rsidRDefault="002C13A2" w:rsidP="00B51749">
      <w:r>
        <w:separator/>
      </w:r>
    </w:p>
  </w:endnote>
  <w:endnote w:type="continuationSeparator" w:id="0">
    <w:p w:rsidR="002C13A2" w:rsidRDefault="002C13A2" w:rsidP="00B5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yriad Pro">
    <w:altName w:val="Times New Roman"/>
    <w:charset w:val="00"/>
    <w:family w:val="auto"/>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335393"/>
      <w:docPartObj>
        <w:docPartGallery w:val="Page Numbers (Bottom of Page)"/>
        <w:docPartUnique/>
      </w:docPartObj>
    </w:sdtPr>
    <w:sdtEndPr>
      <w:rPr>
        <w:sz w:val="22"/>
        <w:szCs w:val="22"/>
      </w:rPr>
    </w:sdtEndPr>
    <w:sdtContent>
      <w:p w:rsidR="00FC767B" w:rsidRPr="00173BF4" w:rsidRDefault="00FC767B">
        <w:pPr>
          <w:pStyle w:val="Pta"/>
          <w:jc w:val="right"/>
          <w:rPr>
            <w:sz w:val="22"/>
            <w:szCs w:val="22"/>
          </w:rPr>
        </w:pPr>
        <w:r w:rsidRPr="00173BF4">
          <w:rPr>
            <w:rFonts w:asciiTheme="majorHAnsi" w:hAnsiTheme="majorHAnsi"/>
            <w:sz w:val="22"/>
            <w:szCs w:val="22"/>
          </w:rPr>
          <w:fldChar w:fldCharType="begin"/>
        </w:r>
        <w:r w:rsidRPr="00173BF4">
          <w:rPr>
            <w:rFonts w:asciiTheme="majorHAnsi" w:hAnsiTheme="majorHAnsi"/>
            <w:sz w:val="22"/>
            <w:szCs w:val="22"/>
          </w:rPr>
          <w:instrText>PAGE   \* MERGEFORMAT</w:instrText>
        </w:r>
        <w:r w:rsidRPr="00173BF4">
          <w:rPr>
            <w:rFonts w:asciiTheme="majorHAnsi" w:hAnsiTheme="majorHAnsi"/>
            <w:sz w:val="22"/>
            <w:szCs w:val="22"/>
          </w:rPr>
          <w:fldChar w:fldCharType="separate"/>
        </w:r>
        <w:r w:rsidR="00F42B47">
          <w:rPr>
            <w:rFonts w:asciiTheme="majorHAnsi" w:hAnsiTheme="majorHAnsi"/>
            <w:noProof/>
            <w:sz w:val="22"/>
            <w:szCs w:val="22"/>
          </w:rPr>
          <w:t>1</w:t>
        </w:r>
        <w:r w:rsidRPr="00173BF4">
          <w:rPr>
            <w:rFonts w:asciiTheme="majorHAnsi" w:hAnsiTheme="majorHAnsi"/>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7B" w:rsidRPr="00FB0411" w:rsidRDefault="00FC767B" w:rsidP="00447572">
    <w:pPr>
      <w:pStyle w:val="Pta"/>
      <w:jc w:val="right"/>
    </w:pPr>
    <w:r>
      <w:fldChar w:fldCharType="begin"/>
    </w:r>
    <w:r>
      <w:instrText xml:space="preserve"> PAGE   \* MERGEFORMAT </w:instrText>
    </w:r>
    <w:r>
      <w:fldChar w:fldCharType="separate"/>
    </w:r>
    <w:r w:rsidR="00D83DDF">
      <w:rPr>
        <w:noProof/>
      </w:rPr>
      <w:t>109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A2" w:rsidRDefault="002C13A2" w:rsidP="00B51749">
      <w:r>
        <w:separator/>
      </w:r>
    </w:p>
  </w:footnote>
  <w:footnote w:type="continuationSeparator" w:id="0">
    <w:p w:rsidR="002C13A2" w:rsidRDefault="002C13A2" w:rsidP="00B51749">
      <w:r>
        <w:continuationSeparator/>
      </w:r>
    </w:p>
  </w:footnote>
  <w:footnote w:id="1">
    <w:p w:rsidR="00FC767B" w:rsidRDefault="00FC767B" w:rsidP="00CC1450">
      <w:pPr>
        <w:pStyle w:val="Textpoznmkypodiarou"/>
      </w:pPr>
      <w:r>
        <w:rPr>
          <w:rStyle w:val="Odkaznapoznmkupodiarou"/>
          <w:rFonts w:eastAsia="MS Mincho"/>
        </w:rPr>
        <w:footnoteRef/>
      </w:r>
      <w:r>
        <w:t xml:space="preserve"> Prepočítaný počet  tvorivých pracovníkov  k 31.12.2015</w:t>
      </w:r>
    </w:p>
  </w:footnote>
  <w:footnote w:id="2">
    <w:p w:rsidR="00FC767B" w:rsidRDefault="00FC767B" w:rsidP="003C19C6">
      <w:pPr>
        <w:pStyle w:val="Textpoznmkypodiarou"/>
      </w:pPr>
      <w:r>
        <w:rPr>
          <w:rStyle w:val="Odkaznapoznmkupodiarou"/>
          <w:rFonts w:eastAsia="MS Mincho"/>
        </w:rPr>
        <w:footnoteRef/>
      </w:r>
      <w:r>
        <w:t xml:space="preserve"> Pre roky 2011-2014 verifikované údaje použité ministerstvom ale aj STU pri výpočte dotácie v daných rokoch.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7B" w:rsidRDefault="00FC767B" w:rsidP="00CE307D">
    <w:pPr>
      <w:pStyle w:val="Hlavika"/>
      <w:tabs>
        <w:tab w:val="clear" w:pos="4320"/>
        <w:tab w:val="clear" w:pos="8640"/>
        <w:tab w:val="left" w:pos="6225"/>
      </w:tabs>
      <w:ind w:left="-1276"/>
    </w:pPr>
    <w:r>
      <w:rPr>
        <w:rFonts w:ascii="Times New Roman" w:hAnsi="Times New Roman"/>
        <w:noProof/>
        <w:lang w:eastAsia="sk-SK"/>
      </w:rPr>
      <mc:AlternateContent>
        <mc:Choice Requires="wps">
          <w:drawing>
            <wp:anchor distT="0" distB="0" distL="114300" distR="114300" simplePos="0" relativeHeight="251662336" behindDoc="0" locked="0" layoutInCell="1" allowOverlap="1" wp14:anchorId="2D05E78F" wp14:editId="56912C6B">
              <wp:simplePos x="0" y="0"/>
              <wp:positionH relativeFrom="column">
                <wp:posOffset>1697355</wp:posOffset>
              </wp:positionH>
              <wp:positionV relativeFrom="paragraph">
                <wp:posOffset>-275590</wp:posOffset>
              </wp:positionV>
              <wp:extent cx="4370705" cy="685800"/>
              <wp:effectExtent l="0" t="0" r="0" b="0"/>
              <wp:wrapNone/>
              <wp:docPr id="6" name="Blok textu 6"/>
              <wp:cNvGraphicFramePr/>
              <a:graphic xmlns:a="http://schemas.openxmlformats.org/drawingml/2006/main">
                <a:graphicData uri="http://schemas.microsoft.com/office/word/2010/wordprocessingShape">
                  <wps:wsp>
                    <wps:cNvSpPr txBox="1"/>
                    <wps:spPr>
                      <a:xfrm>
                        <a:off x="0" y="0"/>
                        <a:ext cx="437070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FC767B" w:rsidRPr="00A20866" w:rsidRDefault="001075A8" w:rsidP="009D3301">
                          <w:pPr>
                            <w:jc w:val="right"/>
                            <w:rPr>
                              <w:rFonts w:asciiTheme="majorHAnsi" w:hAnsiTheme="majorHAnsi"/>
                              <w:sz w:val="16"/>
                              <w:szCs w:val="16"/>
                            </w:rPr>
                          </w:pPr>
                          <w:r>
                            <w:rPr>
                              <w:rFonts w:asciiTheme="majorHAnsi" w:hAnsiTheme="majorHAnsi"/>
                              <w:sz w:val="16"/>
                              <w:szCs w:val="16"/>
                            </w:rPr>
                            <w:t>AS STU</w:t>
                          </w:r>
                          <w:r w:rsidR="00FC767B">
                            <w:rPr>
                              <w:rFonts w:asciiTheme="majorHAnsi" w:hAnsiTheme="majorHAnsi"/>
                              <w:sz w:val="16"/>
                              <w:szCs w:val="16"/>
                            </w:rPr>
                            <w:t xml:space="preserve">, </w:t>
                          </w:r>
                          <w:r>
                            <w:rPr>
                              <w:rFonts w:asciiTheme="majorHAnsi" w:hAnsiTheme="majorHAnsi"/>
                              <w:sz w:val="16"/>
                              <w:szCs w:val="16"/>
                            </w:rPr>
                            <w:t>25</w:t>
                          </w:r>
                          <w:r w:rsidR="00FC767B">
                            <w:rPr>
                              <w:rFonts w:asciiTheme="majorHAnsi" w:hAnsiTheme="majorHAnsi"/>
                              <w:sz w:val="16"/>
                              <w:szCs w:val="16"/>
                            </w:rPr>
                            <w:t>.04. 2016</w:t>
                          </w:r>
                        </w:p>
                        <w:p w:rsidR="00FC767B" w:rsidRDefault="00FC767B" w:rsidP="009D3301">
                          <w:pPr>
                            <w:jc w:val="right"/>
                            <w:rPr>
                              <w:rFonts w:asciiTheme="majorHAnsi" w:hAnsiTheme="majorHAnsi"/>
                              <w:sz w:val="16"/>
                              <w:szCs w:val="16"/>
                            </w:rPr>
                          </w:pPr>
                          <w:r>
                            <w:rPr>
                              <w:rFonts w:asciiTheme="majorHAnsi" w:hAnsiTheme="majorHAnsi"/>
                              <w:sz w:val="16"/>
                              <w:szCs w:val="16"/>
                            </w:rPr>
                            <w:t>Výročná správa o činnosti STU za rok 2015</w:t>
                          </w:r>
                        </w:p>
                        <w:p w:rsidR="00FC767B" w:rsidRPr="00A20866" w:rsidRDefault="00FC767B" w:rsidP="009D3301">
                          <w:pPr>
                            <w:jc w:val="center"/>
                            <w:rPr>
                              <w:rFonts w:asciiTheme="majorHAnsi" w:hAnsiTheme="majorHAnsi"/>
                              <w:sz w:val="16"/>
                              <w:szCs w:val="16"/>
                            </w:rPr>
                          </w:pPr>
                        </w:p>
                        <w:p w:rsidR="00FC767B" w:rsidRPr="00A20866" w:rsidRDefault="00FC767B" w:rsidP="009D3301">
                          <w:pPr>
                            <w:jc w:val="right"/>
                            <w:rPr>
                              <w:rFonts w:asciiTheme="majorHAnsi" w:hAnsiTheme="majorHAnsi"/>
                              <w:sz w:val="16"/>
                              <w:szCs w:val="16"/>
                            </w:rPr>
                          </w:pPr>
                          <w:r>
                            <w:rPr>
                              <w:rFonts w:asciiTheme="majorHAnsi" w:hAnsiTheme="majorHAnsi"/>
                              <w:sz w:val="16"/>
                              <w:szCs w:val="16"/>
                            </w:rPr>
                            <w:t>P</w:t>
                          </w:r>
                          <w:r w:rsidRPr="00A20866">
                            <w:rPr>
                              <w:rFonts w:asciiTheme="majorHAnsi" w:hAnsiTheme="majorHAnsi"/>
                              <w:sz w:val="16"/>
                              <w:szCs w:val="16"/>
                            </w:rPr>
                            <w:t>ozvánk</w:t>
                          </w:r>
                          <w:r>
                            <w:rPr>
                              <w:rFonts w:asciiTheme="majorHAnsi" w:hAnsiTheme="majorHAnsi"/>
                              <w:sz w:val="16"/>
                              <w:szCs w:val="16"/>
                            </w:rPr>
                            <w:t xml:space="preserve">a č.X/2016,  bod </w:t>
                          </w:r>
                          <w:proofErr w:type="spellStart"/>
                          <w:r>
                            <w:rPr>
                              <w:rFonts w:asciiTheme="majorHAnsi" w:hAnsiTheme="majorHAnsi"/>
                              <w:sz w:val="16"/>
                              <w:szCs w:val="16"/>
                            </w:rPr>
                            <w:t>č.XX</w:t>
                          </w:r>
                          <w:proofErr w:type="spellEnd"/>
                          <w:r>
                            <w:rPr>
                              <w:rFonts w:asciiTheme="majorHAnsi" w:hAnsiTheme="majorHAnsi"/>
                              <w:sz w:val="16"/>
                              <w:szCs w:val="16"/>
                            </w:rPr>
                            <w:t>,  prof. Ing. Marián Peciar, PhD.</w:t>
                          </w:r>
                        </w:p>
                        <w:p w:rsidR="00FC767B" w:rsidRDefault="00FC767B" w:rsidP="00CE307D">
                          <w:pPr>
                            <w:ind w:right="68"/>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6" o:spid="_x0000_s1027" type="#_x0000_t202" style="position:absolute;left:0;text-align:left;margin-left:133.65pt;margin-top:-21.7pt;width:344.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" filled="f" stroked="f">
              <v:textbox>
                <w:txbxContent>
                  <w:p w:rsidR="00FC767B" w:rsidRPr="00A20866" w:rsidRDefault="001075A8" w:rsidP="009D3301">
                    <w:pPr>
                      <w:jc w:val="right"/>
                      <w:rPr>
                        <w:rFonts w:asciiTheme="majorHAnsi" w:hAnsiTheme="majorHAnsi"/>
                        <w:sz w:val="16"/>
                        <w:szCs w:val="16"/>
                      </w:rPr>
                    </w:pPr>
                    <w:r>
                      <w:rPr>
                        <w:rFonts w:asciiTheme="majorHAnsi" w:hAnsiTheme="majorHAnsi"/>
                        <w:sz w:val="16"/>
                        <w:szCs w:val="16"/>
                      </w:rPr>
                      <w:t>AS STU</w:t>
                    </w:r>
                    <w:r w:rsidR="00FC767B">
                      <w:rPr>
                        <w:rFonts w:asciiTheme="majorHAnsi" w:hAnsiTheme="majorHAnsi"/>
                        <w:sz w:val="16"/>
                        <w:szCs w:val="16"/>
                      </w:rPr>
                      <w:t xml:space="preserve">, </w:t>
                    </w:r>
                    <w:r>
                      <w:rPr>
                        <w:rFonts w:asciiTheme="majorHAnsi" w:hAnsiTheme="majorHAnsi"/>
                        <w:sz w:val="16"/>
                        <w:szCs w:val="16"/>
                      </w:rPr>
                      <w:t>25</w:t>
                    </w:r>
                    <w:r w:rsidR="00FC767B">
                      <w:rPr>
                        <w:rFonts w:asciiTheme="majorHAnsi" w:hAnsiTheme="majorHAnsi"/>
                        <w:sz w:val="16"/>
                        <w:szCs w:val="16"/>
                      </w:rPr>
                      <w:t>.04. 2016</w:t>
                    </w:r>
                  </w:p>
                  <w:p w:rsidR="00FC767B" w:rsidRDefault="00FC767B" w:rsidP="009D3301">
                    <w:pPr>
                      <w:jc w:val="right"/>
                      <w:rPr>
                        <w:rFonts w:asciiTheme="majorHAnsi" w:hAnsiTheme="majorHAnsi"/>
                        <w:sz w:val="16"/>
                        <w:szCs w:val="16"/>
                      </w:rPr>
                    </w:pPr>
                    <w:r>
                      <w:rPr>
                        <w:rFonts w:asciiTheme="majorHAnsi" w:hAnsiTheme="majorHAnsi"/>
                        <w:sz w:val="16"/>
                        <w:szCs w:val="16"/>
                      </w:rPr>
                      <w:t>Výročná správa o činnosti STU za rok 2015</w:t>
                    </w:r>
                  </w:p>
                  <w:p w:rsidR="00FC767B" w:rsidRPr="00A20866" w:rsidRDefault="00FC767B" w:rsidP="009D3301">
                    <w:pPr>
                      <w:jc w:val="center"/>
                      <w:rPr>
                        <w:rFonts w:asciiTheme="majorHAnsi" w:hAnsiTheme="majorHAnsi"/>
                        <w:sz w:val="16"/>
                        <w:szCs w:val="16"/>
                      </w:rPr>
                    </w:pPr>
                  </w:p>
                  <w:p w:rsidR="00FC767B" w:rsidRPr="00A20866" w:rsidRDefault="00FC767B" w:rsidP="009D3301">
                    <w:pPr>
                      <w:jc w:val="right"/>
                      <w:rPr>
                        <w:rFonts w:asciiTheme="majorHAnsi" w:hAnsiTheme="majorHAnsi"/>
                        <w:sz w:val="16"/>
                        <w:szCs w:val="16"/>
                      </w:rPr>
                    </w:pPr>
                    <w:r>
                      <w:rPr>
                        <w:rFonts w:asciiTheme="majorHAnsi" w:hAnsiTheme="majorHAnsi"/>
                        <w:sz w:val="16"/>
                        <w:szCs w:val="16"/>
                      </w:rPr>
                      <w:t>P</w:t>
                    </w:r>
                    <w:r w:rsidRPr="00A20866">
                      <w:rPr>
                        <w:rFonts w:asciiTheme="majorHAnsi" w:hAnsiTheme="majorHAnsi"/>
                        <w:sz w:val="16"/>
                        <w:szCs w:val="16"/>
                      </w:rPr>
                      <w:t>ozvánk</w:t>
                    </w:r>
                    <w:r>
                      <w:rPr>
                        <w:rFonts w:asciiTheme="majorHAnsi" w:hAnsiTheme="majorHAnsi"/>
                        <w:sz w:val="16"/>
                        <w:szCs w:val="16"/>
                      </w:rPr>
                      <w:t>a č.X/2016,  bod č.XX,  prof. Ing. Marián Peciar, PhD.</w:t>
                    </w:r>
                  </w:p>
                  <w:p w:rsidR="00FC767B" w:rsidRDefault="00FC767B" w:rsidP="00CE307D">
                    <w:pPr>
                      <w:ind w:right="68"/>
                      <w:jc w:val="right"/>
                      <w:rPr>
                        <w:rFonts w:asciiTheme="majorHAnsi" w:hAnsiTheme="majorHAnsi"/>
                        <w:sz w:val="16"/>
                        <w:szCs w:val="16"/>
                      </w:rPr>
                    </w:pPr>
                  </w:p>
                </w:txbxContent>
              </v:textbox>
            </v:shape>
          </w:pict>
        </mc:Fallback>
      </mc:AlternateContent>
    </w:r>
    <w:r>
      <w:rPr>
        <w:noProof/>
        <w:lang w:eastAsia="sk-SK"/>
      </w:rPr>
      <w:drawing>
        <wp:anchor distT="0" distB="0" distL="114300" distR="114300" simplePos="0" relativeHeight="251661312" behindDoc="0" locked="0" layoutInCell="1" allowOverlap="1" wp14:anchorId="1A61EC0D" wp14:editId="39A966C5">
          <wp:simplePos x="0" y="0"/>
          <wp:positionH relativeFrom="column">
            <wp:posOffset>-745490</wp:posOffset>
          </wp:positionH>
          <wp:positionV relativeFrom="paragraph">
            <wp:posOffset>-208280</wp:posOffset>
          </wp:positionV>
          <wp:extent cx="1679575" cy="616585"/>
          <wp:effectExtent l="0" t="0" r="0" b="0"/>
          <wp:wrapSquare wrapText="bothSides"/>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575" cy="61658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E7" w:rsidRDefault="003F50E7"/>
  <w:p w:rsidR="00B63321" w:rsidRDefault="00B633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21" w:rsidRDefault="00B633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BDA"/>
    <w:multiLevelType w:val="hybridMultilevel"/>
    <w:tmpl w:val="63AACA14"/>
    <w:lvl w:ilvl="0" w:tplc="914C9F06">
      <w:start w:val="1"/>
      <w:numFmt w:val="bullet"/>
      <w:lvlText w:val="-"/>
      <w:lvlJc w:val="left"/>
      <w:pPr>
        <w:tabs>
          <w:tab w:val="num" w:pos="170"/>
        </w:tabs>
        <w:ind w:left="170" w:hanging="170"/>
      </w:pPr>
      <w:rPr>
        <w:rFonts w:ascii="Times New Roman" w:eastAsia="Times New Roman" w:hAnsi="Times New Roman" w:hint="default"/>
      </w:rPr>
    </w:lvl>
    <w:lvl w:ilvl="1" w:tplc="85801F9E">
      <w:start w:val="1"/>
      <w:numFmt w:val="bullet"/>
      <w:lvlText w:val="-"/>
      <w:lvlJc w:val="left"/>
      <w:pPr>
        <w:tabs>
          <w:tab w:val="num" w:pos="1250"/>
        </w:tabs>
        <w:ind w:left="1247" w:hanging="167"/>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20B15C7"/>
    <w:multiLevelType w:val="multilevel"/>
    <w:tmpl w:val="71F0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35365"/>
    <w:multiLevelType w:val="multilevel"/>
    <w:tmpl w:val="FD52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035E2"/>
    <w:multiLevelType w:val="multilevel"/>
    <w:tmpl w:val="DD96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86C10"/>
    <w:multiLevelType w:val="multilevel"/>
    <w:tmpl w:val="C0F2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A01ED"/>
    <w:multiLevelType w:val="multilevel"/>
    <w:tmpl w:val="02ACBB2C"/>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3273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0FAE44BC"/>
    <w:multiLevelType w:val="multilevel"/>
    <w:tmpl w:val="5124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A5396"/>
    <w:multiLevelType w:val="hybridMultilevel"/>
    <w:tmpl w:val="ADB8F4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12B8438A"/>
    <w:multiLevelType w:val="hybridMultilevel"/>
    <w:tmpl w:val="B1FC8B9C"/>
    <w:lvl w:ilvl="0" w:tplc="CAEEA878">
      <w:start w:val="1"/>
      <w:numFmt w:val="decimal"/>
      <w:lvlText w:val="%1."/>
      <w:lvlJc w:val="left"/>
      <w:pPr>
        <w:ind w:left="720" w:hanging="360"/>
      </w:pPr>
      <w:rPr>
        <w:rFonts w:ascii="Calibri" w:hAnsi="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B831FE"/>
    <w:multiLevelType w:val="multilevel"/>
    <w:tmpl w:val="276E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C455AE"/>
    <w:multiLevelType w:val="hybridMultilevel"/>
    <w:tmpl w:val="371A2E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F17032"/>
    <w:multiLevelType w:val="hybridMultilevel"/>
    <w:tmpl w:val="120EFC76"/>
    <w:lvl w:ilvl="0" w:tplc="86BC5686">
      <w:start w:val="1"/>
      <w:numFmt w:val="bullet"/>
      <w:lvlText w:val="-"/>
      <w:lvlJc w:val="left"/>
      <w:pPr>
        <w:ind w:left="578" w:hanging="360"/>
      </w:pPr>
      <w:rPr>
        <w:rFonts w:ascii="Calibri" w:hAnsi="Calibri" w:hint="default"/>
      </w:rPr>
    </w:lvl>
    <w:lvl w:ilvl="1" w:tplc="041B0003">
      <w:start w:val="1"/>
      <w:numFmt w:val="bullet"/>
      <w:lvlText w:val="o"/>
      <w:lvlJc w:val="left"/>
      <w:pPr>
        <w:ind w:left="1298" w:hanging="360"/>
      </w:pPr>
      <w:rPr>
        <w:rFonts w:ascii="Courier New" w:hAnsi="Courier New" w:cs="Courier New" w:hint="default"/>
      </w:rPr>
    </w:lvl>
    <w:lvl w:ilvl="2" w:tplc="041B0005">
      <w:start w:val="1"/>
      <w:numFmt w:val="bullet"/>
      <w:lvlText w:val=""/>
      <w:lvlJc w:val="left"/>
      <w:pPr>
        <w:ind w:left="2018" w:hanging="360"/>
      </w:pPr>
      <w:rPr>
        <w:rFonts w:ascii="Wingdings" w:hAnsi="Wingdings" w:hint="default"/>
      </w:rPr>
    </w:lvl>
    <w:lvl w:ilvl="3" w:tplc="041B0001">
      <w:start w:val="1"/>
      <w:numFmt w:val="bullet"/>
      <w:lvlText w:val=""/>
      <w:lvlJc w:val="left"/>
      <w:pPr>
        <w:ind w:left="2738" w:hanging="360"/>
      </w:pPr>
      <w:rPr>
        <w:rFonts w:ascii="Symbol" w:hAnsi="Symbol" w:hint="default"/>
      </w:rPr>
    </w:lvl>
    <w:lvl w:ilvl="4" w:tplc="041B0003">
      <w:start w:val="1"/>
      <w:numFmt w:val="bullet"/>
      <w:lvlText w:val="o"/>
      <w:lvlJc w:val="left"/>
      <w:pPr>
        <w:ind w:left="3458" w:hanging="360"/>
      </w:pPr>
      <w:rPr>
        <w:rFonts w:ascii="Courier New" w:hAnsi="Courier New" w:cs="Courier New" w:hint="default"/>
      </w:rPr>
    </w:lvl>
    <w:lvl w:ilvl="5" w:tplc="041B0005">
      <w:start w:val="1"/>
      <w:numFmt w:val="bullet"/>
      <w:lvlText w:val=""/>
      <w:lvlJc w:val="left"/>
      <w:pPr>
        <w:ind w:left="4178" w:hanging="360"/>
      </w:pPr>
      <w:rPr>
        <w:rFonts w:ascii="Wingdings" w:hAnsi="Wingdings" w:hint="default"/>
      </w:rPr>
    </w:lvl>
    <w:lvl w:ilvl="6" w:tplc="041B0001">
      <w:start w:val="1"/>
      <w:numFmt w:val="bullet"/>
      <w:lvlText w:val=""/>
      <w:lvlJc w:val="left"/>
      <w:pPr>
        <w:ind w:left="4898" w:hanging="360"/>
      </w:pPr>
      <w:rPr>
        <w:rFonts w:ascii="Symbol" w:hAnsi="Symbol" w:hint="default"/>
      </w:rPr>
    </w:lvl>
    <w:lvl w:ilvl="7" w:tplc="041B0003">
      <w:start w:val="1"/>
      <w:numFmt w:val="bullet"/>
      <w:lvlText w:val="o"/>
      <w:lvlJc w:val="left"/>
      <w:pPr>
        <w:ind w:left="5618" w:hanging="360"/>
      </w:pPr>
      <w:rPr>
        <w:rFonts w:ascii="Courier New" w:hAnsi="Courier New" w:cs="Courier New" w:hint="default"/>
      </w:rPr>
    </w:lvl>
    <w:lvl w:ilvl="8" w:tplc="041B0005">
      <w:start w:val="1"/>
      <w:numFmt w:val="bullet"/>
      <w:lvlText w:val=""/>
      <w:lvlJc w:val="left"/>
      <w:pPr>
        <w:ind w:left="6338" w:hanging="360"/>
      </w:pPr>
      <w:rPr>
        <w:rFonts w:ascii="Wingdings" w:hAnsi="Wingdings" w:hint="default"/>
      </w:rPr>
    </w:lvl>
  </w:abstractNum>
  <w:abstractNum w:abstractNumId="12">
    <w:nsid w:val="17136BEA"/>
    <w:multiLevelType w:val="hybridMultilevel"/>
    <w:tmpl w:val="623CFD8E"/>
    <w:lvl w:ilvl="0" w:tplc="B6BA92DC">
      <w:start w:val="1"/>
      <w:numFmt w:val="decimal"/>
      <w:lvlText w:val="(%1)"/>
      <w:lvlJc w:val="left"/>
      <w:pPr>
        <w:ind w:left="1017" w:hanging="720"/>
      </w:pPr>
      <w:rPr>
        <w:rFonts w:ascii="Calibri" w:eastAsia="Calibri" w:hAnsi="Calibri" w:hint="default"/>
        <w:spacing w:val="-1"/>
        <w:w w:val="100"/>
        <w:sz w:val="24"/>
        <w:szCs w:val="24"/>
      </w:rPr>
    </w:lvl>
    <w:lvl w:ilvl="1" w:tplc="99CC8E08">
      <w:start w:val="1"/>
      <w:numFmt w:val="lowerLetter"/>
      <w:lvlText w:val="%2)"/>
      <w:lvlJc w:val="left"/>
      <w:pPr>
        <w:ind w:left="2294" w:hanging="569"/>
      </w:pPr>
      <w:rPr>
        <w:rFonts w:ascii="Calibri" w:eastAsia="Calibri" w:hAnsi="Calibri" w:hint="default"/>
        <w:w w:val="100"/>
        <w:sz w:val="24"/>
        <w:szCs w:val="24"/>
      </w:rPr>
    </w:lvl>
    <w:lvl w:ilvl="2" w:tplc="5030A11C">
      <w:start w:val="1"/>
      <w:numFmt w:val="bullet"/>
      <w:lvlText w:val="•"/>
      <w:lvlJc w:val="left"/>
      <w:pPr>
        <w:ind w:left="3225" w:hanging="569"/>
      </w:pPr>
    </w:lvl>
    <w:lvl w:ilvl="3" w:tplc="30DCF594">
      <w:start w:val="1"/>
      <w:numFmt w:val="bullet"/>
      <w:lvlText w:val="•"/>
      <w:lvlJc w:val="left"/>
      <w:pPr>
        <w:ind w:left="4150" w:hanging="569"/>
      </w:pPr>
    </w:lvl>
    <w:lvl w:ilvl="4" w:tplc="D8F86018">
      <w:start w:val="1"/>
      <w:numFmt w:val="bullet"/>
      <w:lvlText w:val="•"/>
      <w:lvlJc w:val="left"/>
      <w:pPr>
        <w:ind w:left="5075" w:hanging="569"/>
      </w:pPr>
    </w:lvl>
    <w:lvl w:ilvl="5" w:tplc="0824B636">
      <w:start w:val="1"/>
      <w:numFmt w:val="bullet"/>
      <w:lvlText w:val="•"/>
      <w:lvlJc w:val="left"/>
      <w:pPr>
        <w:ind w:left="6000" w:hanging="569"/>
      </w:pPr>
    </w:lvl>
    <w:lvl w:ilvl="6" w:tplc="D7EAA382">
      <w:start w:val="1"/>
      <w:numFmt w:val="bullet"/>
      <w:lvlText w:val="•"/>
      <w:lvlJc w:val="left"/>
      <w:pPr>
        <w:ind w:left="6925" w:hanging="569"/>
      </w:pPr>
    </w:lvl>
    <w:lvl w:ilvl="7" w:tplc="28326230">
      <w:start w:val="1"/>
      <w:numFmt w:val="bullet"/>
      <w:lvlText w:val="•"/>
      <w:lvlJc w:val="left"/>
      <w:pPr>
        <w:ind w:left="7850" w:hanging="569"/>
      </w:pPr>
    </w:lvl>
    <w:lvl w:ilvl="8" w:tplc="27BE3220">
      <w:start w:val="1"/>
      <w:numFmt w:val="bullet"/>
      <w:lvlText w:val="•"/>
      <w:lvlJc w:val="left"/>
      <w:pPr>
        <w:ind w:left="8776" w:hanging="569"/>
      </w:pPr>
    </w:lvl>
  </w:abstractNum>
  <w:abstractNum w:abstractNumId="13">
    <w:nsid w:val="18274096"/>
    <w:multiLevelType w:val="hybridMultilevel"/>
    <w:tmpl w:val="D080399C"/>
    <w:lvl w:ilvl="0" w:tplc="A98AABF4">
      <w:start w:val="1"/>
      <w:numFmt w:val="lowerLetter"/>
      <w:lvlText w:val="%1)"/>
      <w:lvlJc w:val="left"/>
      <w:pPr>
        <w:ind w:left="2513" w:hanging="360"/>
      </w:pPr>
      <w:rPr>
        <w:rFonts w:asciiTheme="majorHAnsi" w:eastAsiaTheme="minorEastAsia" w:hAnsiTheme="majorHAnsi" w:cs="Myriad Pro"/>
      </w:rPr>
    </w:lvl>
    <w:lvl w:ilvl="1" w:tplc="041B0019">
      <w:start w:val="1"/>
      <w:numFmt w:val="lowerLetter"/>
      <w:lvlText w:val="%2."/>
      <w:lvlJc w:val="left"/>
      <w:pPr>
        <w:ind w:left="3233" w:hanging="360"/>
      </w:pPr>
    </w:lvl>
    <w:lvl w:ilvl="2" w:tplc="041B001B">
      <w:start w:val="1"/>
      <w:numFmt w:val="lowerRoman"/>
      <w:lvlText w:val="%3."/>
      <w:lvlJc w:val="right"/>
      <w:pPr>
        <w:ind w:left="3953" w:hanging="180"/>
      </w:pPr>
    </w:lvl>
    <w:lvl w:ilvl="3" w:tplc="041B000F">
      <w:start w:val="1"/>
      <w:numFmt w:val="decimal"/>
      <w:lvlText w:val="%4."/>
      <w:lvlJc w:val="left"/>
      <w:pPr>
        <w:ind w:left="4673" w:hanging="360"/>
      </w:pPr>
    </w:lvl>
    <w:lvl w:ilvl="4" w:tplc="041B0019">
      <w:start w:val="1"/>
      <w:numFmt w:val="lowerLetter"/>
      <w:lvlText w:val="%5."/>
      <w:lvlJc w:val="left"/>
      <w:pPr>
        <w:ind w:left="5393" w:hanging="360"/>
      </w:pPr>
    </w:lvl>
    <w:lvl w:ilvl="5" w:tplc="041B001B">
      <w:start w:val="1"/>
      <w:numFmt w:val="lowerRoman"/>
      <w:lvlText w:val="%6."/>
      <w:lvlJc w:val="right"/>
      <w:pPr>
        <w:ind w:left="6113" w:hanging="180"/>
      </w:pPr>
    </w:lvl>
    <w:lvl w:ilvl="6" w:tplc="041B000F">
      <w:start w:val="1"/>
      <w:numFmt w:val="decimal"/>
      <w:lvlText w:val="%7."/>
      <w:lvlJc w:val="left"/>
      <w:pPr>
        <w:ind w:left="6833" w:hanging="360"/>
      </w:pPr>
    </w:lvl>
    <w:lvl w:ilvl="7" w:tplc="041B0019">
      <w:start w:val="1"/>
      <w:numFmt w:val="lowerLetter"/>
      <w:lvlText w:val="%8."/>
      <w:lvlJc w:val="left"/>
      <w:pPr>
        <w:ind w:left="7553" w:hanging="360"/>
      </w:pPr>
    </w:lvl>
    <w:lvl w:ilvl="8" w:tplc="041B001B">
      <w:start w:val="1"/>
      <w:numFmt w:val="lowerRoman"/>
      <w:lvlText w:val="%9."/>
      <w:lvlJc w:val="right"/>
      <w:pPr>
        <w:ind w:left="8273" w:hanging="180"/>
      </w:pPr>
    </w:lvl>
  </w:abstractNum>
  <w:abstractNum w:abstractNumId="14">
    <w:nsid w:val="18FD6A9C"/>
    <w:multiLevelType w:val="multilevel"/>
    <w:tmpl w:val="8348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435C4F"/>
    <w:multiLevelType w:val="multilevel"/>
    <w:tmpl w:val="178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AF31B0"/>
    <w:multiLevelType w:val="multilevel"/>
    <w:tmpl w:val="C64C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DE3570"/>
    <w:multiLevelType w:val="hybridMultilevel"/>
    <w:tmpl w:val="C2FCCC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EB652A1"/>
    <w:multiLevelType w:val="multilevel"/>
    <w:tmpl w:val="4F0E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B75779"/>
    <w:multiLevelType w:val="multilevel"/>
    <w:tmpl w:val="162E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BF6098"/>
    <w:multiLevelType w:val="hybridMultilevel"/>
    <w:tmpl w:val="DBA60A68"/>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1">
    <w:nsid w:val="21FC0BC5"/>
    <w:multiLevelType w:val="multilevel"/>
    <w:tmpl w:val="8EE8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9076B2"/>
    <w:multiLevelType w:val="hybridMultilevel"/>
    <w:tmpl w:val="D368FC6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3">
    <w:nsid w:val="29DD4516"/>
    <w:multiLevelType w:val="hybridMultilevel"/>
    <w:tmpl w:val="26AE3E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29EC10B1"/>
    <w:multiLevelType w:val="multilevel"/>
    <w:tmpl w:val="EE5E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7172A2"/>
    <w:multiLevelType w:val="hybridMultilevel"/>
    <w:tmpl w:val="F9584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303E682D"/>
    <w:multiLevelType w:val="hybridMultilevel"/>
    <w:tmpl w:val="C1B6EB28"/>
    <w:lvl w:ilvl="0" w:tplc="B172F9C8">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1DC6EF4"/>
    <w:multiLevelType w:val="hybridMultilevel"/>
    <w:tmpl w:val="B4EC60AE"/>
    <w:lvl w:ilvl="0" w:tplc="B6BA92DC">
      <w:start w:val="1"/>
      <w:numFmt w:val="decimal"/>
      <w:lvlText w:val="(%1)"/>
      <w:lvlJc w:val="left"/>
      <w:pPr>
        <w:ind w:left="1017" w:hanging="720"/>
      </w:pPr>
      <w:rPr>
        <w:rFonts w:ascii="Calibri" w:eastAsia="Calibri" w:hAnsi="Calibri" w:hint="default"/>
        <w:spacing w:val="-1"/>
        <w:w w:val="100"/>
        <w:sz w:val="24"/>
        <w:szCs w:val="24"/>
      </w:rPr>
    </w:lvl>
    <w:lvl w:ilvl="1" w:tplc="041B0017">
      <w:start w:val="1"/>
      <w:numFmt w:val="lowerLetter"/>
      <w:lvlText w:val="%2)"/>
      <w:lvlJc w:val="left"/>
      <w:pPr>
        <w:ind w:left="2294" w:hanging="569"/>
      </w:pPr>
      <w:rPr>
        <w:w w:val="100"/>
        <w:sz w:val="24"/>
        <w:szCs w:val="24"/>
      </w:rPr>
    </w:lvl>
    <w:lvl w:ilvl="2" w:tplc="5030A11C">
      <w:start w:val="1"/>
      <w:numFmt w:val="bullet"/>
      <w:lvlText w:val="•"/>
      <w:lvlJc w:val="left"/>
      <w:pPr>
        <w:ind w:left="3225" w:hanging="569"/>
      </w:pPr>
    </w:lvl>
    <w:lvl w:ilvl="3" w:tplc="30DCF594">
      <w:start w:val="1"/>
      <w:numFmt w:val="bullet"/>
      <w:lvlText w:val="•"/>
      <w:lvlJc w:val="left"/>
      <w:pPr>
        <w:ind w:left="4150" w:hanging="569"/>
      </w:pPr>
    </w:lvl>
    <w:lvl w:ilvl="4" w:tplc="D8F86018">
      <w:start w:val="1"/>
      <w:numFmt w:val="bullet"/>
      <w:lvlText w:val="•"/>
      <w:lvlJc w:val="left"/>
      <w:pPr>
        <w:ind w:left="5075" w:hanging="569"/>
      </w:pPr>
    </w:lvl>
    <w:lvl w:ilvl="5" w:tplc="0824B636">
      <w:start w:val="1"/>
      <w:numFmt w:val="bullet"/>
      <w:lvlText w:val="•"/>
      <w:lvlJc w:val="left"/>
      <w:pPr>
        <w:ind w:left="6000" w:hanging="569"/>
      </w:pPr>
    </w:lvl>
    <w:lvl w:ilvl="6" w:tplc="D7EAA382">
      <w:start w:val="1"/>
      <w:numFmt w:val="bullet"/>
      <w:lvlText w:val="•"/>
      <w:lvlJc w:val="left"/>
      <w:pPr>
        <w:ind w:left="6925" w:hanging="569"/>
      </w:pPr>
    </w:lvl>
    <w:lvl w:ilvl="7" w:tplc="28326230">
      <w:start w:val="1"/>
      <w:numFmt w:val="bullet"/>
      <w:lvlText w:val="•"/>
      <w:lvlJc w:val="left"/>
      <w:pPr>
        <w:ind w:left="7850" w:hanging="569"/>
      </w:pPr>
    </w:lvl>
    <w:lvl w:ilvl="8" w:tplc="27BE3220">
      <w:start w:val="1"/>
      <w:numFmt w:val="bullet"/>
      <w:lvlText w:val="•"/>
      <w:lvlJc w:val="left"/>
      <w:pPr>
        <w:ind w:left="8776" w:hanging="569"/>
      </w:pPr>
    </w:lvl>
  </w:abstractNum>
  <w:abstractNum w:abstractNumId="28">
    <w:nsid w:val="340B4EBE"/>
    <w:multiLevelType w:val="hybridMultilevel"/>
    <w:tmpl w:val="27DEB2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9">
    <w:nsid w:val="3545545A"/>
    <w:multiLevelType w:val="multilevel"/>
    <w:tmpl w:val="B138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904887"/>
    <w:multiLevelType w:val="multilevel"/>
    <w:tmpl w:val="302C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C32F0F"/>
    <w:multiLevelType w:val="hybridMultilevel"/>
    <w:tmpl w:val="CD3E4F54"/>
    <w:lvl w:ilvl="0" w:tplc="041B0001">
      <w:start w:val="1"/>
      <w:numFmt w:val="bullet"/>
      <w:lvlText w:val=""/>
      <w:lvlJc w:val="left"/>
      <w:pPr>
        <w:ind w:left="890" w:hanging="360"/>
      </w:pPr>
      <w:rPr>
        <w:rFonts w:ascii="Symbol" w:hAnsi="Symbol" w:hint="default"/>
      </w:rPr>
    </w:lvl>
    <w:lvl w:ilvl="1" w:tplc="041B0003" w:tentative="1">
      <w:start w:val="1"/>
      <w:numFmt w:val="bullet"/>
      <w:lvlText w:val="o"/>
      <w:lvlJc w:val="left"/>
      <w:pPr>
        <w:ind w:left="1610" w:hanging="360"/>
      </w:pPr>
      <w:rPr>
        <w:rFonts w:ascii="Courier New" w:hAnsi="Courier New" w:cs="Courier New" w:hint="default"/>
      </w:rPr>
    </w:lvl>
    <w:lvl w:ilvl="2" w:tplc="041B0005" w:tentative="1">
      <w:start w:val="1"/>
      <w:numFmt w:val="bullet"/>
      <w:lvlText w:val=""/>
      <w:lvlJc w:val="left"/>
      <w:pPr>
        <w:ind w:left="2330" w:hanging="360"/>
      </w:pPr>
      <w:rPr>
        <w:rFonts w:ascii="Wingdings" w:hAnsi="Wingdings" w:hint="default"/>
      </w:rPr>
    </w:lvl>
    <w:lvl w:ilvl="3" w:tplc="041B0001" w:tentative="1">
      <w:start w:val="1"/>
      <w:numFmt w:val="bullet"/>
      <w:lvlText w:val=""/>
      <w:lvlJc w:val="left"/>
      <w:pPr>
        <w:ind w:left="3050" w:hanging="360"/>
      </w:pPr>
      <w:rPr>
        <w:rFonts w:ascii="Symbol" w:hAnsi="Symbol" w:hint="default"/>
      </w:rPr>
    </w:lvl>
    <w:lvl w:ilvl="4" w:tplc="041B0003" w:tentative="1">
      <w:start w:val="1"/>
      <w:numFmt w:val="bullet"/>
      <w:lvlText w:val="o"/>
      <w:lvlJc w:val="left"/>
      <w:pPr>
        <w:ind w:left="3770" w:hanging="360"/>
      </w:pPr>
      <w:rPr>
        <w:rFonts w:ascii="Courier New" w:hAnsi="Courier New" w:cs="Courier New" w:hint="default"/>
      </w:rPr>
    </w:lvl>
    <w:lvl w:ilvl="5" w:tplc="041B0005" w:tentative="1">
      <w:start w:val="1"/>
      <w:numFmt w:val="bullet"/>
      <w:lvlText w:val=""/>
      <w:lvlJc w:val="left"/>
      <w:pPr>
        <w:ind w:left="4490" w:hanging="360"/>
      </w:pPr>
      <w:rPr>
        <w:rFonts w:ascii="Wingdings" w:hAnsi="Wingdings" w:hint="default"/>
      </w:rPr>
    </w:lvl>
    <w:lvl w:ilvl="6" w:tplc="041B0001" w:tentative="1">
      <w:start w:val="1"/>
      <w:numFmt w:val="bullet"/>
      <w:lvlText w:val=""/>
      <w:lvlJc w:val="left"/>
      <w:pPr>
        <w:ind w:left="5210" w:hanging="360"/>
      </w:pPr>
      <w:rPr>
        <w:rFonts w:ascii="Symbol" w:hAnsi="Symbol" w:hint="default"/>
      </w:rPr>
    </w:lvl>
    <w:lvl w:ilvl="7" w:tplc="041B0003" w:tentative="1">
      <w:start w:val="1"/>
      <w:numFmt w:val="bullet"/>
      <w:lvlText w:val="o"/>
      <w:lvlJc w:val="left"/>
      <w:pPr>
        <w:ind w:left="5930" w:hanging="360"/>
      </w:pPr>
      <w:rPr>
        <w:rFonts w:ascii="Courier New" w:hAnsi="Courier New" w:cs="Courier New" w:hint="default"/>
      </w:rPr>
    </w:lvl>
    <w:lvl w:ilvl="8" w:tplc="041B0005" w:tentative="1">
      <w:start w:val="1"/>
      <w:numFmt w:val="bullet"/>
      <w:lvlText w:val=""/>
      <w:lvlJc w:val="left"/>
      <w:pPr>
        <w:ind w:left="6650" w:hanging="360"/>
      </w:pPr>
      <w:rPr>
        <w:rFonts w:ascii="Wingdings" w:hAnsi="Wingdings" w:hint="default"/>
      </w:rPr>
    </w:lvl>
  </w:abstractNum>
  <w:abstractNum w:abstractNumId="32">
    <w:nsid w:val="40D26CA0"/>
    <w:multiLevelType w:val="multilevel"/>
    <w:tmpl w:val="2B1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5A7A1D"/>
    <w:multiLevelType w:val="multilevel"/>
    <w:tmpl w:val="DB8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7423C1"/>
    <w:multiLevelType w:val="hybridMultilevel"/>
    <w:tmpl w:val="DD14ED00"/>
    <w:lvl w:ilvl="0" w:tplc="C3F070DA">
      <w:start w:val="1"/>
      <w:numFmt w:val="decimal"/>
      <w:lvlText w:val="(%1)"/>
      <w:lvlJc w:val="left"/>
      <w:pPr>
        <w:ind w:left="1017" w:hanging="708"/>
      </w:pPr>
      <w:rPr>
        <w:rFonts w:ascii="Calibri" w:eastAsia="Calibri" w:hAnsi="Calibri" w:hint="default"/>
        <w:color w:val="1F221E"/>
        <w:spacing w:val="-1"/>
        <w:w w:val="100"/>
        <w:sz w:val="24"/>
        <w:szCs w:val="24"/>
      </w:rPr>
    </w:lvl>
    <w:lvl w:ilvl="1" w:tplc="C400CD28">
      <w:start w:val="1"/>
      <w:numFmt w:val="lowerLetter"/>
      <w:lvlText w:val="%2)"/>
      <w:lvlJc w:val="left"/>
      <w:pPr>
        <w:ind w:left="2294" w:hanging="569"/>
      </w:pPr>
      <w:rPr>
        <w:rFonts w:ascii="Calibri" w:eastAsia="Calibri" w:hAnsi="Calibri" w:hint="default"/>
        <w:color w:val="1F221E"/>
        <w:spacing w:val="-1"/>
        <w:w w:val="100"/>
        <w:sz w:val="22"/>
        <w:szCs w:val="22"/>
      </w:rPr>
    </w:lvl>
    <w:lvl w:ilvl="2" w:tplc="2488FB8E">
      <w:start w:val="1"/>
      <w:numFmt w:val="bullet"/>
      <w:lvlText w:val="•"/>
      <w:lvlJc w:val="left"/>
      <w:pPr>
        <w:ind w:left="3225" w:hanging="569"/>
      </w:pPr>
    </w:lvl>
    <w:lvl w:ilvl="3" w:tplc="20DE2A32">
      <w:start w:val="1"/>
      <w:numFmt w:val="bullet"/>
      <w:lvlText w:val="•"/>
      <w:lvlJc w:val="left"/>
      <w:pPr>
        <w:ind w:left="4150" w:hanging="569"/>
      </w:pPr>
    </w:lvl>
    <w:lvl w:ilvl="4" w:tplc="12324CFA">
      <w:start w:val="1"/>
      <w:numFmt w:val="bullet"/>
      <w:lvlText w:val="•"/>
      <w:lvlJc w:val="left"/>
      <w:pPr>
        <w:ind w:left="5075" w:hanging="569"/>
      </w:pPr>
    </w:lvl>
    <w:lvl w:ilvl="5" w:tplc="939C54BA">
      <w:start w:val="1"/>
      <w:numFmt w:val="bullet"/>
      <w:lvlText w:val="•"/>
      <w:lvlJc w:val="left"/>
      <w:pPr>
        <w:ind w:left="6000" w:hanging="569"/>
      </w:pPr>
    </w:lvl>
    <w:lvl w:ilvl="6" w:tplc="E7A676D6">
      <w:start w:val="1"/>
      <w:numFmt w:val="bullet"/>
      <w:lvlText w:val="•"/>
      <w:lvlJc w:val="left"/>
      <w:pPr>
        <w:ind w:left="6925" w:hanging="569"/>
      </w:pPr>
    </w:lvl>
    <w:lvl w:ilvl="7" w:tplc="94121BB8">
      <w:start w:val="1"/>
      <w:numFmt w:val="bullet"/>
      <w:lvlText w:val="•"/>
      <w:lvlJc w:val="left"/>
      <w:pPr>
        <w:ind w:left="7850" w:hanging="569"/>
      </w:pPr>
    </w:lvl>
    <w:lvl w:ilvl="8" w:tplc="AEAA2156">
      <w:start w:val="1"/>
      <w:numFmt w:val="bullet"/>
      <w:lvlText w:val="•"/>
      <w:lvlJc w:val="left"/>
      <w:pPr>
        <w:ind w:left="8776" w:hanging="569"/>
      </w:pPr>
    </w:lvl>
  </w:abstractNum>
  <w:abstractNum w:abstractNumId="35">
    <w:nsid w:val="46E75296"/>
    <w:multiLevelType w:val="multilevel"/>
    <w:tmpl w:val="F2E8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B03E22"/>
    <w:multiLevelType w:val="hybridMultilevel"/>
    <w:tmpl w:val="A3C657EC"/>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37">
    <w:nsid w:val="4C7A19CC"/>
    <w:multiLevelType w:val="hybridMultilevel"/>
    <w:tmpl w:val="A32696A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8">
    <w:nsid w:val="4F20517C"/>
    <w:multiLevelType w:val="multilevel"/>
    <w:tmpl w:val="A88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913D24"/>
    <w:multiLevelType w:val="hybridMultilevel"/>
    <w:tmpl w:val="709A3C1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0">
    <w:nsid w:val="4FBE0343"/>
    <w:multiLevelType w:val="multilevel"/>
    <w:tmpl w:val="B6F8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EA761B"/>
    <w:multiLevelType w:val="multilevel"/>
    <w:tmpl w:val="96BA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B84725"/>
    <w:multiLevelType w:val="hybridMultilevel"/>
    <w:tmpl w:val="CF94EDC2"/>
    <w:lvl w:ilvl="0" w:tplc="CC08F168">
      <w:start w:val="1"/>
      <w:numFmt w:val="decimal"/>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7BA4E45"/>
    <w:multiLevelType w:val="multilevel"/>
    <w:tmpl w:val="E1B6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D46A69"/>
    <w:multiLevelType w:val="multilevel"/>
    <w:tmpl w:val="3A54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5001CA"/>
    <w:multiLevelType w:val="hybridMultilevel"/>
    <w:tmpl w:val="1D6C07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nsid w:val="5BF935BF"/>
    <w:multiLevelType w:val="multilevel"/>
    <w:tmpl w:val="3C68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8B6E3D"/>
    <w:multiLevelType w:val="hybridMultilevel"/>
    <w:tmpl w:val="6590DACE"/>
    <w:lvl w:ilvl="0" w:tplc="76E0F9EC">
      <w:numFmt w:val="bullet"/>
      <w:lvlText w:val="-"/>
      <w:lvlJc w:val="left"/>
      <w:pPr>
        <w:ind w:left="720" w:hanging="360"/>
      </w:pPr>
      <w:rPr>
        <w:rFonts w:ascii="Calibri" w:eastAsia="Times New Roman" w:hAnsi="Calibri"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8">
    <w:nsid w:val="5ED26339"/>
    <w:multiLevelType w:val="multilevel"/>
    <w:tmpl w:val="A6B6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606EB4"/>
    <w:multiLevelType w:val="multilevel"/>
    <w:tmpl w:val="91E4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1025D6"/>
    <w:multiLevelType w:val="multilevel"/>
    <w:tmpl w:val="791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3B6B04"/>
    <w:multiLevelType w:val="multilevel"/>
    <w:tmpl w:val="845A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B10D9E"/>
    <w:multiLevelType w:val="hybridMultilevel"/>
    <w:tmpl w:val="21BA4E6A"/>
    <w:lvl w:ilvl="0" w:tplc="86BC5686">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941258C"/>
    <w:multiLevelType w:val="multilevel"/>
    <w:tmpl w:val="2CF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F50DC4"/>
    <w:multiLevelType w:val="multilevel"/>
    <w:tmpl w:val="852E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AF7A26"/>
    <w:multiLevelType w:val="hybridMultilevel"/>
    <w:tmpl w:val="A49448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6">
    <w:nsid w:val="6C1D6BC5"/>
    <w:multiLevelType w:val="hybridMultilevel"/>
    <w:tmpl w:val="10D87DD0"/>
    <w:lvl w:ilvl="0" w:tplc="B80648BE">
      <w:numFmt w:val="bullet"/>
      <w:lvlText w:val="-"/>
      <w:lvlJc w:val="left"/>
      <w:pPr>
        <w:ind w:left="1065" w:hanging="360"/>
      </w:pPr>
      <w:rPr>
        <w:rFonts w:ascii="Cambria" w:eastAsia="MS Mincho" w:hAnsi="Cambria"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57">
    <w:nsid w:val="6F0B436C"/>
    <w:multiLevelType w:val="hybridMultilevel"/>
    <w:tmpl w:val="76E6FA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8">
    <w:nsid w:val="714816CF"/>
    <w:multiLevelType w:val="hybridMultilevel"/>
    <w:tmpl w:val="695423BC"/>
    <w:lvl w:ilvl="0" w:tplc="3DC89D84">
      <w:start w:val="1"/>
      <w:numFmt w:val="decimal"/>
      <w:lvlText w:val="(%1)"/>
      <w:lvlJc w:val="left"/>
      <w:pPr>
        <w:ind w:left="1017" w:hanging="720"/>
      </w:pPr>
      <w:rPr>
        <w:rFonts w:ascii="Calibri" w:eastAsia="Calibri" w:hAnsi="Calibri" w:hint="default"/>
        <w:spacing w:val="-1"/>
        <w:w w:val="100"/>
        <w:sz w:val="22"/>
        <w:szCs w:val="22"/>
      </w:rPr>
    </w:lvl>
    <w:lvl w:ilvl="1" w:tplc="8086F848">
      <w:start w:val="1"/>
      <w:numFmt w:val="lowerLetter"/>
      <w:lvlText w:val="%2)"/>
      <w:lvlJc w:val="left"/>
      <w:pPr>
        <w:ind w:left="2294" w:hanging="569"/>
      </w:pPr>
      <w:rPr>
        <w:rFonts w:ascii="Calibri" w:eastAsia="Calibri" w:hAnsi="Calibri" w:hint="default"/>
        <w:w w:val="100"/>
        <w:sz w:val="24"/>
        <w:szCs w:val="24"/>
      </w:rPr>
    </w:lvl>
    <w:lvl w:ilvl="2" w:tplc="69E4A8D0">
      <w:start w:val="1"/>
      <w:numFmt w:val="bullet"/>
      <w:lvlText w:val="•"/>
      <w:lvlJc w:val="left"/>
      <w:pPr>
        <w:ind w:left="3225" w:hanging="569"/>
      </w:pPr>
    </w:lvl>
    <w:lvl w:ilvl="3" w:tplc="AEF69504">
      <w:start w:val="1"/>
      <w:numFmt w:val="bullet"/>
      <w:lvlText w:val="•"/>
      <w:lvlJc w:val="left"/>
      <w:pPr>
        <w:ind w:left="4150" w:hanging="569"/>
      </w:pPr>
    </w:lvl>
    <w:lvl w:ilvl="4" w:tplc="608C5B48">
      <w:start w:val="1"/>
      <w:numFmt w:val="bullet"/>
      <w:lvlText w:val="•"/>
      <w:lvlJc w:val="left"/>
      <w:pPr>
        <w:ind w:left="5075" w:hanging="569"/>
      </w:pPr>
    </w:lvl>
    <w:lvl w:ilvl="5" w:tplc="42E4AC14">
      <w:start w:val="1"/>
      <w:numFmt w:val="bullet"/>
      <w:lvlText w:val="•"/>
      <w:lvlJc w:val="left"/>
      <w:pPr>
        <w:ind w:left="6000" w:hanging="569"/>
      </w:pPr>
    </w:lvl>
    <w:lvl w:ilvl="6" w:tplc="15D0113C">
      <w:start w:val="1"/>
      <w:numFmt w:val="bullet"/>
      <w:lvlText w:val="•"/>
      <w:lvlJc w:val="left"/>
      <w:pPr>
        <w:ind w:left="6925" w:hanging="569"/>
      </w:pPr>
    </w:lvl>
    <w:lvl w:ilvl="7" w:tplc="8A30E5CC">
      <w:start w:val="1"/>
      <w:numFmt w:val="bullet"/>
      <w:lvlText w:val="•"/>
      <w:lvlJc w:val="left"/>
      <w:pPr>
        <w:ind w:left="7850" w:hanging="569"/>
      </w:pPr>
    </w:lvl>
    <w:lvl w:ilvl="8" w:tplc="818C35A4">
      <w:start w:val="1"/>
      <w:numFmt w:val="bullet"/>
      <w:lvlText w:val="•"/>
      <w:lvlJc w:val="left"/>
      <w:pPr>
        <w:ind w:left="8776" w:hanging="569"/>
      </w:pPr>
    </w:lvl>
  </w:abstractNum>
  <w:abstractNum w:abstractNumId="59">
    <w:nsid w:val="73A56089"/>
    <w:multiLevelType w:val="multilevel"/>
    <w:tmpl w:val="7CA4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BC107B"/>
    <w:multiLevelType w:val="multilevel"/>
    <w:tmpl w:val="C652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9527B4"/>
    <w:multiLevelType w:val="multilevel"/>
    <w:tmpl w:val="AB6A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DD6745"/>
    <w:multiLevelType w:val="multilevel"/>
    <w:tmpl w:val="0872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D22C7C"/>
    <w:multiLevelType w:val="multilevel"/>
    <w:tmpl w:val="AD6E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58055E"/>
    <w:multiLevelType w:val="hybridMultilevel"/>
    <w:tmpl w:val="360CD67C"/>
    <w:lvl w:ilvl="0" w:tplc="8BBC18EA">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5">
    <w:nsid w:val="79C958B1"/>
    <w:multiLevelType w:val="multilevel"/>
    <w:tmpl w:val="97F4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AD6315A"/>
    <w:multiLevelType w:val="hybridMultilevel"/>
    <w:tmpl w:val="DF0C9382"/>
    <w:lvl w:ilvl="0" w:tplc="6F72FB8C">
      <w:start w:val="1"/>
      <w:numFmt w:val="decimal"/>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7E060889"/>
    <w:multiLevelType w:val="hybridMultilevel"/>
    <w:tmpl w:val="AF90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FB456C"/>
    <w:multiLevelType w:val="multilevel"/>
    <w:tmpl w:val="1D42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64"/>
  </w:num>
  <w:num w:numId="7">
    <w:abstractNumId w:val="36"/>
  </w:num>
  <w:num w:numId="8">
    <w:abstractNumId w:val="67"/>
  </w:num>
  <w:num w:numId="9">
    <w:abstractNumId w:val="0"/>
  </w:num>
  <w:num w:numId="10">
    <w:abstractNumId w:val="5"/>
  </w:num>
  <w:num w:numId="11">
    <w:abstractNumId w:val="5"/>
    <w:lvlOverride w:ilvl="0">
      <w:startOverride w:val="5"/>
    </w:lvlOverride>
    <w:lvlOverride w:ilvl="1">
      <w:startOverride w:val="2"/>
    </w:lvlOverride>
  </w:num>
  <w:num w:numId="12">
    <w:abstractNumId w:val="23"/>
  </w:num>
  <w:num w:numId="13">
    <w:abstractNumId w:val="7"/>
  </w:num>
  <w:num w:numId="14">
    <w:abstractNumId w:val="52"/>
  </w:num>
  <w:num w:numId="1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45"/>
  </w:num>
  <w:num w:numId="20">
    <w:abstractNumId w:val="22"/>
  </w:num>
  <w:num w:numId="21">
    <w:abstractNumId w:val="37"/>
  </w:num>
  <w:num w:numId="22">
    <w:abstractNumId w:val="31"/>
  </w:num>
  <w:num w:numId="23">
    <w:abstractNumId w:val="56"/>
  </w:num>
  <w:num w:numId="24">
    <w:abstractNumId w:val="25"/>
  </w:num>
  <w:num w:numId="25">
    <w:abstractNumId w:val="20"/>
  </w:num>
  <w:num w:numId="26">
    <w:abstractNumId w:val="35"/>
  </w:num>
  <w:num w:numId="27">
    <w:abstractNumId w:val="9"/>
  </w:num>
  <w:num w:numId="28">
    <w:abstractNumId w:val="44"/>
  </w:num>
  <w:num w:numId="29">
    <w:abstractNumId w:val="41"/>
  </w:num>
  <w:num w:numId="30">
    <w:abstractNumId w:val="61"/>
  </w:num>
  <w:num w:numId="31">
    <w:abstractNumId w:val="63"/>
  </w:num>
  <w:num w:numId="32">
    <w:abstractNumId w:val="60"/>
  </w:num>
  <w:num w:numId="33">
    <w:abstractNumId w:val="54"/>
  </w:num>
  <w:num w:numId="34">
    <w:abstractNumId w:val="51"/>
  </w:num>
  <w:num w:numId="35">
    <w:abstractNumId w:val="62"/>
  </w:num>
  <w:num w:numId="36">
    <w:abstractNumId w:val="15"/>
  </w:num>
  <w:num w:numId="37">
    <w:abstractNumId w:val="38"/>
  </w:num>
  <w:num w:numId="38">
    <w:abstractNumId w:val="3"/>
  </w:num>
  <w:num w:numId="39">
    <w:abstractNumId w:val="30"/>
  </w:num>
  <w:num w:numId="40">
    <w:abstractNumId w:val="48"/>
  </w:num>
  <w:num w:numId="41">
    <w:abstractNumId w:val="21"/>
  </w:num>
  <w:num w:numId="42">
    <w:abstractNumId w:val="49"/>
  </w:num>
  <w:num w:numId="43">
    <w:abstractNumId w:val="17"/>
  </w:num>
  <w:num w:numId="44">
    <w:abstractNumId w:val="2"/>
  </w:num>
  <w:num w:numId="45">
    <w:abstractNumId w:val="59"/>
  </w:num>
  <w:num w:numId="46">
    <w:abstractNumId w:val="33"/>
  </w:num>
  <w:num w:numId="47">
    <w:abstractNumId w:val="50"/>
  </w:num>
  <w:num w:numId="48">
    <w:abstractNumId w:val="53"/>
  </w:num>
  <w:num w:numId="49">
    <w:abstractNumId w:val="65"/>
  </w:num>
  <w:num w:numId="50">
    <w:abstractNumId w:val="29"/>
  </w:num>
  <w:num w:numId="51">
    <w:abstractNumId w:val="16"/>
  </w:num>
  <w:num w:numId="52">
    <w:abstractNumId w:val="4"/>
  </w:num>
  <w:num w:numId="53">
    <w:abstractNumId w:val="46"/>
  </w:num>
  <w:num w:numId="54">
    <w:abstractNumId w:val="18"/>
  </w:num>
  <w:num w:numId="55">
    <w:abstractNumId w:val="1"/>
  </w:num>
  <w:num w:numId="56">
    <w:abstractNumId w:val="24"/>
  </w:num>
  <w:num w:numId="57">
    <w:abstractNumId w:val="19"/>
  </w:num>
  <w:num w:numId="58">
    <w:abstractNumId w:val="68"/>
  </w:num>
  <w:num w:numId="59">
    <w:abstractNumId w:val="14"/>
  </w:num>
  <w:num w:numId="60">
    <w:abstractNumId w:val="43"/>
  </w:num>
  <w:num w:numId="61">
    <w:abstractNumId w:val="6"/>
  </w:num>
  <w:num w:numId="62">
    <w:abstractNumId w:val="40"/>
  </w:num>
  <w:num w:numId="63">
    <w:abstractNumId w:val="32"/>
  </w:num>
  <w:num w:numId="64">
    <w:abstractNumId w:val="26"/>
  </w:num>
  <w:num w:numId="65">
    <w:abstractNumId w:val="8"/>
  </w:num>
  <w:num w:numId="66">
    <w:abstractNumId w:val="10"/>
  </w:num>
  <w:num w:numId="67">
    <w:abstractNumId w:val="66"/>
  </w:num>
  <w:num w:numId="68">
    <w:abstractNumId w:val="42"/>
  </w:num>
  <w:num w:numId="69">
    <w:abstractNumId w:val="11"/>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49"/>
    <w:rsid w:val="0000089C"/>
    <w:rsid w:val="00012C3E"/>
    <w:rsid w:val="00014329"/>
    <w:rsid w:val="00015511"/>
    <w:rsid w:val="00016545"/>
    <w:rsid w:val="00021D1B"/>
    <w:rsid w:val="00021D9D"/>
    <w:rsid w:val="00024C6B"/>
    <w:rsid w:val="00027E94"/>
    <w:rsid w:val="000456C9"/>
    <w:rsid w:val="00045CC2"/>
    <w:rsid w:val="00050066"/>
    <w:rsid w:val="0005714D"/>
    <w:rsid w:val="00060C2B"/>
    <w:rsid w:val="000676E9"/>
    <w:rsid w:val="0007663F"/>
    <w:rsid w:val="00080AC9"/>
    <w:rsid w:val="00082A2D"/>
    <w:rsid w:val="00085C0F"/>
    <w:rsid w:val="00086CA4"/>
    <w:rsid w:val="000A3C3B"/>
    <w:rsid w:val="000A5681"/>
    <w:rsid w:val="000A7301"/>
    <w:rsid w:val="000B7C89"/>
    <w:rsid w:val="000C0AD9"/>
    <w:rsid w:val="000C5739"/>
    <w:rsid w:val="000C640D"/>
    <w:rsid w:val="000C662B"/>
    <w:rsid w:val="000D3DFC"/>
    <w:rsid w:val="000D3F9A"/>
    <w:rsid w:val="000E3765"/>
    <w:rsid w:val="000F39C2"/>
    <w:rsid w:val="000F4D60"/>
    <w:rsid w:val="000F64CB"/>
    <w:rsid w:val="00101056"/>
    <w:rsid w:val="00102AD9"/>
    <w:rsid w:val="0010608A"/>
    <w:rsid w:val="001075A8"/>
    <w:rsid w:val="00112C83"/>
    <w:rsid w:val="0011376E"/>
    <w:rsid w:val="00115315"/>
    <w:rsid w:val="00115561"/>
    <w:rsid w:val="0012036F"/>
    <w:rsid w:val="0012063E"/>
    <w:rsid w:val="0012180E"/>
    <w:rsid w:val="00124B79"/>
    <w:rsid w:val="00126701"/>
    <w:rsid w:val="00130A60"/>
    <w:rsid w:val="0013706C"/>
    <w:rsid w:val="00140904"/>
    <w:rsid w:val="00146B28"/>
    <w:rsid w:val="0015454D"/>
    <w:rsid w:val="00155D7A"/>
    <w:rsid w:val="00166D99"/>
    <w:rsid w:val="00170C72"/>
    <w:rsid w:val="00177077"/>
    <w:rsid w:val="00180BC5"/>
    <w:rsid w:val="0019126B"/>
    <w:rsid w:val="00197200"/>
    <w:rsid w:val="001A1A44"/>
    <w:rsid w:val="001A30EC"/>
    <w:rsid w:val="001A3B89"/>
    <w:rsid w:val="001A4BFF"/>
    <w:rsid w:val="001B073C"/>
    <w:rsid w:val="001B1C54"/>
    <w:rsid w:val="001B4149"/>
    <w:rsid w:val="001C193D"/>
    <w:rsid w:val="001C3376"/>
    <w:rsid w:val="001D04A0"/>
    <w:rsid w:val="001D2E71"/>
    <w:rsid w:val="001D78BB"/>
    <w:rsid w:val="001E4CCF"/>
    <w:rsid w:val="001F043B"/>
    <w:rsid w:val="001F16E1"/>
    <w:rsid w:val="002034CB"/>
    <w:rsid w:val="00203A7F"/>
    <w:rsid w:val="00210AD1"/>
    <w:rsid w:val="00210D4F"/>
    <w:rsid w:val="002170CC"/>
    <w:rsid w:val="002174E5"/>
    <w:rsid w:val="00222C4B"/>
    <w:rsid w:val="0022468A"/>
    <w:rsid w:val="00226126"/>
    <w:rsid w:val="0023692D"/>
    <w:rsid w:val="00236CCD"/>
    <w:rsid w:val="0023709D"/>
    <w:rsid w:val="002443E0"/>
    <w:rsid w:val="00247AAD"/>
    <w:rsid w:val="002565C6"/>
    <w:rsid w:val="002610EB"/>
    <w:rsid w:val="00262FD9"/>
    <w:rsid w:val="00263F53"/>
    <w:rsid w:val="00264C03"/>
    <w:rsid w:val="00264E30"/>
    <w:rsid w:val="00266A42"/>
    <w:rsid w:val="00267145"/>
    <w:rsid w:val="0026738C"/>
    <w:rsid w:val="0027002D"/>
    <w:rsid w:val="002715A1"/>
    <w:rsid w:val="00272E08"/>
    <w:rsid w:val="002763B6"/>
    <w:rsid w:val="00293B62"/>
    <w:rsid w:val="002951DD"/>
    <w:rsid w:val="002A0B73"/>
    <w:rsid w:val="002A12FC"/>
    <w:rsid w:val="002C13A2"/>
    <w:rsid w:val="002C5BC6"/>
    <w:rsid w:val="002D4D97"/>
    <w:rsid w:val="002D4FD4"/>
    <w:rsid w:val="002D7A10"/>
    <w:rsid w:val="002E14BF"/>
    <w:rsid w:val="002E554E"/>
    <w:rsid w:val="002F12BA"/>
    <w:rsid w:val="002F2554"/>
    <w:rsid w:val="00300417"/>
    <w:rsid w:val="00302535"/>
    <w:rsid w:val="0030292C"/>
    <w:rsid w:val="0030340E"/>
    <w:rsid w:val="00305939"/>
    <w:rsid w:val="00305A02"/>
    <w:rsid w:val="0031029A"/>
    <w:rsid w:val="0031338B"/>
    <w:rsid w:val="0032090B"/>
    <w:rsid w:val="00322B6E"/>
    <w:rsid w:val="00325404"/>
    <w:rsid w:val="0032657C"/>
    <w:rsid w:val="0032685C"/>
    <w:rsid w:val="00337CC8"/>
    <w:rsid w:val="00342AD5"/>
    <w:rsid w:val="00342BBE"/>
    <w:rsid w:val="003444F9"/>
    <w:rsid w:val="003452B7"/>
    <w:rsid w:val="003463E5"/>
    <w:rsid w:val="00351E55"/>
    <w:rsid w:val="0035658E"/>
    <w:rsid w:val="0036272F"/>
    <w:rsid w:val="00365C22"/>
    <w:rsid w:val="0037197A"/>
    <w:rsid w:val="0037480B"/>
    <w:rsid w:val="00375F6E"/>
    <w:rsid w:val="00381A9E"/>
    <w:rsid w:val="00381F90"/>
    <w:rsid w:val="00383430"/>
    <w:rsid w:val="00383CA7"/>
    <w:rsid w:val="00385732"/>
    <w:rsid w:val="00385EE7"/>
    <w:rsid w:val="003926EE"/>
    <w:rsid w:val="003A68A7"/>
    <w:rsid w:val="003B000A"/>
    <w:rsid w:val="003B0D5B"/>
    <w:rsid w:val="003B2F3C"/>
    <w:rsid w:val="003B31E2"/>
    <w:rsid w:val="003B4583"/>
    <w:rsid w:val="003B5702"/>
    <w:rsid w:val="003C09CD"/>
    <w:rsid w:val="003C0D90"/>
    <w:rsid w:val="003C19C6"/>
    <w:rsid w:val="003C3B64"/>
    <w:rsid w:val="003C5DAB"/>
    <w:rsid w:val="003D395B"/>
    <w:rsid w:val="003D7A29"/>
    <w:rsid w:val="003E15F0"/>
    <w:rsid w:val="003E33C5"/>
    <w:rsid w:val="003E53CF"/>
    <w:rsid w:val="003E5D09"/>
    <w:rsid w:val="003E7F0E"/>
    <w:rsid w:val="003F0B7B"/>
    <w:rsid w:val="003F0D10"/>
    <w:rsid w:val="003F3BAC"/>
    <w:rsid w:val="003F50E7"/>
    <w:rsid w:val="003F79F1"/>
    <w:rsid w:val="00414FDD"/>
    <w:rsid w:val="004175B2"/>
    <w:rsid w:val="004202AB"/>
    <w:rsid w:val="00427E64"/>
    <w:rsid w:val="0043029D"/>
    <w:rsid w:val="00440AB3"/>
    <w:rsid w:val="00443479"/>
    <w:rsid w:val="00447572"/>
    <w:rsid w:val="004500A9"/>
    <w:rsid w:val="0045162A"/>
    <w:rsid w:val="0045282C"/>
    <w:rsid w:val="00453647"/>
    <w:rsid w:val="00453A2B"/>
    <w:rsid w:val="00455462"/>
    <w:rsid w:val="00462368"/>
    <w:rsid w:val="00462738"/>
    <w:rsid w:val="0046643E"/>
    <w:rsid w:val="00477430"/>
    <w:rsid w:val="00481942"/>
    <w:rsid w:val="00483CA7"/>
    <w:rsid w:val="0049495C"/>
    <w:rsid w:val="00495157"/>
    <w:rsid w:val="004B2FB5"/>
    <w:rsid w:val="004D7330"/>
    <w:rsid w:val="004E2554"/>
    <w:rsid w:val="004F5746"/>
    <w:rsid w:val="004F74F2"/>
    <w:rsid w:val="00501CDB"/>
    <w:rsid w:val="00504765"/>
    <w:rsid w:val="00505861"/>
    <w:rsid w:val="0051050F"/>
    <w:rsid w:val="005116BA"/>
    <w:rsid w:val="00513635"/>
    <w:rsid w:val="00515AA8"/>
    <w:rsid w:val="00515B72"/>
    <w:rsid w:val="00520814"/>
    <w:rsid w:val="00524D22"/>
    <w:rsid w:val="00542541"/>
    <w:rsid w:val="00543FB8"/>
    <w:rsid w:val="00550C14"/>
    <w:rsid w:val="00554F27"/>
    <w:rsid w:val="00560D9A"/>
    <w:rsid w:val="00566861"/>
    <w:rsid w:val="00567CE1"/>
    <w:rsid w:val="005703DB"/>
    <w:rsid w:val="005729D2"/>
    <w:rsid w:val="0057662E"/>
    <w:rsid w:val="005805C9"/>
    <w:rsid w:val="00581580"/>
    <w:rsid w:val="00595EE3"/>
    <w:rsid w:val="00596775"/>
    <w:rsid w:val="00596EAE"/>
    <w:rsid w:val="005976D3"/>
    <w:rsid w:val="005B0938"/>
    <w:rsid w:val="005B1954"/>
    <w:rsid w:val="005B3A39"/>
    <w:rsid w:val="005B52E1"/>
    <w:rsid w:val="005B5DB2"/>
    <w:rsid w:val="005C4B78"/>
    <w:rsid w:val="005C4C65"/>
    <w:rsid w:val="005C514F"/>
    <w:rsid w:val="005D132B"/>
    <w:rsid w:val="005D5945"/>
    <w:rsid w:val="005D595F"/>
    <w:rsid w:val="005D6D02"/>
    <w:rsid w:val="005D7173"/>
    <w:rsid w:val="005E244C"/>
    <w:rsid w:val="005E5AEB"/>
    <w:rsid w:val="005F329A"/>
    <w:rsid w:val="005F5D00"/>
    <w:rsid w:val="0061177C"/>
    <w:rsid w:val="006119D5"/>
    <w:rsid w:val="006158B5"/>
    <w:rsid w:val="00617EB1"/>
    <w:rsid w:val="006233A4"/>
    <w:rsid w:val="00626368"/>
    <w:rsid w:val="00632285"/>
    <w:rsid w:val="00633A75"/>
    <w:rsid w:val="006415A5"/>
    <w:rsid w:val="006426F5"/>
    <w:rsid w:val="00647715"/>
    <w:rsid w:val="00650BC6"/>
    <w:rsid w:val="00651908"/>
    <w:rsid w:val="006520DB"/>
    <w:rsid w:val="00655211"/>
    <w:rsid w:val="00666AC4"/>
    <w:rsid w:val="006670C7"/>
    <w:rsid w:val="006728EC"/>
    <w:rsid w:val="006830E4"/>
    <w:rsid w:val="00684F9A"/>
    <w:rsid w:val="00690B89"/>
    <w:rsid w:val="00696188"/>
    <w:rsid w:val="006A14A6"/>
    <w:rsid w:val="006B0FAC"/>
    <w:rsid w:val="006B5C0D"/>
    <w:rsid w:val="006C1B9B"/>
    <w:rsid w:val="006D127C"/>
    <w:rsid w:val="006D475E"/>
    <w:rsid w:val="006D59C8"/>
    <w:rsid w:val="006F2C84"/>
    <w:rsid w:val="006F343E"/>
    <w:rsid w:val="00701C12"/>
    <w:rsid w:val="007042E8"/>
    <w:rsid w:val="00704E32"/>
    <w:rsid w:val="007071D1"/>
    <w:rsid w:val="00707FED"/>
    <w:rsid w:val="00710146"/>
    <w:rsid w:val="00720064"/>
    <w:rsid w:val="007206BC"/>
    <w:rsid w:val="00722520"/>
    <w:rsid w:val="00722D14"/>
    <w:rsid w:val="007303A8"/>
    <w:rsid w:val="00732203"/>
    <w:rsid w:val="00732DDA"/>
    <w:rsid w:val="00733F8A"/>
    <w:rsid w:val="00741427"/>
    <w:rsid w:val="007525CC"/>
    <w:rsid w:val="00755BF6"/>
    <w:rsid w:val="00762C06"/>
    <w:rsid w:val="00764D3B"/>
    <w:rsid w:val="00774E07"/>
    <w:rsid w:val="00777BF7"/>
    <w:rsid w:val="00783A11"/>
    <w:rsid w:val="00787340"/>
    <w:rsid w:val="0079302A"/>
    <w:rsid w:val="007A33CB"/>
    <w:rsid w:val="007A4973"/>
    <w:rsid w:val="007A53B8"/>
    <w:rsid w:val="007B05F2"/>
    <w:rsid w:val="007B6890"/>
    <w:rsid w:val="007C4F11"/>
    <w:rsid w:val="007C7330"/>
    <w:rsid w:val="007E431E"/>
    <w:rsid w:val="00800605"/>
    <w:rsid w:val="00801DB4"/>
    <w:rsid w:val="00805E89"/>
    <w:rsid w:val="008116AD"/>
    <w:rsid w:val="008154A3"/>
    <w:rsid w:val="0082246F"/>
    <w:rsid w:val="00822A50"/>
    <w:rsid w:val="008230A0"/>
    <w:rsid w:val="00823B06"/>
    <w:rsid w:val="00823F97"/>
    <w:rsid w:val="008275CA"/>
    <w:rsid w:val="008327C2"/>
    <w:rsid w:val="008336FD"/>
    <w:rsid w:val="008414B8"/>
    <w:rsid w:val="00842883"/>
    <w:rsid w:val="0084580F"/>
    <w:rsid w:val="008549C4"/>
    <w:rsid w:val="00855DAF"/>
    <w:rsid w:val="00857703"/>
    <w:rsid w:val="008672D5"/>
    <w:rsid w:val="00867A0E"/>
    <w:rsid w:val="00870E70"/>
    <w:rsid w:val="00881D92"/>
    <w:rsid w:val="00883610"/>
    <w:rsid w:val="0088538C"/>
    <w:rsid w:val="00887EB6"/>
    <w:rsid w:val="00894F75"/>
    <w:rsid w:val="00895AD4"/>
    <w:rsid w:val="0089714E"/>
    <w:rsid w:val="008A5CF3"/>
    <w:rsid w:val="008A78F3"/>
    <w:rsid w:val="008C7CD8"/>
    <w:rsid w:val="008D5555"/>
    <w:rsid w:val="008D5684"/>
    <w:rsid w:val="008F18C4"/>
    <w:rsid w:val="008F277A"/>
    <w:rsid w:val="008F3100"/>
    <w:rsid w:val="008F5844"/>
    <w:rsid w:val="00902C1E"/>
    <w:rsid w:val="0090392E"/>
    <w:rsid w:val="00906755"/>
    <w:rsid w:val="00911364"/>
    <w:rsid w:val="009115BE"/>
    <w:rsid w:val="009146E8"/>
    <w:rsid w:val="00914BCE"/>
    <w:rsid w:val="00915A81"/>
    <w:rsid w:val="00921640"/>
    <w:rsid w:val="009309F8"/>
    <w:rsid w:val="009320F8"/>
    <w:rsid w:val="00933500"/>
    <w:rsid w:val="009340E3"/>
    <w:rsid w:val="00934B82"/>
    <w:rsid w:val="00935B03"/>
    <w:rsid w:val="00937938"/>
    <w:rsid w:val="0094681F"/>
    <w:rsid w:val="00950832"/>
    <w:rsid w:val="00951D98"/>
    <w:rsid w:val="00961E05"/>
    <w:rsid w:val="00966A1B"/>
    <w:rsid w:val="00970B34"/>
    <w:rsid w:val="00974420"/>
    <w:rsid w:val="00975572"/>
    <w:rsid w:val="009762B9"/>
    <w:rsid w:val="00986881"/>
    <w:rsid w:val="00987485"/>
    <w:rsid w:val="009911AF"/>
    <w:rsid w:val="00992A7F"/>
    <w:rsid w:val="00993BF1"/>
    <w:rsid w:val="009978E3"/>
    <w:rsid w:val="009979FE"/>
    <w:rsid w:val="009A0E6F"/>
    <w:rsid w:val="009A4404"/>
    <w:rsid w:val="009B0FB6"/>
    <w:rsid w:val="009C0CB0"/>
    <w:rsid w:val="009D075F"/>
    <w:rsid w:val="009D3301"/>
    <w:rsid w:val="009E604E"/>
    <w:rsid w:val="009F4565"/>
    <w:rsid w:val="009F5D48"/>
    <w:rsid w:val="009F67BE"/>
    <w:rsid w:val="009F724C"/>
    <w:rsid w:val="00A03AC4"/>
    <w:rsid w:val="00A03DF3"/>
    <w:rsid w:val="00A10053"/>
    <w:rsid w:val="00A22EA0"/>
    <w:rsid w:val="00A30FF7"/>
    <w:rsid w:val="00A32923"/>
    <w:rsid w:val="00A340CB"/>
    <w:rsid w:val="00A37553"/>
    <w:rsid w:val="00A423BB"/>
    <w:rsid w:val="00A46C1A"/>
    <w:rsid w:val="00A47968"/>
    <w:rsid w:val="00A51316"/>
    <w:rsid w:val="00A70F92"/>
    <w:rsid w:val="00A7353D"/>
    <w:rsid w:val="00A766EB"/>
    <w:rsid w:val="00A80DFA"/>
    <w:rsid w:val="00A870A4"/>
    <w:rsid w:val="00A90498"/>
    <w:rsid w:val="00A92126"/>
    <w:rsid w:val="00AA1642"/>
    <w:rsid w:val="00AA1B47"/>
    <w:rsid w:val="00AA366D"/>
    <w:rsid w:val="00AB144C"/>
    <w:rsid w:val="00AB5A0C"/>
    <w:rsid w:val="00AC6938"/>
    <w:rsid w:val="00AD521B"/>
    <w:rsid w:val="00AD5680"/>
    <w:rsid w:val="00AE19FE"/>
    <w:rsid w:val="00AE1DDD"/>
    <w:rsid w:val="00AE233E"/>
    <w:rsid w:val="00AE4DF3"/>
    <w:rsid w:val="00AE5DC4"/>
    <w:rsid w:val="00B00BE9"/>
    <w:rsid w:val="00B025B3"/>
    <w:rsid w:val="00B07AF0"/>
    <w:rsid w:val="00B133ED"/>
    <w:rsid w:val="00B13FD5"/>
    <w:rsid w:val="00B16986"/>
    <w:rsid w:val="00B20749"/>
    <w:rsid w:val="00B21AE4"/>
    <w:rsid w:val="00B26015"/>
    <w:rsid w:val="00B263D0"/>
    <w:rsid w:val="00B33B6B"/>
    <w:rsid w:val="00B37D07"/>
    <w:rsid w:val="00B414BB"/>
    <w:rsid w:val="00B45560"/>
    <w:rsid w:val="00B478CE"/>
    <w:rsid w:val="00B51749"/>
    <w:rsid w:val="00B63321"/>
    <w:rsid w:val="00B63580"/>
    <w:rsid w:val="00B63E92"/>
    <w:rsid w:val="00B67D29"/>
    <w:rsid w:val="00B87104"/>
    <w:rsid w:val="00B913CA"/>
    <w:rsid w:val="00B91431"/>
    <w:rsid w:val="00B93DC4"/>
    <w:rsid w:val="00B93EE7"/>
    <w:rsid w:val="00B961D7"/>
    <w:rsid w:val="00B96473"/>
    <w:rsid w:val="00B96D66"/>
    <w:rsid w:val="00B96E02"/>
    <w:rsid w:val="00BA2BDB"/>
    <w:rsid w:val="00BA46E6"/>
    <w:rsid w:val="00BA4F1D"/>
    <w:rsid w:val="00BB75F9"/>
    <w:rsid w:val="00BC1957"/>
    <w:rsid w:val="00BC2677"/>
    <w:rsid w:val="00BC409C"/>
    <w:rsid w:val="00BD1B30"/>
    <w:rsid w:val="00BD5578"/>
    <w:rsid w:val="00BD649B"/>
    <w:rsid w:val="00BD7866"/>
    <w:rsid w:val="00BE0089"/>
    <w:rsid w:val="00BE06E8"/>
    <w:rsid w:val="00BE11C4"/>
    <w:rsid w:val="00BE2D2A"/>
    <w:rsid w:val="00BE3B1F"/>
    <w:rsid w:val="00BE4256"/>
    <w:rsid w:val="00BE5B90"/>
    <w:rsid w:val="00BF1BAC"/>
    <w:rsid w:val="00C05109"/>
    <w:rsid w:val="00C06343"/>
    <w:rsid w:val="00C10290"/>
    <w:rsid w:val="00C14BD5"/>
    <w:rsid w:val="00C20B10"/>
    <w:rsid w:val="00C26261"/>
    <w:rsid w:val="00C26B4A"/>
    <w:rsid w:val="00C35507"/>
    <w:rsid w:val="00C36211"/>
    <w:rsid w:val="00C36E95"/>
    <w:rsid w:val="00C40D9A"/>
    <w:rsid w:val="00C42403"/>
    <w:rsid w:val="00C45987"/>
    <w:rsid w:val="00C47018"/>
    <w:rsid w:val="00C5296A"/>
    <w:rsid w:val="00C57780"/>
    <w:rsid w:val="00C7402A"/>
    <w:rsid w:val="00C75D0B"/>
    <w:rsid w:val="00C76F56"/>
    <w:rsid w:val="00C818A7"/>
    <w:rsid w:val="00C81F7D"/>
    <w:rsid w:val="00C827AC"/>
    <w:rsid w:val="00C870DC"/>
    <w:rsid w:val="00C873C5"/>
    <w:rsid w:val="00C92614"/>
    <w:rsid w:val="00CA002A"/>
    <w:rsid w:val="00CA33C9"/>
    <w:rsid w:val="00CB6E51"/>
    <w:rsid w:val="00CB778A"/>
    <w:rsid w:val="00CB7DA5"/>
    <w:rsid w:val="00CC1450"/>
    <w:rsid w:val="00CC3A07"/>
    <w:rsid w:val="00CC517A"/>
    <w:rsid w:val="00CC7087"/>
    <w:rsid w:val="00CD10B0"/>
    <w:rsid w:val="00CD267F"/>
    <w:rsid w:val="00CD3F3F"/>
    <w:rsid w:val="00CD5C1D"/>
    <w:rsid w:val="00CD65D6"/>
    <w:rsid w:val="00CE307D"/>
    <w:rsid w:val="00CF27C1"/>
    <w:rsid w:val="00CF7F9A"/>
    <w:rsid w:val="00D01B3A"/>
    <w:rsid w:val="00D038E7"/>
    <w:rsid w:val="00D04241"/>
    <w:rsid w:val="00D05DA2"/>
    <w:rsid w:val="00D06EF7"/>
    <w:rsid w:val="00D12F6A"/>
    <w:rsid w:val="00D31559"/>
    <w:rsid w:val="00D325D1"/>
    <w:rsid w:val="00D327A7"/>
    <w:rsid w:val="00D37A87"/>
    <w:rsid w:val="00D41CFA"/>
    <w:rsid w:val="00D44B67"/>
    <w:rsid w:val="00D609FF"/>
    <w:rsid w:val="00D7160C"/>
    <w:rsid w:val="00D73A51"/>
    <w:rsid w:val="00D81C42"/>
    <w:rsid w:val="00D83DDF"/>
    <w:rsid w:val="00D86284"/>
    <w:rsid w:val="00D947F5"/>
    <w:rsid w:val="00DA510D"/>
    <w:rsid w:val="00DC040E"/>
    <w:rsid w:val="00DC0D21"/>
    <w:rsid w:val="00DC1D83"/>
    <w:rsid w:val="00DC21A8"/>
    <w:rsid w:val="00DC3C40"/>
    <w:rsid w:val="00DC7369"/>
    <w:rsid w:val="00DD6297"/>
    <w:rsid w:val="00DE6876"/>
    <w:rsid w:val="00DE7CAE"/>
    <w:rsid w:val="00DF0142"/>
    <w:rsid w:val="00DF500A"/>
    <w:rsid w:val="00E00F83"/>
    <w:rsid w:val="00E057AC"/>
    <w:rsid w:val="00E063B7"/>
    <w:rsid w:val="00E078BE"/>
    <w:rsid w:val="00E114C7"/>
    <w:rsid w:val="00E12B55"/>
    <w:rsid w:val="00E13431"/>
    <w:rsid w:val="00E14746"/>
    <w:rsid w:val="00E2187A"/>
    <w:rsid w:val="00E224AE"/>
    <w:rsid w:val="00E35473"/>
    <w:rsid w:val="00E3750B"/>
    <w:rsid w:val="00E42977"/>
    <w:rsid w:val="00E4332F"/>
    <w:rsid w:val="00E50A92"/>
    <w:rsid w:val="00E605C0"/>
    <w:rsid w:val="00E62272"/>
    <w:rsid w:val="00E627D1"/>
    <w:rsid w:val="00E64229"/>
    <w:rsid w:val="00E648BF"/>
    <w:rsid w:val="00E70867"/>
    <w:rsid w:val="00E756F2"/>
    <w:rsid w:val="00E760D2"/>
    <w:rsid w:val="00E80AC1"/>
    <w:rsid w:val="00E87698"/>
    <w:rsid w:val="00E936EF"/>
    <w:rsid w:val="00E94120"/>
    <w:rsid w:val="00E956EF"/>
    <w:rsid w:val="00E96111"/>
    <w:rsid w:val="00E96861"/>
    <w:rsid w:val="00E9711A"/>
    <w:rsid w:val="00EA0264"/>
    <w:rsid w:val="00EA051B"/>
    <w:rsid w:val="00EA22C1"/>
    <w:rsid w:val="00EA5D2B"/>
    <w:rsid w:val="00EA7A46"/>
    <w:rsid w:val="00EB0818"/>
    <w:rsid w:val="00EB2174"/>
    <w:rsid w:val="00EC06FA"/>
    <w:rsid w:val="00EC0E86"/>
    <w:rsid w:val="00EC4DDC"/>
    <w:rsid w:val="00EC4F74"/>
    <w:rsid w:val="00EC6C07"/>
    <w:rsid w:val="00EC7132"/>
    <w:rsid w:val="00ED52FA"/>
    <w:rsid w:val="00EF351A"/>
    <w:rsid w:val="00EF3D1E"/>
    <w:rsid w:val="00EF3D7C"/>
    <w:rsid w:val="00EF5E74"/>
    <w:rsid w:val="00F1231F"/>
    <w:rsid w:val="00F12D4B"/>
    <w:rsid w:val="00F14D0F"/>
    <w:rsid w:val="00F166C6"/>
    <w:rsid w:val="00F175F8"/>
    <w:rsid w:val="00F24F02"/>
    <w:rsid w:val="00F30639"/>
    <w:rsid w:val="00F40DBE"/>
    <w:rsid w:val="00F42B47"/>
    <w:rsid w:val="00F45595"/>
    <w:rsid w:val="00F46250"/>
    <w:rsid w:val="00F51A6F"/>
    <w:rsid w:val="00F51EA1"/>
    <w:rsid w:val="00F6463A"/>
    <w:rsid w:val="00F6626B"/>
    <w:rsid w:val="00F7194A"/>
    <w:rsid w:val="00F736BA"/>
    <w:rsid w:val="00F77AC1"/>
    <w:rsid w:val="00F86876"/>
    <w:rsid w:val="00F975F2"/>
    <w:rsid w:val="00FA0E5E"/>
    <w:rsid w:val="00FA5136"/>
    <w:rsid w:val="00FA539F"/>
    <w:rsid w:val="00FC2F36"/>
    <w:rsid w:val="00FC30E5"/>
    <w:rsid w:val="00FC4030"/>
    <w:rsid w:val="00FC5CB3"/>
    <w:rsid w:val="00FC767B"/>
    <w:rsid w:val="00FC7810"/>
    <w:rsid w:val="00FD2BBE"/>
    <w:rsid w:val="00FD4159"/>
    <w:rsid w:val="00FD7BE8"/>
    <w:rsid w:val="00FF4A53"/>
    <w:rsid w:val="00FF5C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749"/>
    <w:pPr>
      <w:spacing w:after="0" w:line="240" w:lineRule="auto"/>
      <w:jc w:val="both"/>
    </w:pPr>
    <w:rPr>
      <w:rFonts w:ascii="Cambria" w:eastAsia="MS Mincho" w:hAnsi="Cambria" w:cs="Times New Roman"/>
      <w:sz w:val="24"/>
      <w:szCs w:val="24"/>
    </w:rPr>
  </w:style>
  <w:style w:type="paragraph" w:styleId="Nadpis1">
    <w:name w:val="heading 1"/>
    <w:basedOn w:val="Normlny"/>
    <w:next w:val="Normlny"/>
    <w:link w:val="Nadpis1Char"/>
    <w:uiPriority w:val="9"/>
    <w:qFormat/>
    <w:rsid w:val="00B51749"/>
    <w:pPr>
      <w:numPr>
        <w:numId w:val="10"/>
      </w:numPr>
      <w:spacing w:before="480" w:after="240"/>
      <w:jc w:val="center"/>
      <w:outlineLvl w:val="0"/>
    </w:pPr>
    <w:rPr>
      <w:rFonts w:ascii="Times New Roman" w:eastAsia="Times New Roman" w:hAnsi="Times New Roman"/>
      <w:b/>
      <w:bCs/>
      <w:color w:val="000000"/>
      <w:kern w:val="32"/>
      <w:sz w:val="32"/>
      <w:szCs w:val="32"/>
      <w:lang w:eastAsia="cs-CZ"/>
    </w:rPr>
  </w:style>
  <w:style w:type="paragraph" w:styleId="Nadpis2">
    <w:name w:val="heading 2"/>
    <w:basedOn w:val="Normlny"/>
    <w:next w:val="Normlny"/>
    <w:link w:val="Nadpis2Char"/>
    <w:uiPriority w:val="9"/>
    <w:qFormat/>
    <w:rsid w:val="00B51749"/>
    <w:pPr>
      <w:keepNext/>
      <w:numPr>
        <w:ilvl w:val="1"/>
        <w:numId w:val="10"/>
      </w:numPr>
      <w:spacing w:before="240" w:after="240"/>
      <w:jc w:val="center"/>
      <w:outlineLvl w:val="1"/>
    </w:pPr>
    <w:rPr>
      <w:rFonts w:ascii="Times New Roman" w:eastAsia="Times New Roman" w:hAnsi="Times New Roman"/>
      <w:b/>
      <w:bCs/>
      <w:color w:val="000000"/>
      <w:sz w:val="28"/>
      <w:szCs w:val="28"/>
      <w:lang w:eastAsia="cs-CZ"/>
    </w:rPr>
  </w:style>
  <w:style w:type="paragraph" w:styleId="Nadpis3">
    <w:name w:val="heading 3"/>
    <w:basedOn w:val="Normlny"/>
    <w:next w:val="Normlny"/>
    <w:link w:val="Nadpis3Char"/>
    <w:uiPriority w:val="9"/>
    <w:qFormat/>
    <w:rsid w:val="00B51749"/>
    <w:pPr>
      <w:keepNext/>
      <w:numPr>
        <w:ilvl w:val="2"/>
        <w:numId w:val="10"/>
      </w:numPr>
      <w:spacing w:before="120" w:after="120"/>
      <w:ind w:left="0" w:firstLine="0"/>
      <w:jc w:val="center"/>
      <w:outlineLvl w:val="2"/>
    </w:pPr>
    <w:rPr>
      <w:rFonts w:ascii="Times New Roman" w:eastAsia="Times New Roman" w:hAnsi="Times New Roman"/>
      <w:b/>
      <w:bCs/>
      <w:color w:val="000000"/>
      <w:lang w:eastAsia="cs-CZ"/>
    </w:rPr>
  </w:style>
  <w:style w:type="paragraph" w:styleId="Nadpis4">
    <w:name w:val="heading 4"/>
    <w:basedOn w:val="Normlny"/>
    <w:next w:val="Normlny"/>
    <w:link w:val="Nadpis4Char"/>
    <w:uiPriority w:val="99"/>
    <w:qFormat/>
    <w:rsid w:val="00B51749"/>
    <w:pPr>
      <w:keepNext/>
      <w:numPr>
        <w:ilvl w:val="3"/>
        <w:numId w:val="10"/>
      </w:numPr>
      <w:spacing w:before="240" w:after="60"/>
      <w:outlineLvl w:val="3"/>
    </w:pPr>
    <w:rPr>
      <w:rFonts w:ascii="Times New Roman" w:eastAsia="Times New Roman" w:hAnsi="Times New Roman"/>
      <w:b/>
      <w:bCs/>
      <w:color w:val="000000"/>
      <w:sz w:val="28"/>
      <w:szCs w:val="28"/>
      <w:lang w:eastAsia="cs-CZ"/>
    </w:rPr>
  </w:style>
  <w:style w:type="paragraph" w:styleId="Nadpis5">
    <w:name w:val="heading 5"/>
    <w:basedOn w:val="Normlny"/>
    <w:next w:val="Normlny"/>
    <w:link w:val="Nadpis5Char"/>
    <w:uiPriority w:val="9"/>
    <w:unhideWhenUsed/>
    <w:qFormat/>
    <w:rsid w:val="00B51749"/>
    <w:pPr>
      <w:keepNext/>
      <w:keepLines/>
      <w:numPr>
        <w:ilvl w:val="4"/>
        <w:numId w:val="10"/>
      </w:numPr>
      <w:spacing w:before="200"/>
      <w:outlineLvl w:val="4"/>
    </w:pPr>
    <w:rPr>
      <w:rFonts w:ascii="Calibri" w:eastAsia="MS Gothic" w:hAnsi="Calibri"/>
      <w:color w:val="243F60"/>
    </w:rPr>
  </w:style>
  <w:style w:type="paragraph" w:styleId="Nadpis6">
    <w:name w:val="heading 6"/>
    <w:basedOn w:val="Normlny"/>
    <w:next w:val="Normlny"/>
    <w:link w:val="Nadpis6Char"/>
    <w:semiHidden/>
    <w:unhideWhenUsed/>
    <w:qFormat/>
    <w:rsid w:val="00B51749"/>
    <w:pPr>
      <w:numPr>
        <w:ilvl w:val="5"/>
        <w:numId w:val="10"/>
      </w:numPr>
      <w:spacing w:before="240" w:after="60"/>
      <w:outlineLvl w:val="5"/>
    </w:pPr>
    <w:rPr>
      <w:rFonts w:ascii="Calibri" w:eastAsia="Times New Roman" w:hAnsi="Calibri"/>
      <w:b/>
      <w:bCs/>
      <w:color w:val="000000"/>
      <w:sz w:val="22"/>
      <w:szCs w:val="22"/>
      <w:lang w:eastAsia="cs-CZ"/>
    </w:rPr>
  </w:style>
  <w:style w:type="paragraph" w:styleId="Nadpis7">
    <w:name w:val="heading 7"/>
    <w:basedOn w:val="Normlny"/>
    <w:next w:val="Normlny"/>
    <w:link w:val="Nadpis7Char"/>
    <w:semiHidden/>
    <w:unhideWhenUsed/>
    <w:qFormat/>
    <w:rsid w:val="00B51749"/>
    <w:pPr>
      <w:numPr>
        <w:ilvl w:val="6"/>
        <w:numId w:val="10"/>
      </w:numPr>
      <w:spacing w:before="240" w:after="60"/>
      <w:outlineLvl w:val="6"/>
    </w:pPr>
    <w:rPr>
      <w:rFonts w:ascii="Calibri" w:eastAsia="Times New Roman" w:hAnsi="Calibri"/>
      <w:color w:val="000000"/>
      <w:lang w:eastAsia="cs-CZ"/>
    </w:rPr>
  </w:style>
  <w:style w:type="paragraph" w:styleId="Nadpis8">
    <w:name w:val="heading 8"/>
    <w:basedOn w:val="Normlny"/>
    <w:next w:val="Normlny"/>
    <w:link w:val="Nadpis8Char"/>
    <w:uiPriority w:val="9"/>
    <w:semiHidden/>
    <w:unhideWhenUsed/>
    <w:qFormat/>
    <w:rsid w:val="00B51749"/>
    <w:pPr>
      <w:numPr>
        <w:ilvl w:val="7"/>
        <w:numId w:val="10"/>
      </w:numPr>
      <w:spacing w:before="240" w:after="60"/>
      <w:outlineLvl w:val="7"/>
    </w:pPr>
    <w:rPr>
      <w:rFonts w:ascii="Calibri" w:eastAsia="Times New Roman" w:hAnsi="Calibri"/>
      <w:i/>
      <w:iCs/>
      <w:color w:val="000000"/>
      <w:lang w:eastAsia="cs-CZ"/>
    </w:rPr>
  </w:style>
  <w:style w:type="paragraph" w:styleId="Nadpis9">
    <w:name w:val="heading 9"/>
    <w:basedOn w:val="Normlny"/>
    <w:next w:val="Normlny"/>
    <w:link w:val="Nadpis9Char"/>
    <w:uiPriority w:val="99"/>
    <w:qFormat/>
    <w:rsid w:val="00B51749"/>
    <w:pPr>
      <w:numPr>
        <w:ilvl w:val="8"/>
        <w:numId w:val="10"/>
      </w:numPr>
      <w:spacing w:before="240" w:after="60"/>
      <w:outlineLvl w:val="8"/>
    </w:pPr>
    <w:rPr>
      <w:rFonts w:ascii="Arial" w:eastAsia="Times New Roman" w:hAnsi="Arial" w:cs="Arial"/>
      <w:color w:val="000000"/>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51749"/>
    <w:rPr>
      <w:rFonts w:ascii="Times New Roman" w:eastAsia="Times New Roman" w:hAnsi="Times New Roman" w:cs="Times New Roman"/>
      <w:b/>
      <w:bCs/>
      <w:color w:val="000000"/>
      <w:kern w:val="32"/>
      <w:sz w:val="32"/>
      <w:szCs w:val="32"/>
      <w:lang w:eastAsia="cs-CZ"/>
    </w:rPr>
  </w:style>
  <w:style w:type="character" w:customStyle="1" w:styleId="Nadpis2Char">
    <w:name w:val="Nadpis 2 Char"/>
    <w:basedOn w:val="Predvolenpsmoodseku"/>
    <w:link w:val="Nadpis2"/>
    <w:uiPriority w:val="9"/>
    <w:rsid w:val="00B51749"/>
    <w:rPr>
      <w:rFonts w:ascii="Times New Roman" w:eastAsia="Times New Roman" w:hAnsi="Times New Roman" w:cs="Times New Roman"/>
      <w:b/>
      <w:bCs/>
      <w:color w:val="000000"/>
      <w:sz w:val="28"/>
      <w:szCs w:val="28"/>
      <w:lang w:eastAsia="cs-CZ"/>
    </w:rPr>
  </w:style>
  <w:style w:type="character" w:customStyle="1" w:styleId="Nadpis3Char">
    <w:name w:val="Nadpis 3 Char"/>
    <w:basedOn w:val="Predvolenpsmoodseku"/>
    <w:link w:val="Nadpis3"/>
    <w:uiPriority w:val="9"/>
    <w:rsid w:val="00B51749"/>
    <w:rPr>
      <w:rFonts w:ascii="Times New Roman" w:eastAsia="Times New Roman" w:hAnsi="Times New Roman" w:cs="Times New Roman"/>
      <w:b/>
      <w:bCs/>
      <w:color w:val="000000"/>
      <w:sz w:val="24"/>
      <w:szCs w:val="24"/>
      <w:lang w:eastAsia="cs-CZ"/>
    </w:rPr>
  </w:style>
  <w:style w:type="character" w:customStyle="1" w:styleId="Nadpis4Char">
    <w:name w:val="Nadpis 4 Char"/>
    <w:basedOn w:val="Predvolenpsmoodseku"/>
    <w:link w:val="Nadpis4"/>
    <w:uiPriority w:val="99"/>
    <w:rsid w:val="00B51749"/>
    <w:rPr>
      <w:rFonts w:ascii="Times New Roman" w:eastAsia="Times New Roman" w:hAnsi="Times New Roman" w:cs="Times New Roman"/>
      <w:b/>
      <w:bCs/>
      <w:color w:val="000000"/>
      <w:sz w:val="28"/>
      <w:szCs w:val="28"/>
      <w:lang w:eastAsia="cs-CZ"/>
    </w:rPr>
  </w:style>
  <w:style w:type="character" w:customStyle="1" w:styleId="Nadpis5Char">
    <w:name w:val="Nadpis 5 Char"/>
    <w:basedOn w:val="Predvolenpsmoodseku"/>
    <w:link w:val="Nadpis5"/>
    <w:uiPriority w:val="9"/>
    <w:rsid w:val="00B51749"/>
    <w:rPr>
      <w:rFonts w:ascii="Calibri" w:eastAsia="MS Gothic" w:hAnsi="Calibri" w:cs="Times New Roman"/>
      <w:color w:val="243F60"/>
      <w:sz w:val="24"/>
      <w:szCs w:val="24"/>
    </w:rPr>
  </w:style>
  <w:style w:type="character" w:customStyle="1" w:styleId="Nadpis6Char">
    <w:name w:val="Nadpis 6 Char"/>
    <w:basedOn w:val="Predvolenpsmoodseku"/>
    <w:link w:val="Nadpis6"/>
    <w:semiHidden/>
    <w:rsid w:val="00B51749"/>
    <w:rPr>
      <w:rFonts w:ascii="Calibri" w:eastAsia="Times New Roman" w:hAnsi="Calibri" w:cs="Times New Roman"/>
      <w:b/>
      <w:bCs/>
      <w:color w:val="000000"/>
      <w:lang w:eastAsia="cs-CZ"/>
    </w:rPr>
  </w:style>
  <w:style w:type="character" w:customStyle="1" w:styleId="Nadpis7Char">
    <w:name w:val="Nadpis 7 Char"/>
    <w:basedOn w:val="Predvolenpsmoodseku"/>
    <w:link w:val="Nadpis7"/>
    <w:semiHidden/>
    <w:rsid w:val="00B51749"/>
    <w:rPr>
      <w:rFonts w:ascii="Calibri" w:eastAsia="Times New Roman" w:hAnsi="Calibri" w:cs="Times New Roman"/>
      <w:color w:val="000000"/>
      <w:sz w:val="24"/>
      <w:szCs w:val="24"/>
      <w:lang w:eastAsia="cs-CZ"/>
    </w:rPr>
  </w:style>
  <w:style w:type="character" w:customStyle="1" w:styleId="Nadpis8Char">
    <w:name w:val="Nadpis 8 Char"/>
    <w:basedOn w:val="Predvolenpsmoodseku"/>
    <w:link w:val="Nadpis8"/>
    <w:uiPriority w:val="9"/>
    <w:semiHidden/>
    <w:rsid w:val="00B51749"/>
    <w:rPr>
      <w:rFonts w:ascii="Calibri" w:eastAsia="Times New Roman" w:hAnsi="Calibri" w:cs="Times New Roman"/>
      <w:i/>
      <w:iCs/>
      <w:color w:val="000000"/>
      <w:sz w:val="24"/>
      <w:szCs w:val="24"/>
      <w:lang w:eastAsia="cs-CZ"/>
    </w:rPr>
  </w:style>
  <w:style w:type="character" w:customStyle="1" w:styleId="Nadpis9Char">
    <w:name w:val="Nadpis 9 Char"/>
    <w:basedOn w:val="Predvolenpsmoodseku"/>
    <w:link w:val="Nadpis9"/>
    <w:uiPriority w:val="99"/>
    <w:rsid w:val="00B51749"/>
    <w:rPr>
      <w:rFonts w:ascii="Arial" w:eastAsia="Times New Roman" w:hAnsi="Arial" w:cs="Arial"/>
      <w:color w:val="000000"/>
      <w:lang w:eastAsia="cs-CZ"/>
    </w:rPr>
  </w:style>
  <w:style w:type="paragraph" w:styleId="Hlavika">
    <w:name w:val="header"/>
    <w:basedOn w:val="Normlny"/>
    <w:link w:val="HlavikaChar"/>
    <w:uiPriority w:val="99"/>
    <w:unhideWhenUsed/>
    <w:rsid w:val="00B51749"/>
    <w:pPr>
      <w:tabs>
        <w:tab w:val="center" w:pos="4320"/>
        <w:tab w:val="right" w:pos="8640"/>
      </w:tabs>
    </w:pPr>
  </w:style>
  <w:style w:type="character" w:customStyle="1" w:styleId="HlavikaChar">
    <w:name w:val="Hlavička Char"/>
    <w:basedOn w:val="Predvolenpsmoodseku"/>
    <w:link w:val="Hlavika"/>
    <w:uiPriority w:val="99"/>
    <w:rsid w:val="00B51749"/>
    <w:rPr>
      <w:rFonts w:ascii="Cambria" w:eastAsia="MS Mincho" w:hAnsi="Cambria" w:cs="Times New Roman"/>
      <w:sz w:val="24"/>
      <w:szCs w:val="24"/>
    </w:rPr>
  </w:style>
  <w:style w:type="paragraph" w:styleId="Pta">
    <w:name w:val="footer"/>
    <w:basedOn w:val="Normlny"/>
    <w:link w:val="PtaChar"/>
    <w:uiPriority w:val="99"/>
    <w:unhideWhenUsed/>
    <w:rsid w:val="00B51749"/>
    <w:pPr>
      <w:tabs>
        <w:tab w:val="center" w:pos="4320"/>
        <w:tab w:val="right" w:pos="8640"/>
      </w:tabs>
    </w:pPr>
  </w:style>
  <w:style w:type="character" w:customStyle="1" w:styleId="PtaChar">
    <w:name w:val="Päta Char"/>
    <w:basedOn w:val="Predvolenpsmoodseku"/>
    <w:link w:val="Pta"/>
    <w:uiPriority w:val="99"/>
    <w:rsid w:val="00B51749"/>
    <w:rPr>
      <w:rFonts w:ascii="Cambria" w:eastAsia="MS Mincho" w:hAnsi="Cambria" w:cs="Times New Roman"/>
      <w:sz w:val="24"/>
      <w:szCs w:val="24"/>
    </w:rPr>
  </w:style>
  <w:style w:type="paragraph" w:styleId="Textbubliny">
    <w:name w:val="Balloon Text"/>
    <w:basedOn w:val="Normlny"/>
    <w:link w:val="TextbublinyChar"/>
    <w:uiPriority w:val="99"/>
    <w:semiHidden/>
    <w:unhideWhenUsed/>
    <w:rsid w:val="00B51749"/>
    <w:rPr>
      <w:rFonts w:ascii="Lucida Grande" w:hAnsi="Lucida Grande"/>
      <w:sz w:val="18"/>
      <w:szCs w:val="18"/>
    </w:rPr>
  </w:style>
  <w:style w:type="character" w:customStyle="1" w:styleId="TextbublinyChar">
    <w:name w:val="Text bubliny Char"/>
    <w:basedOn w:val="Predvolenpsmoodseku"/>
    <w:link w:val="Textbubliny"/>
    <w:uiPriority w:val="99"/>
    <w:semiHidden/>
    <w:rsid w:val="00B51749"/>
    <w:rPr>
      <w:rFonts w:ascii="Lucida Grande" w:eastAsia="MS Mincho" w:hAnsi="Lucida Grande" w:cs="Times New Roman"/>
      <w:sz w:val="18"/>
      <w:szCs w:val="18"/>
    </w:rPr>
  </w:style>
  <w:style w:type="character" w:styleId="slostrany">
    <w:name w:val="page number"/>
    <w:basedOn w:val="Predvolenpsmoodseku"/>
    <w:uiPriority w:val="99"/>
    <w:unhideWhenUsed/>
    <w:rsid w:val="00B51749"/>
  </w:style>
  <w:style w:type="paragraph" w:customStyle="1" w:styleId="Default">
    <w:name w:val="Default"/>
    <w:rsid w:val="00B51749"/>
    <w:pPr>
      <w:widowControl w:val="0"/>
      <w:autoSpaceDE w:val="0"/>
      <w:autoSpaceDN w:val="0"/>
      <w:adjustRightInd w:val="0"/>
      <w:spacing w:after="0" w:line="240" w:lineRule="auto"/>
    </w:pPr>
    <w:rPr>
      <w:rFonts w:ascii="Myriad Pro" w:eastAsia="MS Mincho" w:hAnsi="Myriad Pro" w:cs="Myriad Pro"/>
      <w:color w:val="000000"/>
      <w:sz w:val="24"/>
      <w:szCs w:val="24"/>
      <w:lang w:val="en-US"/>
    </w:rPr>
  </w:style>
  <w:style w:type="paragraph" w:styleId="Odsekzoznamu">
    <w:name w:val="List Paragraph"/>
    <w:basedOn w:val="Normlny"/>
    <w:uiPriority w:val="99"/>
    <w:qFormat/>
    <w:rsid w:val="00B51749"/>
    <w:pPr>
      <w:spacing w:after="200" w:line="276" w:lineRule="auto"/>
      <w:ind w:left="720"/>
      <w:contextualSpacing/>
    </w:pPr>
    <w:rPr>
      <w:rFonts w:ascii="Calibri" w:eastAsia="Calibri" w:hAnsi="Calibri"/>
      <w:sz w:val="22"/>
      <w:szCs w:val="22"/>
    </w:rPr>
  </w:style>
  <w:style w:type="character" w:styleId="Hypertextovprepojenie">
    <w:name w:val="Hyperlink"/>
    <w:uiPriority w:val="99"/>
    <w:rsid w:val="00B51749"/>
    <w:rPr>
      <w:rFonts w:cs="Times New Roman"/>
      <w:color w:val="0000FF"/>
      <w:u w:val="single"/>
    </w:rPr>
  </w:style>
  <w:style w:type="character" w:customStyle="1" w:styleId="TextkomentraChar">
    <w:name w:val="Text komentára Char"/>
    <w:basedOn w:val="Predvolenpsmoodseku"/>
    <w:link w:val="Textkomentra"/>
    <w:uiPriority w:val="99"/>
    <w:semiHidden/>
    <w:rsid w:val="00B51749"/>
    <w:rPr>
      <w:rFonts w:ascii="Times New Roman" w:eastAsia="Times New Roman" w:hAnsi="Times New Roman" w:cs="Times New Roman"/>
      <w:color w:val="000000"/>
      <w:sz w:val="20"/>
      <w:szCs w:val="20"/>
      <w:lang w:eastAsia="cs-CZ"/>
    </w:rPr>
  </w:style>
  <w:style w:type="paragraph" w:styleId="Textkomentra">
    <w:name w:val="annotation text"/>
    <w:basedOn w:val="Normlny"/>
    <w:link w:val="TextkomentraChar"/>
    <w:uiPriority w:val="99"/>
    <w:semiHidden/>
    <w:unhideWhenUsed/>
    <w:rsid w:val="00B51749"/>
    <w:rPr>
      <w:rFonts w:ascii="Times New Roman" w:eastAsia="Times New Roman" w:hAnsi="Times New Roman"/>
      <w:color w:val="000000"/>
      <w:sz w:val="20"/>
      <w:szCs w:val="20"/>
      <w:lang w:eastAsia="cs-CZ"/>
    </w:rPr>
  </w:style>
  <w:style w:type="character" w:customStyle="1" w:styleId="PredmetkomentraChar">
    <w:name w:val="Predmet komentára Char"/>
    <w:basedOn w:val="TextkomentraChar"/>
    <w:link w:val="Predmetkomentra"/>
    <w:uiPriority w:val="99"/>
    <w:semiHidden/>
    <w:rsid w:val="00B51749"/>
    <w:rPr>
      <w:rFonts w:ascii="Times New Roman" w:eastAsia="Times New Roman" w:hAnsi="Times New Roman" w:cs="Times New Roman"/>
      <w:b/>
      <w:bCs/>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B51749"/>
    <w:rPr>
      <w:b/>
      <w:bCs/>
    </w:rPr>
  </w:style>
  <w:style w:type="paragraph" w:styleId="Normlnywebov">
    <w:name w:val="Normal (Web)"/>
    <w:basedOn w:val="Normlny"/>
    <w:uiPriority w:val="99"/>
    <w:rsid w:val="00B51749"/>
    <w:pPr>
      <w:spacing w:before="100" w:beforeAutospacing="1" w:after="100" w:afterAutospacing="1"/>
    </w:pPr>
    <w:rPr>
      <w:rFonts w:ascii="Times New Roman" w:eastAsia="Times New Roman" w:hAnsi="Times New Roman"/>
    </w:rPr>
  </w:style>
  <w:style w:type="paragraph" w:styleId="Bezriadkovania">
    <w:name w:val="No Spacing"/>
    <w:uiPriority w:val="99"/>
    <w:qFormat/>
    <w:rsid w:val="00B51749"/>
    <w:pPr>
      <w:spacing w:after="0" w:line="240" w:lineRule="auto"/>
    </w:pPr>
    <w:rPr>
      <w:rFonts w:ascii="Calibri" w:eastAsia="Times New Roman" w:hAnsi="Calibri" w:cs="Times New Roman"/>
    </w:rPr>
  </w:style>
  <w:style w:type="character" w:styleId="Siln">
    <w:name w:val="Strong"/>
    <w:uiPriority w:val="22"/>
    <w:qFormat/>
    <w:rsid w:val="00B51749"/>
    <w:rPr>
      <w:rFonts w:cs="Times New Roman"/>
      <w:b/>
    </w:rPr>
  </w:style>
  <w:style w:type="paragraph" w:styleId="Zkladntext">
    <w:name w:val="Body Text"/>
    <w:basedOn w:val="Normlny"/>
    <w:link w:val="ZkladntextChar"/>
    <w:rsid w:val="00B51749"/>
    <w:pPr>
      <w:spacing w:line="223" w:lineRule="auto"/>
    </w:pPr>
    <w:rPr>
      <w:rFonts w:ascii="Times New Roman" w:eastAsia="Times New Roman" w:hAnsi="Times New Roman"/>
      <w:color w:val="FF0000"/>
      <w:lang w:eastAsia="sk-SK"/>
    </w:rPr>
  </w:style>
  <w:style w:type="character" w:customStyle="1" w:styleId="ZkladntextChar">
    <w:name w:val="Základný text Char"/>
    <w:basedOn w:val="Predvolenpsmoodseku"/>
    <w:link w:val="Zkladntext"/>
    <w:rsid w:val="00B51749"/>
    <w:rPr>
      <w:rFonts w:ascii="Times New Roman" w:eastAsia="Times New Roman" w:hAnsi="Times New Roman" w:cs="Times New Roman"/>
      <w:color w:val="FF0000"/>
      <w:sz w:val="24"/>
      <w:szCs w:val="24"/>
      <w:lang w:eastAsia="sk-SK"/>
    </w:rPr>
  </w:style>
  <w:style w:type="paragraph" w:styleId="Obyajntext">
    <w:name w:val="Plain Text"/>
    <w:basedOn w:val="Normlny"/>
    <w:link w:val="ObyajntextChar"/>
    <w:uiPriority w:val="99"/>
    <w:unhideWhenUsed/>
    <w:rsid w:val="00B51749"/>
    <w:rPr>
      <w:rFonts w:ascii="Calibri" w:eastAsia="Times New Roman" w:hAnsi="Calibri"/>
      <w:sz w:val="22"/>
      <w:szCs w:val="21"/>
    </w:rPr>
  </w:style>
  <w:style w:type="character" w:customStyle="1" w:styleId="ObyajntextChar">
    <w:name w:val="Obyčajný text Char"/>
    <w:basedOn w:val="Predvolenpsmoodseku"/>
    <w:link w:val="Obyajntext"/>
    <w:uiPriority w:val="99"/>
    <w:rsid w:val="00B51749"/>
    <w:rPr>
      <w:rFonts w:ascii="Calibri" w:eastAsia="Times New Roman" w:hAnsi="Calibri" w:cs="Times New Roman"/>
      <w:szCs w:val="21"/>
    </w:rPr>
  </w:style>
  <w:style w:type="paragraph" w:styleId="Podtitul">
    <w:name w:val="Subtitle"/>
    <w:basedOn w:val="Normlny"/>
    <w:link w:val="PodtitulChar"/>
    <w:uiPriority w:val="11"/>
    <w:qFormat/>
    <w:rsid w:val="00B51749"/>
    <w:rPr>
      <w:rFonts w:eastAsia="Times New Roman"/>
      <w:i/>
      <w:iCs/>
      <w:color w:val="4F81BD"/>
      <w:spacing w:val="15"/>
    </w:rPr>
  </w:style>
  <w:style w:type="character" w:customStyle="1" w:styleId="PodtitulChar">
    <w:name w:val="Podtitul Char"/>
    <w:basedOn w:val="Predvolenpsmoodseku"/>
    <w:link w:val="Podtitul"/>
    <w:uiPriority w:val="11"/>
    <w:rsid w:val="00B51749"/>
    <w:rPr>
      <w:rFonts w:ascii="Cambria" w:eastAsia="Times New Roman" w:hAnsi="Cambria" w:cs="Times New Roman"/>
      <w:i/>
      <w:iCs/>
      <w:color w:val="4F81BD"/>
      <w:spacing w:val="15"/>
      <w:sz w:val="24"/>
      <w:szCs w:val="24"/>
    </w:rPr>
  </w:style>
  <w:style w:type="paragraph" w:styleId="Textpoznmkypodiarou">
    <w:name w:val="footnote text"/>
    <w:basedOn w:val="Normlny"/>
    <w:link w:val="TextpoznmkypodiarouChar"/>
    <w:uiPriority w:val="99"/>
    <w:semiHidden/>
    <w:unhideWhenUsed/>
    <w:rsid w:val="00B51749"/>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B51749"/>
    <w:rPr>
      <w:rFonts w:ascii="Times New Roman" w:eastAsia="Times New Roman" w:hAnsi="Times New Roman" w:cs="Times New Roman"/>
      <w:sz w:val="20"/>
      <w:szCs w:val="20"/>
      <w:lang w:eastAsia="sk-SK"/>
    </w:rPr>
  </w:style>
  <w:style w:type="paragraph" w:customStyle="1" w:styleId="tlArial11ptTunervenPodaokraja">
    <w:name w:val="Štýl Arial 11 pt Tučné Červená Podľa okraja"/>
    <w:basedOn w:val="Normlny"/>
    <w:rsid w:val="00B51749"/>
    <w:rPr>
      <w:rFonts w:ascii="Arial" w:eastAsia="Times New Roman" w:hAnsi="Arial"/>
      <w:bCs/>
      <w:sz w:val="22"/>
      <w:szCs w:val="20"/>
      <w:lang w:eastAsia="cs-CZ"/>
    </w:rPr>
  </w:style>
  <w:style w:type="character" w:styleId="Odkaznapoznmkupodiarou">
    <w:name w:val="footnote reference"/>
    <w:uiPriority w:val="99"/>
    <w:semiHidden/>
    <w:unhideWhenUsed/>
    <w:rsid w:val="00B51749"/>
    <w:rPr>
      <w:rFonts w:cs="Times New Roman"/>
      <w:vertAlign w:val="superscript"/>
    </w:rPr>
  </w:style>
  <w:style w:type="character" w:customStyle="1" w:styleId="ZarkazkladnhotextuChar">
    <w:name w:val="Zarážka základného textu Char"/>
    <w:basedOn w:val="Predvolenpsmoodseku"/>
    <w:link w:val="Zarkazkladnhotextu"/>
    <w:uiPriority w:val="99"/>
    <w:semiHidden/>
    <w:rsid w:val="00B51749"/>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B51749"/>
    <w:pPr>
      <w:spacing w:after="120"/>
      <w:ind w:left="283"/>
    </w:pPr>
    <w:rPr>
      <w:rFonts w:ascii="Times New Roman" w:eastAsia="Times New Roman" w:hAnsi="Times New Roman"/>
      <w:lang w:eastAsia="sk-SK"/>
    </w:rPr>
  </w:style>
  <w:style w:type="paragraph" w:styleId="Nzov">
    <w:name w:val="Title"/>
    <w:basedOn w:val="Normlny"/>
    <w:link w:val="NzovChar"/>
    <w:uiPriority w:val="99"/>
    <w:qFormat/>
    <w:rsid w:val="00B51749"/>
    <w:pPr>
      <w:jc w:val="center"/>
    </w:pPr>
    <w:rPr>
      <w:rFonts w:ascii="Times New Roman" w:eastAsia="Times New Roman" w:hAnsi="Times New Roman"/>
      <w:szCs w:val="20"/>
      <w:lang w:eastAsia="cs-CZ"/>
    </w:rPr>
  </w:style>
  <w:style w:type="character" w:customStyle="1" w:styleId="NzovChar">
    <w:name w:val="Názov Char"/>
    <w:basedOn w:val="Predvolenpsmoodseku"/>
    <w:link w:val="Nzov"/>
    <w:uiPriority w:val="99"/>
    <w:rsid w:val="00B51749"/>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semiHidden/>
    <w:unhideWhenUsed/>
    <w:rsid w:val="00B51749"/>
    <w:rPr>
      <w:rFonts w:ascii="Times New Roman" w:eastAsia="Times New Roman" w:hAnsi="Times New Roman"/>
      <w:sz w:val="22"/>
      <w:szCs w:val="20"/>
      <w:lang w:eastAsia="ko-KR"/>
    </w:rPr>
  </w:style>
  <w:style w:type="character" w:customStyle="1" w:styleId="Zkladntext2Char">
    <w:name w:val="Základný text 2 Char"/>
    <w:basedOn w:val="Predvolenpsmoodseku"/>
    <w:link w:val="Zkladntext2"/>
    <w:uiPriority w:val="99"/>
    <w:semiHidden/>
    <w:rsid w:val="00B51749"/>
    <w:rPr>
      <w:rFonts w:ascii="Times New Roman" w:eastAsia="Times New Roman" w:hAnsi="Times New Roman" w:cs="Times New Roman"/>
      <w:szCs w:val="20"/>
      <w:lang w:eastAsia="ko-KR"/>
    </w:rPr>
  </w:style>
  <w:style w:type="character" w:customStyle="1" w:styleId="apple-converted-space">
    <w:name w:val="apple-converted-space"/>
    <w:rsid w:val="00B51749"/>
  </w:style>
  <w:style w:type="paragraph" w:customStyle="1" w:styleId="vchoz">
    <w:name w:val="vchoz"/>
    <w:basedOn w:val="Normlny"/>
    <w:rsid w:val="00B51749"/>
    <w:pPr>
      <w:spacing w:before="100" w:beforeAutospacing="1" w:after="100" w:afterAutospacing="1"/>
    </w:pPr>
    <w:rPr>
      <w:rFonts w:ascii="Times New Roman" w:eastAsia="Times New Roman" w:hAnsi="Times New Roman"/>
      <w:lang w:eastAsia="sk-SK"/>
    </w:rPr>
  </w:style>
  <w:style w:type="character" w:styleId="Zvraznenie">
    <w:name w:val="Emphasis"/>
    <w:uiPriority w:val="20"/>
    <w:qFormat/>
    <w:rsid w:val="00B51749"/>
    <w:rPr>
      <w:rFonts w:cs="Times New Roman"/>
      <w:i/>
    </w:rPr>
  </w:style>
  <w:style w:type="paragraph" w:styleId="Zarkazkladnhotextu3">
    <w:name w:val="Body Text Indent 3"/>
    <w:basedOn w:val="Normlny"/>
    <w:link w:val="Zarkazkladnhotextu3Char"/>
    <w:uiPriority w:val="99"/>
    <w:semiHidden/>
    <w:unhideWhenUsed/>
    <w:rsid w:val="00B51749"/>
    <w:pPr>
      <w:spacing w:after="120"/>
      <w:ind w:left="283"/>
    </w:pPr>
    <w:rPr>
      <w:rFonts w:ascii="Times New Roman" w:eastAsia="Times New Roman" w:hAnsi="Times New Roman"/>
      <w:color w:val="000000"/>
      <w:sz w:val="16"/>
      <w:szCs w:val="16"/>
      <w:lang w:eastAsia="cs-CZ"/>
    </w:rPr>
  </w:style>
  <w:style w:type="character" w:customStyle="1" w:styleId="Zarkazkladnhotextu3Char">
    <w:name w:val="Zarážka základného textu 3 Char"/>
    <w:basedOn w:val="Predvolenpsmoodseku"/>
    <w:link w:val="Zarkazkladnhotextu3"/>
    <w:uiPriority w:val="99"/>
    <w:semiHidden/>
    <w:rsid w:val="00B51749"/>
    <w:rPr>
      <w:rFonts w:ascii="Times New Roman" w:eastAsia="Times New Roman" w:hAnsi="Times New Roman" w:cs="Times New Roman"/>
      <w:color w:val="000000"/>
      <w:sz w:val="16"/>
      <w:szCs w:val="16"/>
      <w:lang w:eastAsia="cs-CZ"/>
    </w:rPr>
  </w:style>
  <w:style w:type="paragraph" w:styleId="Popis">
    <w:name w:val="caption"/>
    <w:basedOn w:val="Normlny"/>
    <w:next w:val="Normlny"/>
    <w:uiPriority w:val="35"/>
    <w:unhideWhenUsed/>
    <w:qFormat/>
    <w:rsid w:val="00B51749"/>
    <w:rPr>
      <w:rFonts w:ascii="Times New Roman" w:eastAsia="Times New Roman" w:hAnsi="Times New Roman"/>
      <w:b/>
      <w:bCs/>
      <w:sz w:val="22"/>
      <w:szCs w:val="20"/>
    </w:rPr>
  </w:style>
  <w:style w:type="paragraph" w:styleId="Zkladntext3">
    <w:name w:val="Body Text 3"/>
    <w:basedOn w:val="Normlny"/>
    <w:link w:val="Zkladntext3Char"/>
    <w:uiPriority w:val="99"/>
    <w:semiHidden/>
    <w:unhideWhenUsed/>
    <w:rsid w:val="00B51749"/>
    <w:pPr>
      <w:spacing w:after="120"/>
    </w:pPr>
    <w:rPr>
      <w:rFonts w:ascii="Calibri" w:eastAsia="Times New Roman" w:hAnsi="Calibri"/>
      <w:sz w:val="16"/>
      <w:szCs w:val="16"/>
    </w:rPr>
  </w:style>
  <w:style w:type="character" w:customStyle="1" w:styleId="Zkladntext3Char">
    <w:name w:val="Základný text 3 Char"/>
    <w:basedOn w:val="Predvolenpsmoodseku"/>
    <w:link w:val="Zkladntext3"/>
    <w:uiPriority w:val="99"/>
    <w:semiHidden/>
    <w:rsid w:val="00B51749"/>
    <w:rPr>
      <w:rFonts w:ascii="Calibri" w:eastAsia="Times New Roman" w:hAnsi="Calibri" w:cs="Times New Roman"/>
      <w:sz w:val="16"/>
      <w:szCs w:val="16"/>
    </w:rPr>
  </w:style>
  <w:style w:type="paragraph" w:styleId="Hlavikaobsahu">
    <w:name w:val="TOC Heading"/>
    <w:basedOn w:val="Nadpis1"/>
    <w:next w:val="Normlny"/>
    <w:uiPriority w:val="39"/>
    <w:unhideWhenUsed/>
    <w:qFormat/>
    <w:rsid w:val="00B51749"/>
    <w:pPr>
      <w:keepNext/>
      <w:keepLines/>
      <w:numPr>
        <w:numId w:val="0"/>
      </w:numPr>
      <w:spacing w:after="0" w:line="276" w:lineRule="auto"/>
      <w:jc w:val="left"/>
      <w:outlineLvl w:val="9"/>
    </w:pPr>
    <w:rPr>
      <w:rFonts w:ascii="Cambria" w:hAnsi="Cambria"/>
      <w:color w:val="365F91"/>
      <w:kern w:val="0"/>
      <w:sz w:val="28"/>
      <w:szCs w:val="28"/>
      <w:lang w:val="en-US" w:eastAsia="ja-JP"/>
    </w:rPr>
  </w:style>
  <w:style w:type="paragraph" w:styleId="Obsah1">
    <w:name w:val="toc 1"/>
    <w:basedOn w:val="Normlny"/>
    <w:next w:val="Normlny"/>
    <w:autoRedefine/>
    <w:uiPriority w:val="39"/>
    <w:rsid w:val="00B51749"/>
    <w:pPr>
      <w:spacing w:after="100"/>
    </w:pPr>
    <w:rPr>
      <w:rFonts w:ascii="Times New Roman" w:eastAsia="Times New Roman" w:hAnsi="Times New Roman"/>
      <w:color w:val="000000"/>
      <w:lang w:eastAsia="cs-CZ"/>
    </w:rPr>
  </w:style>
  <w:style w:type="paragraph" w:styleId="Obsah2">
    <w:name w:val="toc 2"/>
    <w:basedOn w:val="Normlny"/>
    <w:next w:val="Normlny"/>
    <w:autoRedefine/>
    <w:uiPriority w:val="39"/>
    <w:rsid w:val="00B51749"/>
    <w:pPr>
      <w:spacing w:after="100"/>
      <w:ind w:left="240"/>
    </w:pPr>
    <w:rPr>
      <w:rFonts w:ascii="Times New Roman" w:eastAsia="Times New Roman" w:hAnsi="Times New Roman"/>
      <w:color w:val="000000"/>
      <w:lang w:eastAsia="cs-CZ"/>
    </w:rPr>
  </w:style>
  <w:style w:type="paragraph" w:styleId="Obsah3">
    <w:name w:val="toc 3"/>
    <w:basedOn w:val="Normlny"/>
    <w:next w:val="Normlny"/>
    <w:autoRedefine/>
    <w:uiPriority w:val="39"/>
    <w:rsid w:val="005B5DB2"/>
    <w:pPr>
      <w:tabs>
        <w:tab w:val="left" w:pos="1320"/>
        <w:tab w:val="right" w:leader="dot" w:pos="8296"/>
      </w:tabs>
      <w:spacing w:after="100"/>
      <w:ind w:left="480"/>
      <w:jc w:val="left"/>
    </w:pPr>
    <w:rPr>
      <w:rFonts w:eastAsia="Times New Roman"/>
      <w:noProof/>
      <w:color w:val="000000"/>
      <w:lang w:eastAsia="cs-CZ"/>
    </w:rPr>
  </w:style>
  <w:style w:type="character" w:customStyle="1" w:styleId="snormalnyChar">
    <w:name w:val="s_normalny Char"/>
    <w:link w:val="snormalny"/>
    <w:locked/>
    <w:rsid w:val="00B51749"/>
    <w:rPr>
      <w:rFonts w:ascii="Arial" w:eastAsia="Times New Roman" w:hAnsi="Arial" w:cs="Arial"/>
      <w:color w:val="1F497D"/>
      <w:szCs w:val="24"/>
    </w:rPr>
  </w:style>
  <w:style w:type="paragraph" w:customStyle="1" w:styleId="snormalny">
    <w:name w:val="s_normalny"/>
    <w:basedOn w:val="Normlny"/>
    <w:link w:val="snormalnyChar"/>
    <w:qFormat/>
    <w:rsid w:val="00B51749"/>
    <w:pPr>
      <w:spacing w:after="200" w:line="276" w:lineRule="auto"/>
      <w:jc w:val="left"/>
    </w:pPr>
    <w:rPr>
      <w:rFonts w:ascii="Arial" w:eastAsia="Times New Roman" w:hAnsi="Arial" w:cs="Arial"/>
      <w:color w:val="1F497D"/>
      <w:sz w:val="22"/>
    </w:rPr>
  </w:style>
  <w:style w:type="character" w:styleId="Odkaznakomentr">
    <w:name w:val="annotation reference"/>
    <w:basedOn w:val="Predvolenpsmoodseku"/>
    <w:uiPriority w:val="99"/>
    <w:semiHidden/>
    <w:unhideWhenUsed/>
    <w:rsid w:val="00AE19FE"/>
    <w:rPr>
      <w:sz w:val="16"/>
      <w:szCs w:val="16"/>
    </w:rPr>
  </w:style>
  <w:style w:type="character" w:styleId="PouitHypertextovPrepojenie">
    <w:name w:val="FollowedHyperlink"/>
    <w:basedOn w:val="Predvolenpsmoodseku"/>
    <w:uiPriority w:val="99"/>
    <w:semiHidden/>
    <w:unhideWhenUsed/>
    <w:rsid w:val="00B025B3"/>
    <w:rPr>
      <w:color w:val="800080" w:themeColor="followedHyperlink"/>
      <w:u w:val="single"/>
    </w:rPr>
  </w:style>
  <w:style w:type="table" w:styleId="Mriekatabuky">
    <w:name w:val="Table Grid"/>
    <w:basedOn w:val="Normlnatabuka"/>
    <w:uiPriority w:val="59"/>
    <w:rsid w:val="003C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749"/>
    <w:pPr>
      <w:spacing w:after="0" w:line="240" w:lineRule="auto"/>
      <w:jc w:val="both"/>
    </w:pPr>
    <w:rPr>
      <w:rFonts w:ascii="Cambria" w:eastAsia="MS Mincho" w:hAnsi="Cambria" w:cs="Times New Roman"/>
      <w:sz w:val="24"/>
      <w:szCs w:val="24"/>
    </w:rPr>
  </w:style>
  <w:style w:type="paragraph" w:styleId="Nadpis1">
    <w:name w:val="heading 1"/>
    <w:basedOn w:val="Normlny"/>
    <w:next w:val="Normlny"/>
    <w:link w:val="Nadpis1Char"/>
    <w:uiPriority w:val="9"/>
    <w:qFormat/>
    <w:rsid w:val="00B51749"/>
    <w:pPr>
      <w:numPr>
        <w:numId w:val="10"/>
      </w:numPr>
      <w:spacing w:before="480" w:after="240"/>
      <w:jc w:val="center"/>
      <w:outlineLvl w:val="0"/>
    </w:pPr>
    <w:rPr>
      <w:rFonts w:ascii="Times New Roman" w:eastAsia="Times New Roman" w:hAnsi="Times New Roman"/>
      <w:b/>
      <w:bCs/>
      <w:color w:val="000000"/>
      <w:kern w:val="32"/>
      <w:sz w:val="32"/>
      <w:szCs w:val="32"/>
      <w:lang w:eastAsia="cs-CZ"/>
    </w:rPr>
  </w:style>
  <w:style w:type="paragraph" w:styleId="Nadpis2">
    <w:name w:val="heading 2"/>
    <w:basedOn w:val="Normlny"/>
    <w:next w:val="Normlny"/>
    <w:link w:val="Nadpis2Char"/>
    <w:uiPriority w:val="9"/>
    <w:qFormat/>
    <w:rsid w:val="00B51749"/>
    <w:pPr>
      <w:keepNext/>
      <w:numPr>
        <w:ilvl w:val="1"/>
        <w:numId w:val="10"/>
      </w:numPr>
      <w:spacing w:before="240" w:after="240"/>
      <w:jc w:val="center"/>
      <w:outlineLvl w:val="1"/>
    </w:pPr>
    <w:rPr>
      <w:rFonts w:ascii="Times New Roman" w:eastAsia="Times New Roman" w:hAnsi="Times New Roman"/>
      <w:b/>
      <w:bCs/>
      <w:color w:val="000000"/>
      <w:sz w:val="28"/>
      <w:szCs w:val="28"/>
      <w:lang w:eastAsia="cs-CZ"/>
    </w:rPr>
  </w:style>
  <w:style w:type="paragraph" w:styleId="Nadpis3">
    <w:name w:val="heading 3"/>
    <w:basedOn w:val="Normlny"/>
    <w:next w:val="Normlny"/>
    <w:link w:val="Nadpis3Char"/>
    <w:uiPriority w:val="9"/>
    <w:qFormat/>
    <w:rsid w:val="00B51749"/>
    <w:pPr>
      <w:keepNext/>
      <w:numPr>
        <w:ilvl w:val="2"/>
        <w:numId w:val="10"/>
      </w:numPr>
      <w:spacing w:before="120" w:after="120"/>
      <w:ind w:left="0" w:firstLine="0"/>
      <w:jc w:val="center"/>
      <w:outlineLvl w:val="2"/>
    </w:pPr>
    <w:rPr>
      <w:rFonts w:ascii="Times New Roman" w:eastAsia="Times New Roman" w:hAnsi="Times New Roman"/>
      <w:b/>
      <w:bCs/>
      <w:color w:val="000000"/>
      <w:lang w:eastAsia="cs-CZ"/>
    </w:rPr>
  </w:style>
  <w:style w:type="paragraph" w:styleId="Nadpis4">
    <w:name w:val="heading 4"/>
    <w:basedOn w:val="Normlny"/>
    <w:next w:val="Normlny"/>
    <w:link w:val="Nadpis4Char"/>
    <w:uiPriority w:val="99"/>
    <w:qFormat/>
    <w:rsid w:val="00B51749"/>
    <w:pPr>
      <w:keepNext/>
      <w:numPr>
        <w:ilvl w:val="3"/>
        <w:numId w:val="10"/>
      </w:numPr>
      <w:spacing w:before="240" w:after="60"/>
      <w:outlineLvl w:val="3"/>
    </w:pPr>
    <w:rPr>
      <w:rFonts w:ascii="Times New Roman" w:eastAsia="Times New Roman" w:hAnsi="Times New Roman"/>
      <w:b/>
      <w:bCs/>
      <w:color w:val="000000"/>
      <w:sz w:val="28"/>
      <w:szCs w:val="28"/>
      <w:lang w:eastAsia="cs-CZ"/>
    </w:rPr>
  </w:style>
  <w:style w:type="paragraph" w:styleId="Nadpis5">
    <w:name w:val="heading 5"/>
    <w:basedOn w:val="Normlny"/>
    <w:next w:val="Normlny"/>
    <w:link w:val="Nadpis5Char"/>
    <w:uiPriority w:val="9"/>
    <w:unhideWhenUsed/>
    <w:qFormat/>
    <w:rsid w:val="00B51749"/>
    <w:pPr>
      <w:keepNext/>
      <w:keepLines/>
      <w:numPr>
        <w:ilvl w:val="4"/>
        <w:numId w:val="10"/>
      </w:numPr>
      <w:spacing w:before="200"/>
      <w:outlineLvl w:val="4"/>
    </w:pPr>
    <w:rPr>
      <w:rFonts w:ascii="Calibri" w:eastAsia="MS Gothic" w:hAnsi="Calibri"/>
      <w:color w:val="243F60"/>
    </w:rPr>
  </w:style>
  <w:style w:type="paragraph" w:styleId="Nadpis6">
    <w:name w:val="heading 6"/>
    <w:basedOn w:val="Normlny"/>
    <w:next w:val="Normlny"/>
    <w:link w:val="Nadpis6Char"/>
    <w:semiHidden/>
    <w:unhideWhenUsed/>
    <w:qFormat/>
    <w:rsid w:val="00B51749"/>
    <w:pPr>
      <w:numPr>
        <w:ilvl w:val="5"/>
        <w:numId w:val="10"/>
      </w:numPr>
      <w:spacing w:before="240" w:after="60"/>
      <w:outlineLvl w:val="5"/>
    </w:pPr>
    <w:rPr>
      <w:rFonts w:ascii="Calibri" w:eastAsia="Times New Roman" w:hAnsi="Calibri"/>
      <w:b/>
      <w:bCs/>
      <w:color w:val="000000"/>
      <w:sz w:val="22"/>
      <w:szCs w:val="22"/>
      <w:lang w:eastAsia="cs-CZ"/>
    </w:rPr>
  </w:style>
  <w:style w:type="paragraph" w:styleId="Nadpis7">
    <w:name w:val="heading 7"/>
    <w:basedOn w:val="Normlny"/>
    <w:next w:val="Normlny"/>
    <w:link w:val="Nadpis7Char"/>
    <w:semiHidden/>
    <w:unhideWhenUsed/>
    <w:qFormat/>
    <w:rsid w:val="00B51749"/>
    <w:pPr>
      <w:numPr>
        <w:ilvl w:val="6"/>
        <w:numId w:val="10"/>
      </w:numPr>
      <w:spacing w:before="240" w:after="60"/>
      <w:outlineLvl w:val="6"/>
    </w:pPr>
    <w:rPr>
      <w:rFonts w:ascii="Calibri" w:eastAsia="Times New Roman" w:hAnsi="Calibri"/>
      <w:color w:val="000000"/>
      <w:lang w:eastAsia="cs-CZ"/>
    </w:rPr>
  </w:style>
  <w:style w:type="paragraph" w:styleId="Nadpis8">
    <w:name w:val="heading 8"/>
    <w:basedOn w:val="Normlny"/>
    <w:next w:val="Normlny"/>
    <w:link w:val="Nadpis8Char"/>
    <w:uiPriority w:val="9"/>
    <w:semiHidden/>
    <w:unhideWhenUsed/>
    <w:qFormat/>
    <w:rsid w:val="00B51749"/>
    <w:pPr>
      <w:numPr>
        <w:ilvl w:val="7"/>
        <w:numId w:val="10"/>
      </w:numPr>
      <w:spacing w:before="240" w:after="60"/>
      <w:outlineLvl w:val="7"/>
    </w:pPr>
    <w:rPr>
      <w:rFonts w:ascii="Calibri" w:eastAsia="Times New Roman" w:hAnsi="Calibri"/>
      <w:i/>
      <w:iCs/>
      <w:color w:val="000000"/>
      <w:lang w:eastAsia="cs-CZ"/>
    </w:rPr>
  </w:style>
  <w:style w:type="paragraph" w:styleId="Nadpis9">
    <w:name w:val="heading 9"/>
    <w:basedOn w:val="Normlny"/>
    <w:next w:val="Normlny"/>
    <w:link w:val="Nadpis9Char"/>
    <w:uiPriority w:val="99"/>
    <w:qFormat/>
    <w:rsid w:val="00B51749"/>
    <w:pPr>
      <w:numPr>
        <w:ilvl w:val="8"/>
        <w:numId w:val="10"/>
      </w:numPr>
      <w:spacing w:before="240" w:after="60"/>
      <w:outlineLvl w:val="8"/>
    </w:pPr>
    <w:rPr>
      <w:rFonts w:ascii="Arial" w:eastAsia="Times New Roman" w:hAnsi="Arial" w:cs="Arial"/>
      <w:color w:val="000000"/>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51749"/>
    <w:rPr>
      <w:rFonts w:ascii="Times New Roman" w:eastAsia="Times New Roman" w:hAnsi="Times New Roman" w:cs="Times New Roman"/>
      <w:b/>
      <w:bCs/>
      <w:color w:val="000000"/>
      <w:kern w:val="32"/>
      <w:sz w:val="32"/>
      <w:szCs w:val="32"/>
      <w:lang w:eastAsia="cs-CZ"/>
    </w:rPr>
  </w:style>
  <w:style w:type="character" w:customStyle="1" w:styleId="Nadpis2Char">
    <w:name w:val="Nadpis 2 Char"/>
    <w:basedOn w:val="Predvolenpsmoodseku"/>
    <w:link w:val="Nadpis2"/>
    <w:uiPriority w:val="9"/>
    <w:rsid w:val="00B51749"/>
    <w:rPr>
      <w:rFonts w:ascii="Times New Roman" w:eastAsia="Times New Roman" w:hAnsi="Times New Roman" w:cs="Times New Roman"/>
      <w:b/>
      <w:bCs/>
      <w:color w:val="000000"/>
      <w:sz w:val="28"/>
      <w:szCs w:val="28"/>
      <w:lang w:eastAsia="cs-CZ"/>
    </w:rPr>
  </w:style>
  <w:style w:type="character" w:customStyle="1" w:styleId="Nadpis3Char">
    <w:name w:val="Nadpis 3 Char"/>
    <w:basedOn w:val="Predvolenpsmoodseku"/>
    <w:link w:val="Nadpis3"/>
    <w:uiPriority w:val="9"/>
    <w:rsid w:val="00B51749"/>
    <w:rPr>
      <w:rFonts w:ascii="Times New Roman" w:eastAsia="Times New Roman" w:hAnsi="Times New Roman" w:cs="Times New Roman"/>
      <w:b/>
      <w:bCs/>
      <w:color w:val="000000"/>
      <w:sz w:val="24"/>
      <w:szCs w:val="24"/>
      <w:lang w:eastAsia="cs-CZ"/>
    </w:rPr>
  </w:style>
  <w:style w:type="character" w:customStyle="1" w:styleId="Nadpis4Char">
    <w:name w:val="Nadpis 4 Char"/>
    <w:basedOn w:val="Predvolenpsmoodseku"/>
    <w:link w:val="Nadpis4"/>
    <w:uiPriority w:val="99"/>
    <w:rsid w:val="00B51749"/>
    <w:rPr>
      <w:rFonts w:ascii="Times New Roman" w:eastAsia="Times New Roman" w:hAnsi="Times New Roman" w:cs="Times New Roman"/>
      <w:b/>
      <w:bCs/>
      <w:color w:val="000000"/>
      <w:sz w:val="28"/>
      <w:szCs w:val="28"/>
      <w:lang w:eastAsia="cs-CZ"/>
    </w:rPr>
  </w:style>
  <w:style w:type="character" w:customStyle="1" w:styleId="Nadpis5Char">
    <w:name w:val="Nadpis 5 Char"/>
    <w:basedOn w:val="Predvolenpsmoodseku"/>
    <w:link w:val="Nadpis5"/>
    <w:uiPriority w:val="9"/>
    <w:rsid w:val="00B51749"/>
    <w:rPr>
      <w:rFonts w:ascii="Calibri" w:eastAsia="MS Gothic" w:hAnsi="Calibri" w:cs="Times New Roman"/>
      <w:color w:val="243F60"/>
      <w:sz w:val="24"/>
      <w:szCs w:val="24"/>
    </w:rPr>
  </w:style>
  <w:style w:type="character" w:customStyle="1" w:styleId="Nadpis6Char">
    <w:name w:val="Nadpis 6 Char"/>
    <w:basedOn w:val="Predvolenpsmoodseku"/>
    <w:link w:val="Nadpis6"/>
    <w:semiHidden/>
    <w:rsid w:val="00B51749"/>
    <w:rPr>
      <w:rFonts w:ascii="Calibri" w:eastAsia="Times New Roman" w:hAnsi="Calibri" w:cs="Times New Roman"/>
      <w:b/>
      <w:bCs/>
      <w:color w:val="000000"/>
      <w:lang w:eastAsia="cs-CZ"/>
    </w:rPr>
  </w:style>
  <w:style w:type="character" w:customStyle="1" w:styleId="Nadpis7Char">
    <w:name w:val="Nadpis 7 Char"/>
    <w:basedOn w:val="Predvolenpsmoodseku"/>
    <w:link w:val="Nadpis7"/>
    <w:semiHidden/>
    <w:rsid w:val="00B51749"/>
    <w:rPr>
      <w:rFonts w:ascii="Calibri" w:eastAsia="Times New Roman" w:hAnsi="Calibri" w:cs="Times New Roman"/>
      <w:color w:val="000000"/>
      <w:sz w:val="24"/>
      <w:szCs w:val="24"/>
      <w:lang w:eastAsia="cs-CZ"/>
    </w:rPr>
  </w:style>
  <w:style w:type="character" w:customStyle="1" w:styleId="Nadpis8Char">
    <w:name w:val="Nadpis 8 Char"/>
    <w:basedOn w:val="Predvolenpsmoodseku"/>
    <w:link w:val="Nadpis8"/>
    <w:uiPriority w:val="9"/>
    <w:semiHidden/>
    <w:rsid w:val="00B51749"/>
    <w:rPr>
      <w:rFonts w:ascii="Calibri" w:eastAsia="Times New Roman" w:hAnsi="Calibri" w:cs="Times New Roman"/>
      <w:i/>
      <w:iCs/>
      <w:color w:val="000000"/>
      <w:sz w:val="24"/>
      <w:szCs w:val="24"/>
      <w:lang w:eastAsia="cs-CZ"/>
    </w:rPr>
  </w:style>
  <w:style w:type="character" w:customStyle="1" w:styleId="Nadpis9Char">
    <w:name w:val="Nadpis 9 Char"/>
    <w:basedOn w:val="Predvolenpsmoodseku"/>
    <w:link w:val="Nadpis9"/>
    <w:uiPriority w:val="99"/>
    <w:rsid w:val="00B51749"/>
    <w:rPr>
      <w:rFonts w:ascii="Arial" w:eastAsia="Times New Roman" w:hAnsi="Arial" w:cs="Arial"/>
      <w:color w:val="000000"/>
      <w:lang w:eastAsia="cs-CZ"/>
    </w:rPr>
  </w:style>
  <w:style w:type="paragraph" w:styleId="Hlavika">
    <w:name w:val="header"/>
    <w:basedOn w:val="Normlny"/>
    <w:link w:val="HlavikaChar"/>
    <w:uiPriority w:val="99"/>
    <w:unhideWhenUsed/>
    <w:rsid w:val="00B51749"/>
    <w:pPr>
      <w:tabs>
        <w:tab w:val="center" w:pos="4320"/>
        <w:tab w:val="right" w:pos="8640"/>
      </w:tabs>
    </w:pPr>
  </w:style>
  <w:style w:type="character" w:customStyle="1" w:styleId="HlavikaChar">
    <w:name w:val="Hlavička Char"/>
    <w:basedOn w:val="Predvolenpsmoodseku"/>
    <w:link w:val="Hlavika"/>
    <w:uiPriority w:val="99"/>
    <w:rsid w:val="00B51749"/>
    <w:rPr>
      <w:rFonts w:ascii="Cambria" w:eastAsia="MS Mincho" w:hAnsi="Cambria" w:cs="Times New Roman"/>
      <w:sz w:val="24"/>
      <w:szCs w:val="24"/>
    </w:rPr>
  </w:style>
  <w:style w:type="paragraph" w:styleId="Pta">
    <w:name w:val="footer"/>
    <w:basedOn w:val="Normlny"/>
    <w:link w:val="PtaChar"/>
    <w:uiPriority w:val="99"/>
    <w:unhideWhenUsed/>
    <w:rsid w:val="00B51749"/>
    <w:pPr>
      <w:tabs>
        <w:tab w:val="center" w:pos="4320"/>
        <w:tab w:val="right" w:pos="8640"/>
      </w:tabs>
    </w:pPr>
  </w:style>
  <w:style w:type="character" w:customStyle="1" w:styleId="PtaChar">
    <w:name w:val="Päta Char"/>
    <w:basedOn w:val="Predvolenpsmoodseku"/>
    <w:link w:val="Pta"/>
    <w:uiPriority w:val="99"/>
    <w:rsid w:val="00B51749"/>
    <w:rPr>
      <w:rFonts w:ascii="Cambria" w:eastAsia="MS Mincho" w:hAnsi="Cambria" w:cs="Times New Roman"/>
      <w:sz w:val="24"/>
      <w:szCs w:val="24"/>
    </w:rPr>
  </w:style>
  <w:style w:type="paragraph" w:styleId="Textbubliny">
    <w:name w:val="Balloon Text"/>
    <w:basedOn w:val="Normlny"/>
    <w:link w:val="TextbublinyChar"/>
    <w:uiPriority w:val="99"/>
    <w:semiHidden/>
    <w:unhideWhenUsed/>
    <w:rsid w:val="00B51749"/>
    <w:rPr>
      <w:rFonts w:ascii="Lucida Grande" w:hAnsi="Lucida Grande"/>
      <w:sz w:val="18"/>
      <w:szCs w:val="18"/>
    </w:rPr>
  </w:style>
  <w:style w:type="character" w:customStyle="1" w:styleId="TextbublinyChar">
    <w:name w:val="Text bubliny Char"/>
    <w:basedOn w:val="Predvolenpsmoodseku"/>
    <w:link w:val="Textbubliny"/>
    <w:uiPriority w:val="99"/>
    <w:semiHidden/>
    <w:rsid w:val="00B51749"/>
    <w:rPr>
      <w:rFonts w:ascii="Lucida Grande" w:eastAsia="MS Mincho" w:hAnsi="Lucida Grande" w:cs="Times New Roman"/>
      <w:sz w:val="18"/>
      <w:szCs w:val="18"/>
    </w:rPr>
  </w:style>
  <w:style w:type="character" w:styleId="slostrany">
    <w:name w:val="page number"/>
    <w:basedOn w:val="Predvolenpsmoodseku"/>
    <w:uiPriority w:val="99"/>
    <w:unhideWhenUsed/>
    <w:rsid w:val="00B51749"/>
  </w:style>
  <w:style w:type="paragraph" w:customStyle="1" w:styleId="Default">
    <w:name w:val="Default"/>
    <w:rsid w:val="00B51749"/>
    <w:pPr>
      <w:widowControl w:val="0"/>
      <w:autoSpaceDE w:val="0"/>
      <w:autoSpaceDN w:val="0"/>
      <w:adjustRightInd w:val="0"/>
      <w:spacing w:after="0" w:line="240" w:lineRule="auto"/>
    </w:pPr>
    <w:rPr>
      <w:rFonts w:ascii="Myriad Pro" w:eastAsia="MS Mincho" w:hAnsi="Myriad Pro" w:cs="Myriad Pro"/>
      <w:color w:val="000000"/>
      <w:sz w:val="24"/>
      <w:szCs w:val="24"/>
      <w:lang w:val="en-US"/>
    </w:rPr>
  </w:style>
  <w:style w:type="paragraph" w:styleId="Odsekzoznamu">
    <w:name w:val="List Paragraph"/>
    <w:basedOn w:val="Normlny"/>
    <w:uiPriority w:val="99"/>
    <w:qFormat/>
    <w:rsid w:val="00B51749"/>
    <w:pPr>
      <w:spacing w:after="200" w:line="276" w:lineRule="auto"/>
      <w:ind w:left="720"/>
      <w:contextualSpacing/>
    </w:pPr>
    <w:rPr>
      <w:rFonts w:ascii="Calibri" w:eastAsia="Calibri" w:hAnsi="Calibri"/>
      <w:sz w:val="22"/>
      <w:szCs w:val="22"/>
    </w:rPr>
  </w:style>
  <w:style w:type="character" w:styleId="Hypertextovprepojenie">
    <w:name w:val="Hyperlink"/>
    <w:uiPriority w:val="99"/>
    <w:rsid w:val="00B51749"/>
    <w:rPr>
      <w:rFonts w:cs="Times New Roman"/>
      <w:color w:val="0000FF"/>
      <w:u w:val="single"/>
    </w:rPr>
  </w:style>
  <w:style w:type="character" w:customStyle="1" w:styleId="TextkomentraChar">
    <w:name w:val="Text komentára Char"/>
    <w:basedOn w:val="Predvolenpsmoodseku"/>
    <w:link w:val="Textkomentra"/>
    <w:uiPriority w:val="99"/>
    <w:semiHidden/>
    <w:rsid w:val="00B51749"/>
    <w:rPr>
      <w:rFonts w:ascii="Times New Roman" w:eastAsia="Times New Roman" w:hAnsi="Times New Roman" w:cs="Times New Roman"/>
      <w:color w:val="000000"/>
      <w:sz w:val="20"/>
      <w:szCs w:val="20"/>
      <w:lang w:eastAsia="cs-CZ"/>
    </w:rPr>
  </w:style>
  <w:style w:type="paragraph" w:styleId="Textkomentra">
    <w:name w:val="annotation text"/>
    <w:basedOn w:val="Normlny"/>
    <w:link w:val="TextkomentraChar"/>
    <w:uiPriority w:val="99"/>
    <w:semiHidden/>
    <w:unhideWhenUsed/>
    <w:rsid w:val="00B51749"/>
    <w:rPr>
      <w:rFonts w:ascii="Times New Roman" w:eastAsia="Times New Roman" w:hAnsi="Times New Roman"/>
      <w:color w:val="000000"/>
      <w:sz w:val="20"/>
      <w:szCs w:val="20"/>
      <w:lang w:eastAsia="cs-CZ"/>
    </w:rPr>
  </w:style>
  <w:style w:type="character" w:customStyle="1" w:styleId="PredmetkomentraChar">
    <w:name w:val="Predmet komentára Char"/>
    <w:basedOn w:val="TextkomentraChar"/>
    <w:link w:val="Predmetkomentra"/>
    <w:uiPriority w:val="99"/>
    <w:semiHidden/>
    <w:rsid w:val="00B51749"/>
    <w:rPr>
      <w:rFonts w:ascii="Times New Roman" w:eastAsia="Times New Roman" w:hAnsi="Times New Roman" w:cs="Times New Roman"/>
      <w:b/>
      <w:bCs/>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B51749"/>
    <w:rPr>
      <w:b/>
      <w:bCs/>
    </w:rPr>
  </w:style>
  <w:style w:type="paragraph" w:styleId="Normlnywebov">
    <w:name w:val="Normal (Web)"/>
    <w:basedOn w:val="Normlny"/>
    <w:uiPriority w:val="99"/>
    <w:rsid w:val="00B51749"/>
    <w:pPr>
      <w:spacing w:before="100" w:beforeAutospacing="1" w:after="100" w:afterAutospacing="1"/>
    </w:pPr>
    <w:rPr>
      <w:rFonts w:ascii="Times New Roman" w:eastAsia="Times New Roman" w:hAnsi="Times New Roman"/>
    </w:rPr>
  </w:style>
  <w:style w:type="paragraph" w:styleId="Bezriadkovania">
    <w:name w:val="No Spacing"/>
    <w:uiPriority w:val="99"/>
    <w:qFormat/>
    <w:rsid w:val="00B51749"/>
    <w:pPr>
      <w:spacing w:after="0" w:line="240" w:lineRule="auto"/>
    </w:pPr>
    <w:rPr>
      <w:rFonts w:ascii="Calibri" w:eastAsia="Times New Roman" w:hAnsi="Calibri" w:cs="Times New Roman"/>
    </w:rPr>
  </w:style>
  <w:style w:type="character" w:styleId="Siln">
    <w:name w:val="Strong"/>
    <w:uiPriority w:val="22"/>
    <w:qFormat/>
    <w:rsid w:val="00B51749"/>
    <w:rPr>
      <w:rFonts w:cs="Times New Roman"/>
      <w:b/>
    </w:rPr>
  </w:style>
  <w:style w:type="paragraph" w:styleId="Zkladntext">
    <w:name w:val="Body Text"/>
    <w:basedOn w:val="Normlny"/>
    <w:link w:val="ZkladntextChar"/>
    <w:rsid w:val="00B51749"/>
    <w:pPr>
      <w:spacing w:line="223" w:lineRule="auto"/>
    </w:pPr>
    <w:rPr>
      <w:rFonts w:ascii="Times New Roman" w:eastAsia="Times New Roman" w:hAnsi="Times New Roman"/>
      <w:color w:val="FF0000"/>
      <w:lang w:eastAsia="sk-SK"/>
    </w:rPr>
  </w:style>
  <w:style w:type="character" w:customStyle="1" w:styleId="ZkladntextChar">
    <w:name w:val="Základný text Char"/>
    <w:basedOn w:val="Predvolenpsmoodseku"/>
    <w:link w:val="Zkladntext"/>
    <w:rsid w:val="00B51749"/>
    <w:rPr>
      <w:rFonts w:ascii="Times New Roman" w:eastAsia="Times New Roman" w:hAnsi="Times New Roman" w:cs="Times New Roman"/>
      <w:color w:val="FF0000"/>
      <w:sz w:val="24"/>
      <w:szCs w:val="24"/>
      <w:lang w:eastAsia="sk-SK"/>
    </w:rPr>
  </w:style>
  <w:style w:type="paragraph" w:styleId="Obyajntext">
    <w:name w:val="Plain Text"/>
    <w:basedOn w:val="Normlny"/>
    <w:link w:val="ObyajntextChar"/>
    <w:uiPriority w:val="99"/>
    <w:unhideWhenUsed/>
    <w:rsid w:val="00B51749"/>
    <w:rPr>
      <w:rFonts w:ascii="Calibri" w:eastAsia="Times New Roman" w:hAnsi="Calibri"/>
      <w:sz w:val="22"/>
      <w:szCs w:val="21"/>
    </w:rPr>
  </w:style>
  <w:style w:type="character" w:customStyle="1" w:styleId="ObyajntextChar">
    <w:name w:val="Obyčajný text Char"/>
    <w:basedOn w:val="Predvolenpsmoodseku"/>
    <w:link w:val="Obyajntext"/>
    <w:uiPriority w:val="99"/>
    <w:rsid w:val="00B51749"/>
    <w:rPr>
      <w:rFonts w:ascii="Calibri" w:eastAsia="Times New Roman" w:hAnsi="Calibri" w:cs="Times New Roman"/>
      <w:szCs w:val="21"/>
    </w:rPr>
  </w:style>
  <w:style w:type="paragraph" w:styleId="Podtitul">
    <w:name w:val="Subtitle"/>
    <w:basedOn w:val="Normlny"/>
    <w:link w:val="PodtitulChar"/>
    <w:uiPriority w:val="11"/>
    <w:qFormat/>
    <w:rsid w:val="00B51749"/>
    <w:rPr>
      <w:rFonts w:eastAsia="Times New Roman"/>
      <w:i/>
      <w:iCs/>
      <w:color w:val="4F81BD"/>
      <w:spacing w:val="15"/>
    </w:rPr>
  </w:style>
  <w:style w:type="character" w:customStyle="1" w:styleId="PodtitulChar">
    <w:name w:val="Podtitul Char"/>
    <w:basedOn w:val="Predvolenpsmoodseku"/>
    <w:link w:val="Podtitul"/>
    <w:uiPriority w:val="11"/>
    <w:rsid w:val="00B51749"/>
    <w:rPr>
      <w:rFonts w:ascii="Cambria" w:eastAsia="Times New Roman" w:hAnsi="Cambria" w:cs="Times New Roman"/>
      <w:i/>
      <w:iCs/>
      <w:color w:val="4F81BD"/>
      <w:spacing w:val="15"/>
      <w:sz w:val="24"/>
      <w:szCs w:val="24"/>
    </w:rPr>
  </w:style>
  <w:style w:type="paragraph" w:styleId="Textpoznmkypodiarou">
    <w:name w:val="footnote text"/>
    <w:basedOn w:val="Normlny"/>
    <w:link w:val="TextpoznmkypodiarouChar"/>
    <w:uiPriority w:val="99"/>
    <w:semiHidden/>
    <w:unhideWhenUsed/>
    <w:rsid w:val="00B51749"/>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B51749"/>
    <w:rPr>
      <w:rFonts w:ascii="Times New Roman" w:eastAsia="Times New Roman" w:hAnsi="Times New Roman" w:cs="Times New Roman"/>
      <w:sz w:val="20"/>
      <w:szCs w:val="20"/>
      <w:lang w:eastAsia="sk-SK"/>
    </w:rPr>
  </w:style>
  <w:style w:type="paragraph" w:customStyle="1" w:styleId="tlArial11ptTunervenPodaokraja">
    <w:name w:val="Štýl Arial 11 pt Tučné Červená Podľa okraja"/>
    <w:basedOn w:val="Normlny"/>
    <w:rsid w:val="00B51749"/>
    <w:rPr>
      <w:rFonts w:ascii="Arial" w:eastAsia="Times New Roman" w:hAnsi="Arial"/>
      <w:bCs/>
      <w:sz w:val="22"/>
      <w:szCs w:val="20"/>
      <w:lang w:eastAsia="cs-CZ"/>
    </w:rPr>
  </w:style>
  <w:style w:type="character" w:styleId="Odkaznapoznmkupodiarou">
    <w:name w:val="footnote reference"/>
    <w:uiPriority w:val="99"/>
    <w:semiHidden/>
    <w:unhideWhenUsed/>
    <w:rsid w:val="00B51749"/>
    <w:rPr>
      <w:rFonts w:cs="Times New Roman"/>
      <w:vertAlign w:val="superscript"/>
    </w:rPr>
  </w:style>
  <w:style w:type="character" w:customStyle="1" w:styleId="ZarkazkladnhotextuChar">
    <w:name w:val="Zarážka základného textu Char"/>
    <w:basedOn w:val="Predvolenpsmoodseku"/>
    <w:link w:val="Zarkazkladnhotextu"/>
    <w:uiPriority w:val="99"/>
    <w:semiHidden/>
    <w:rsid w:val="00B51749"/>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B51749"/>
    <w:pPr>
      <w:spacing w:after="120"/>
      <w:ind w:left="283"/>
    </w:pPr>
    <w:rPr>
      <w:rFonts w:ascii="Times New Roman" w:eastAsia="Times New Roman" w:hAnsi="Times New Roman"/>
      <w:lang w:eastAsia="sk-SK"/>
    </w:rPr>
  </w:style>
  <w:style w:type="paragraph" w:styleId="Nzov">
    <w:name w:val="Title"/>
    <w:basedOn w:val="Normlny"/>
    <w:link w:val="NzovChar"/>
    <w:uiPriority w:val="99"/>
    <w:qFormat/>
    <w:rsid w:val="00B51749"/>
    <w:pPr>
      <w:jc w:val="center"/>
    </w:pPr>
    <w:rPr>
      <w:rFonts w:ascii="Times New Roman" w:eastAsia="Times New Roman" w:hAnsi="Times New Roman"/>
      <w:szCs w:val="20"/>
      <w:lang w:eastAsia="cs-CZ"/>
    </w:rPr>
  </w:style>
  <w:style w:type="character" w:customStyle="1" w:styleId="NzovChar">
    <w:name w:val="Názov Char"/>
    <w:basedOn w:val="Predvolenpsmoodseku"/>
    <w:link w:val="Nzov"/>
    <w:uiPriority w:val="99"/>
    <w:rsid w:val="00B51749"/>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semiHidden/>
    <w:unhideWhenUsed/>
    <w:rsid w:val="00B51749"/>
    <w:rPr>
      <w:rFonts w:ascii="Times New Roman" w:eastAsia="Times New Roman" w:hAnsi="Times New Roman"/>
      <w:sz w:val="22"/>
      <w:szCs w:val="20"/>
      <w:lang w:eastAsia="ko-KR"/>
    </w:rPr>
  </w:style>
  <w:style w:type="character" w:customStyle="1" w:styleId="Zkladntext2Char">
    <w:name w:val="Základný text 2 Char"/>
    <w:basedOn w:val="Predvolenpsmoodseku"/>
    <w:link w:val="Zkladntext2"/>
    <w:uiPriority w:val="99"/>
    <w:semiHidden/>
    <w:rsid w:val="00B51749"/>
    <w:rPr>
      <w:rFonts w:ascii="Times New Roman" w:eastAsia="Times New Roman" w:hAnsi="Times New Roman" w:cs="Times New Roman"/>
      <w:szCs w:val="20"/>
      <w:lang w:eastAsia="ko-KR"/>
    </w:rPr>
  </w:style>
  <w:style w:type="character" w:customStyle="1" w:styleId="apple-converted-space">
    <w:name w:val="apple-converted-space"/>
    <w:rsid w:val="00B51749"/>
  </w:style>
  <w:style w:type="paragraph" w:customStyle="1" w:styleId="vchoz">
    <w:name w:val="vchoz"/>
    <w:basedOn w:val="Normlny"/>
    <w:rsid w:val="00B51749"/>
    <w:pPr>
      <w:spacing w:before="100" w:beforeAutospacing="1" w:after="100" w:afterAutospacing="1"/>
    </w:pPr>
    <w:rPr>
      <w:rFonts w:ascii="Times New Roman" w:eastAsia="Times New Roman" w:hAnsi="Times New Roman"/>
      <w:lang w:eastAsia="sk-SK"/>
    </w:rPr>
  </w:style>
  <w:style w:type="character" w:styleId="Zvraznenie">
    <w:name w:val="Emphasis"/>
    <w:uiPriority w:val="20"/>
    <w:qFormat/>
    <w:rsid w:val="00B51749"/>
    <w:rPr>
      <w:rFonts w:cs="Times New Roman"/>
      <w:i/>
    </w:rPr>
  </w:style>
  <w:style w:type="paragraph" w:styleId="Zarkazkladnhotextu3">
    <w:name w:val="Body Text Indent 3"/>
    <w:basedOn w:val="Normlny"/>
    <w:link w:val="Zarkazkladnhotextu3Char"/>
    <w:uiPriority w:val="99"/>
    <w:semiHidden/>
    <w:unhideWhenUsed/>
    <w:rsid w:val="00B51749"/>
    <w:pPr>
      <w:spacing w:after="120"/>
      <w:ind w:left="283"/>
    </w:pPr>
    <w:rPr>
      <w:rFonts w:ascii="Times New Roman" w:eastAsia="Times New Roman" w:hAnsi="Times New Roman"/>
      <w:color w:val="000000"/>
      <w:sz w:val="16"/>
      <w:szCs w:val="16"/>
      <w:lang w:eastAsia="cs-CZ"/>
    </w:rPr>
  </w:style>
  <w:style w:type="character" w:customStyle="1" w:styleId="Zarkazkladnhotextu3Char">
    <w:name w:val="Zarážka základného textu 3 Char"/>
    <w:basedOn w:val="Predvolenpsmoodseku"/>
    <w:link w:val="Zarkazkladnhotextu3"/>
    <w:uiPriority w:val="99"/>
    <w:semiHidden/>
    <w:rsid w:val="00B51749"/>
    <w:rPr>
      <w:rFonts w:ascii="Times New Roman" w:eastAsia="Times New Roman" w:hAnsi="Times New Roman" w:cs="Times New Roman"/>
      <w:color w:val="000000"/>
      <w:sz w:val="16"/>
      <w:szCs w:val="16"/>
      <w:lang w:eastAsia="cs-CZ"/>
    </w:rPr>
  </w:style>
  <w:style w:type="paragraph" w:styleId="Popis">
    <w:name w:val="caption"/>
    <w:basedOn w:val="Normlny"/>
    <w:next w:val="Normlny"/>
    <w:uiPriority w:val="35"/>
    <w:unhideWhenUsed/>
    <w:qFormat/>
    <w:rsid w:val="00B51749"/>
    <w:rPr>
      <w:rFonts w:ascii="Times New Roman" w:eastAsia="Times New Roman" w:hAnsi="Times New Roman"/>
      <w:b/>
      <w:bCs/>
      <w:sz w:val="22"/>
      <w:szCs w:val="20"/>
    </w:rPr>
  </w:style>
  <w:style w:type="paragraph" w:styleId="Zkladntext3">
    <w:name w:val="Body Text 3"/>
    <w:basedOn w:val="Normlny"/>
    <w:link w:val="Zkladntext3Char"/>
    <w:uiPriority w:val="99"/>
    <w:semiHidden/>
    <w:unhideWhenUsed/>
    <w:rsid w:val="00B51749"/>
    <w:pPr>
      <w:spacing w:after="120"/>
    </w:pPr>
    <w:rPr>
      <w:rFonts w:ascii="Calibri" w:eastAsia="Times New Roman" w:hAnsi="Calibri"/>
      <w:sz w:val="16"/>
      <w:szCs w:val="16"/>
    </w:rPr>
  </w:style>
  <w:style w:type="character" w:customStyle="1" w:styleId="Zkladntext3Char">
    <w:name w:val="Základný text 3 Char"/>
    <w:basedOn w:val="Predvolenpsmoodseku"/>
    <w:link w:val="Zkladntext3"/>
    <w:uiPriority w:val="99"/>
    <w:semiHidden/>
    <w:rsid w:val="00B51749"/>
    <w:rPr>
      <w:rFonts w:ascii="Calibri" w:eastAsia="Times New Roman" w:hAnsi="Calibri" w:cs="Times New Roman"/>
      <w:sz w:val="16"/>
      <w:szCs w:val="16"/>
    </w:rPr>
  </w:style>
  <w:style w:type="paragraph" w:styleId="Hlavikaobsahu">
    <w:name w:val="TOC Heading"/>
    <w:basedOn w:val="Nadpis1"/>
    <w:next w:val="Normlny"/>
    <w:uiPriority w:val="39"/>
    <w:unhideWhenUsed/>
    <w:qFormat/>
    <w:rsid w:val="00B51749"/>
    <w:pPr>
      <w:keepNext/>
      <w:keepLines/>
      <w:numPr>
        <w:numId w:val="0"/>
      </w:numPr>
      <w:spacing w:after="0" w:line="276" w:lineRule="auto"/>
      <w:jc w:val="left"/>
      <w:outlineLvl w:val="9"/>
    </w:pPr>
    <w:rPr>
      <w:rFonts w:ascii="Cambria" w:hAnsi="Cambria"/>
      <w:color w:val="365F91"/>
      <w:kern w:val="0"/>
      <w:sz w:val="28"/>
      <w:szCs w:val="28"/>
      <w:lang w:val="en-US" w:eastAsia="ja-JP"/>
    </w:rPr>
  </w:style>
  <w:style w:type="paragraph" w:styleId="Obsah1">
    <w:name w:val="toc 1"/>
    <w:basedOn w:val="Normlny"/>
    <w:next w:val="Normlny"/>
    <w:autoRedefine/>
    <w:uiPriority w:val="39"/>
    <w:rsid w:val="00B51749"/>
    <w:pPr>
      <w:spacing w:after="100"/>
    </w:pPr>
    <w:rPr>
      <w:rFonts w:ascii="Times New Roman" w:eastAsia="Times New Roman" w:hAnsi="Times New Roman"/>
      <w:color w:val="000000"/>
      <w:lang w:eastAsia="cs-CZ"/>
    </w:rPr>
  </w:style>
  <w:style w:type="paragraph" w:styleId="Obsah2">
    <w:name w:val="toc 2"/>
    <w:basedOn w:val="Normlny"/>
    <w:next w:val="Normlny"/>
    <w:autoRedefine/>
    <w:uiPriority w:val="39"/>
    <w:rsid w:val="00B51749"/>
    <w:pPr>
      <w:spacing w:after="100"/>
      <w:ind w:left="240"/>
    </w:pPr>
    <w:rPr>
      <w:rFonts w:ascii="Times New Roman" w:eastAsia="Times New Roman" w:hAnsi="Times New Roman"/>
      <w:color w:val="000000"/>
      <w:lang w:eastAsia="cs-CZ"/>
    </w:rPr>
  </w:style>
  <w:style w:type="paragraph" w:styleId="Obsah3">
    <w:name w:val="toc 3"/>
    <w:basedOn w:val="Normlny"/>
    <w:next w:val="Normlny"/>
    <w:autoRedefine/>
    <w:uiPriority w:val="39"/>
    <w:rsid w:val="005B5DB2"/>
    <w:pPr>
      <w:tabs>
        <w:tab w:val="left" w:pos="1320"/>
        <w:tab w:val="right" w:leader="dot" w:pos="8296"/>
      </w:tabs>
      <w:spacing w:after="100"/>
      <w:ind w:left="480"/>
      <w:jc w:val="left"/>
    </w:pPr>
    <w:rPr>
      <w:rFonts w:eastAsia="Times New Roman"/>
      <w:noProof/>
      <w:color w:val="000000"/>
      <w:lang w:eastAsia="cs-CZ"/>
    </w:rPr>
  </w:style>
  <w:style w:type="character" w:customStyle="1" w:styleId="snormalnyChar">
    <w:name w:val="s_normalny Char"/>
    <w:link w:val="snormalny"/>
    <w:locked/>
    <w:rsid w:val="00B51749"/>
    <w:rPr>
      <w:rFonts w:ascii="Arial" w:eastAsia="Times New Roman" w:hAnsi="Arial" w:cs="Arial"/>
      <w:color w:val="1F497D"/>
      <w:szCs w:val="24"/>
    </w:rPr>
  </w:style>
  <w:style w:type="paragraph" w:customStyle="1" w:styleId="snormalny">
    <w:name w:val="s_normalny"/>
    <w:basedOn w:val="Normlny"/>
    <w:link w:val="snormalnyChar"/>
    <w:qFormat/>
    <w:rsid w:val="00B51749"/>
    <w:pPr>
      <w:spacing w:after="200" w:line="276" w:lineRule="auto"/>
      <w:jc w:val="left"/>
    </w:pPr>
    <w:rPr>
      <w:rFonts w:ascii="Arial" w:eastAsia="Times New Roman" w:hAnsi="Arial" w:cs="Arial"/>
      <w:color w:val="1F497D"/>
      <w:sz w:val="22"/>
    </w:rPr>
  </w:style>
  <w:style w:type="character" w:styleId="Odkaznakomentr">
    <w:name w:val="annotation reference"/>
    <w:basedOn w:val="Predvolenpsmoodseku"/>
    <w:uiPriority w:val="99"/>
    <w:semiHidden/>
    <w:unhideWhenUsed/>
    <w:rsid w:val="00AE19FE"/>
    <w:rPr>
      <w:sz w:val="16"/>
      <w:szCs w:val="16"/>
    </w:rPr>
  </w:style>
  <w:style w:type="character" w:styleId="PouitHypertextovPrepojenie">
    <w:name w:val="FollowedHyperlink"/>
    <w:basedOn w:val="Predvolenpsmoodseku"/>
    <w:uiPriority w:val="99"/>
    <w:semiHidden/>
    <w:unhideWhenUsed/>
    <w:rsid w:val="00B025B3"/>
    <w:rPr>
      <w:color w:val="800080" w:themeColor="followedHyperlink"/>
      <w:u w:val="single"/>
    </w:rPr>
  </w:style>
  <w:style w:type="table" w:styleId="Mriekatabuky">
    <w:name w:val="Table Grid"/>
    <w:basedOn w:val="Normlnatabuka"/>
    <w:uiPriority w:val="59"/>
    <w:rsid w:val="003C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037">
      <w:bodyDiv w:val="1"/>
      <w:marLeft w:val="0"/>
      <w:marRight w:val="0"/>
      <w:marTop w:val="0"/>
      <w:marBottom w:val="0"/>
      <w:divBdr>
        <w:top w:val="none" w:sz="0" w:space="0" w:color="auto"/>
        <w:left w:val="none" w:sz="0" w:space="0" w:color="auto"/>
        <w:bottom w:val="none" w:sz="0" w:space="0" w:color="auto"/>
        <w:right w:val="none" w:sz="0" w:space="0" w:color="auto"/>
      </w:divBdr>
    </w:div>
    <w:div w:id="106698246">
      <w:bodyDiv w:val="1"/>
      <w:marLeft w:val="0"/>
      <w:marRight w:val="0"/>
      <w:marTop w:val="0"/>
      <w:marBottom w:val="0"/>
      <w:divBdr>
        <w:top w:val="none" w:sz="0" w:space="0" w:color="auto"/>
        <w:left w:val="none" w:sz="0" w:space="0" w:color="auto"/>
        <w:bottom w:val="none" w:sz="0" w:space="0" w:color="auto"/>
        <w:right w:val="none" w:sz="0" w:space="0" w:color="auto"/>
      </w:divBdr>
    </w:div>
    <w:div w:id="303775390">
      <w:bodyDiv w:val="1"/>
      <w:marLeft w:val="0"/>
      <w:marRight w:val="0"/>
      <w:marTop w:val="0"/>
      <w:marBottom w:val="0"/>
      <w:divBdr>
        <w:top w:val="none" w:sz="0" w:space="0" w:color="auto"/>
        <w:left w:val="none" w:sz="0" w:space="0" w:color="auto"/>
        <w:bottom w:val="none" w:sz="0" w:space="0" w:color="auto"/>
        <w:right w:val="none" w:sz="0" w:space="0" w:color="auto"/>
      </w:divBdr>
      <w:divsChild>
        <w:div w:id="1308586496">
          <w:marLeft w:val="0"/>
          <w:marRight w:val="0"/>
          <w:marTop w:val="0"/>
          <w:marBottom w:val="0"/>
          <w:divBdr>
            <w:top w:val="none" w:sz="0" w:space="0" w:color="auto"/>
            <w:left w:val="none" w:sz="0" w:space="0" w:color="auto"/>
            <w:bottom w:val="none" w:sz="0" w:space="0" w:color="auto"/>
            <w:right w:val="none" w:sz="0" w:space="0" w:color="auto"/>
          </w:divBdr>
        </w:div>
      </w:divsChild>
    </w:div>
    <w:div w:id="363291781">
      <w:bodyDiv w:val="1"/>
      <w:marLeft w:val="0"/>
      <w:marRight w:val="0"/>
      <w:marTop w:val="0"/>
      <w:marBottom w:val="0"/>
      <w:divBdr>
        <w:top w:val="none" w:sz="0" w:space="0" w:color="auto"/>
        <w:left w:val="none" w:sz="0" w:space="0" w:color="auto"/>
        <w:bottom w:val="none" w:sz="0" w:space="0" w:color="auto"/>
        <w:right w:val="none" w:sz="0" w:space="0" w:color="auto"/>
      </w:divBdr>
    </w:div>
    <w:div w:id="406463019">
      <w:bodyDiv w:val="1"/>
      <w:marLeft w:val="0"/>
      <w:marRight w:val="0"/>
      <w:marTop w:val="0"/>
      <w:marBottom w:val="0"/>
      <w:divBdr>
        <w:top w:val="none" w:sz="0" w:space="0" w:color="auto"/>
        <w:left w:val="none" w:sz="0" w:space="0" w:color="auto"/>
        <w:bottom w:val="none" w:sz="0" w:space="0" w:color="auto"/>
        <w:right w:val="none" w:sz="0" w:space="0" w:color="auto"/>
      </w:divBdr>
    </w:div>
    <w:div w:id="413674407">
      <w:bodyDiv w:val="1"/>
      <w:marLeft w:val="0"/>
      <w:marRight w:val="0"/>
      <w:marTop w:val="0"/>
      <w:marBottom w:val="0"/>
      <w:divBdr>
        <w:top w:val="none" w:sz="0" w:space="0" w:color="auto"/>
        <w:left w:val="none" w:sz="0" w:space="0" w:color="auto"/>
        <w:bottom w:val="none" w:sz="0" w:space="0" w:color="auto"/>
        <w:right w:val="none" w:sz="0" w:space="0" w:color="auto"/>
      </w:divBdr>
    </w:div>
    <w:div w:id="443815087">
      <w:bodyDiv w:val="1"/>
      <w:marLeft w:val="0"/>
      <w:marRight w:val="0"/>
      <w:marTop w:val="0"/>
      <w:marBottom w:val="0"/>
      <w:divBdr>
        <w:top w:val="none" w:sz="0" w:space="0" w:color="auto"/>
        <w:left w:val="none" w:sz="0" w:space="0" w:color="auto"/>
        <w:bottom w:val="none" w:sz="0" w:space="0" w:color="auto"/>
        <w:right w:val="none" w:sz="0" w:space="0" w:color="auto"/>
      </w:divBdr>
    </w:div>
    <w:div w:id="639265161">
      <w:bodyDiv w:val="1"/>
      <w:marLeft w:val="0"/>
      <w:marRight w:val="0"/>
      <w:marTop w:val="0"/>
      <w:marBottom w:val="0"/>
      <w:divBdr>
        <w:top w:val="none" w:sz="0" w:space="0" w:color="auto"/>
        <w:left w:val="none" w:sz="0" w:space="0" w:color="auto"/>
        <w:bottom w:val="none" w:sz="0" w:space="0" w:color="auto"/>
        <w:right w:val="none" w:sz="0" w:space="0" w:color="auto"/>
      </w:divBdr>
    </w:div>
    <w:div w:id="885221719">
      <w:bodyDiv w:val="1"/>
      <w:marLeft w:val="0"/>
      <w:marRight w:val="0"/>
      <w:marTop w:val="0"/>
      <w:marBottom w:val="0"/>
      <w:divBdr>
        <w:top w:val="none" w:sz="0" w:space="0" w:color="auto"/>
        <w:left w:val="none" w:sz="0" w:space="0" w:color="auto"/>
        <w:bottom w:val="none" w:sz="0" w:space="0" w:color="auto"/>
        <w:right w:val="none" w:sz="0" w:space="0" w:color="auto"/>
      </w:divBdr>
    </w:div>
    <w:div w:id="921139946">
      <w:bodyDiv w:val="1"/>
      <w:marLeft w:val="0"/>
      <w:marRight w:val="0"/>
      <w:marTop w:val="0"/>
      <w:marBottom w:val="0"/>
      <w:divBdr>
        <w:top w:val="none" w:sz="0" w:space="0" w:color="auto"/>
        <w:left w:val="none" w:sz="0" w:space="0" w:color="auto"/>
        <w:bottom w:val="none" w:sz="0" w:space="0" w:color="auto"/>
        <w:right w:val="none" w:sz="0" w:space="0" w:color="auto"/>
      </w:divBdr>
    </w:div>
    <w:div w:id="1153839688">
      <w:bodyDiv w:val="1"/>
      <w:marLeft w:val="0"/>
      <w:marRight w:val="0"/>
      <w:marTop w:val="0"/>
      <w:marBottom w:val="0"/>
      <w:divBdr>
        <w:top w:val="none" w:sz="0" w:space="0" w:color="auto"/>
        <w:left w:val="none" w:sz="0" w:space="0" w:color="auto"/>
        <w:bottom w:val="none" w:sz="0" w:space="0" w:color="auto"/>
        <w:right w:val="none" w:sz="0" w:space="0" w:color="auto"/>
      </w:divBdr>
    </w:div>
    <w:div w:id="1306087399">
      <w:bodyDiv w:val="1"/>
      <w:marLeft w:val="0"/>
      <w:marRight w:val="0"/>
      <w:marTop w:val="0"/>
      <w:marBottom w:val="0"/>
      <w:divBdr>
        <w:top w:val="none" w:sz="0" w:space="0" w:color="auto"/>
        <w:left w:val="none" w:sz="0" w:space="0" w:color="auto"/>
        <w:bottom w:val="none" w:sz="0" w:space="0" w:color="auto"/>
        <w:right w:val="none" w:sz="0" w:space="0" w:color="auto"/>
      </w:divBdr>
    </w:div>
    <w:div w:id="1527060761">
      <w:bodyDiv w:val="1"/>
      <w:marLeft w:val="0"/>
      <w:marRight w:val="0"/>
      <w:marTop w:val="0"/>
      <w:marBottom w:val="0"/>
      <w:divBdr>
        <w:top w:val="none" w:sz="0" w:space="0" w:color="auto"/>
        <w:left w:val="none" w:sz="0" w:space="0" w:color="auto"/>
        <w:bottom w:val="none" w:sz="0" w:space="0" w:color="auto"/>
        <w:right w:val="none" w:sz="0" w:space="0" w:color="auto"/>
      </w:divBdr>
    </w:div>
    <w:div w:id="1670869347">
      <w:bodyDiv w:val="1"/>
      <w:marLeft w:val="0"/>
      <w:marRight w:val="0"/>
      <w:marTop w:val="0"/>
      <w:marBottom w:val="0"/>
      <w:divBdr>
        <w:top w:val="none" w:sz="0" w:space="0" w:color="auto"/>
        <w:left w:val="none" w:sz="0" w:space="0" w:color="auto"/>
        <w:bottom w:val="none" w:sz="0" w:space="0" w:color="auto"/>
        <w:right w:val="none" w:sz="0" w:space="0" w:color="auto"/>
      </w:divBdr>
    </w:div>
    <w:div w:id="1736273540">
      <w:bodyDiv w:val="1"/>
      <w:marLeft w:val="0"/>
      <w:marRight w:val="0"/>
      <w:marTop w:val="0"/>
      <w:marBottom w:val="0"/>
      <w:divBdr>
        <w:top w:val="none" w:sz="0" w:space="0" w:color="auto"/>
        <w:left w:val="none" w:sz="0" w:space="0" w:color="auto"/>
        <w:bottom w:val="none" w:sz="0" w:space="0" w:color="auto"/>
        <w:right w:val="none" w:sz="0" w:space="0" w:color="auto"/>
      </w:divBdr>
    </w:div>
    <w:div w:id="1803427277">
      <w:bodyDiv w:val="1"/>
      <w:marLeft w:val="0"/>
      <w:marRight w:val="0"/>
      <w:marTop w:val="0"/>
      <w:marBottom w:val="0"/>
      <w:divBdr>
        <w:top w:val="none" w:sz="0" w:space="0" w:color="auto"/>
        <w:left w:val="none" w:sz="0" w:space="0" w:color="auto"/>
        <w:bottom w:val="none" w:sz="0" w:space="0" w:color="auto"/>
        <w:right w:val="none" w:sz="0" w:space="0" w:color="auto"/>
      </w:divBdr>
    </w:div>
    <w:div w:id="1809861725">
      <w:bodyDiv w:val="1"/>
      <w:marLeft w:val="0"/>
      <w:marRight w:val="0"/>
      <w:marTop w:val="0"/>
      <w:marBottom w:val="0"/>
      <w:divBdr>
        <w:top w:val="none" w:sz="0" w:space="0" w:color="auto"/>
        <w:left w:val="none" w:sz="0" w:space="0" w:color="auto"/>
        <w:bottom w:val="none" w:sz="0" w:space="0" w:color="auto"/>
        <w:right w:val="none" w:sz="0" w:space="0" w:color="auto"/>
      </w:divBdr>
    </w:div>
    <w:div w:id="2102605308">
      <w:bodyDiv w:val="1"/>
      <w:marLeft w:val="0"/>
      <w:marRight w:val="0"/>
      <w:marTop w:val="0"/>
      <w:marBottom w:val="0"/>
      <w:divBdr>
        <w:top w:val="none" w:sz="0" w:space="0" w:color="auto"/>
        <w:left w:val="none" w:sz="0" w:space="0" w:color="auto"/>
        <w:bottom w:val="none" w:sz="0" w:space="0" w:color="auto"/>
        <w:right w:val="none" w:sz="0" w:space="0" w:color="auto"/>
      </w:divBdr>
    </w:div>
    <w:div w:id="21290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chart" Target="charts/chart23.xml"/><Relationship Id="rId21" Type="http://schemas.openxmlformats.org/officeDocument/2006/relationships/chart" Target="charts/chart7.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hyperlink" Target="http://www.mostcited.com" TargetMode="External"/><Relationship Id="rId63" Type="http://schemas.openxmlformats.org/officeDocument/2006/relationships/hyperlink" Target="http://www.ifac-control.org/" TargetMode="External"/><Relationship Id="rId68" Type="http://schemas.openxmlformats.org/officeDocument/2006/relationships/hyperlink" Target="http://eai.eu/"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epws.org/" TargetMode="External"/><Relationship Id="rId2" Type="http://schemas.openxmlformats.org/officeDocument/2006/relationships/numbering" Target="numbering.xml"/><Relationship Id="rId16" Type="http://schemas.openxmlformats.org/officeDocument/2006/relationships/hyperlink" Target="http://www.uips.sk" TargetMode="External"/><Relationship Id="rId29" Type="http://schemas.openxmlformats.org/officeDocument/2006/relationships/hyperlink" Target="http://www.uips.sk" TargetMode="External"/><Relationship Id="rId11" Type="http://schemas.openxmlformats.org/officeDocument/2006/relationships/header" Target="header1.xml"/><Relationship Id="rId24" Type="http://schemas.openxmlformats.org/officeDocument/2006/relationships/chart" Target="charts/chart10.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hyperlink" Target="http://www.vyatsu.ru/about/university.html" TargetMode="External"/><Relationship Id="rId66" Type="http://schemas.openxmlformats.org/officeDocument/2006/relationships/hyperlink" Target="http://www.fisita.com/" TargetMode="External"/><Relationship Id="rId74" Type="http://schemas.openxmlformats.org/officeDocument/2006/relationships/hyperlink" Target="http://www.stuba.sk"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3.xml"/><Relationship Id="rId36" Type="http://schemas.openxmlformats.org/officeDocument/2006/relationships/chart" Target="charts/chart20.xml"/><Relationship Id="rId49" Type="http://schemas.openxmlformats.org/officeDocument/2006/relationships/chart" Target="charts/chart32.xml"/><Relationship Id="rId57" Type="http://schemas.openxmlformats.org/officeDocument/2006/relationships/hyperlink" Target="mailto:Peter.pokorny@stuba.sk" TargetMode="External"/><Relationship Id="rId61" Type="http://schemas.openxmlformats.org/officeDocument/2006/relationships/hyperlink" Target="http://www.proceedings.com/5468.html" TargetMode="External"/><Relationship Id="rId10" Type="http://schemas.openxmlformats.org/officeDocument/2006/relationships/hyperlink" Target="http://www.stuba.sk/new/generate_page.php?page_id=1060" TargetMode="External"/><Relationship Id="rId19" Type="http://schemas.openxmlformats.org/officeDocument/2006/relationships/chart" Target="charts/chart5.xml"/><Relationship Id="rId31" Type="http://schemas.openxmlformats.org/officeDocument/2006/relationships/chart" Target="charts/chart15.xml"/><Relationship Id="rId44" Type="http://schemas.openxmlformats.org/officeDocument/2006/relationships/chart" Target="charts/chart27.xml"/><Relationship Id="rId52" Type="http://schemas.openxmlformats.org/officeDocument/2006/relationships/chart" Target="charts/chart35.xml"/><Relationship Id="rId60" Type="http://schemas.openxmlformats.org/officeDocument/2006/relationships/hyperlink" Target="http://www.fems.org/" TargetMode="External"/><Relationship Id="rId65" Type="http://schemas.openxmlformats.org/officeDocument/2006/relationships/hyperlink" Target="http://www.iifiir.org/medias/medias.aspx?instance=EXPLOITATION&amp;SETLANGUAGE=EN" TargetMode="External"/><Relationship Id="rId73" Type="http://schemas.openxmlformats.org/officeDocument/2006/relationships/hyperlink" Target="mailto:rector@stuba.s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header" Target="header3.xml"/><Relationship Id="rId48" Type="http://schemas.openxmlformats.org/officeDocument/2006/relationships/chart" Target="charts/chart31.xml"/><Relationship Id="rId56" Type="http://schemas.openxmlformats.org/officeDocument/2006/relationships/hyperlink" Target="http://www.hpc.stuba.sk" TargetMode="External"/><Relationship Id="rId64" Type="http://schemas.openxmlformats.org/officeDocument/2006/relationships/hyperlink" Target="http://www.i-ince.org/" TargetMode="External"/><Relationship Id="rId69" Type="http://schemas.openxmlformats.org/officeDocument/2006/relationships/hyperlink" Target="http://www.kmm-vin.info/" TargetMode="External"/><Relationship Id="rId8" Type="http://schemas.openxmlformats.org/officeDocument/2006/relationships/endnotes" Target="endnotes.xml"/><Relationship Id="rId51" Type="http://schemas.openxmlformats.org/officeDocument/2006/relationships/chart" Target="charts/chart34.xml"/><Relationship Id="rId72" Type="http://schemas.openxmlformats.org/officeDocument/2006/relationships/hyperlink" Target="http://www.asociacetz.cz/"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yperlink" Target="http://www.uips.sk" TargetMode="Externa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29.xml"/><Relationship Id="rId59" Type="http://schemas.openxmlformats.org/officeDocument/2006/relationships/hyperlink" Target="http://www.rehva.eu/" TargetMode="External"/><Relationship Id="rId67" Type="http://schemas.openxmlformats.org/officeDocument/2006/relationships/hyperlink" Target="http://www.ecosol.sk/urb/" TargetMode="External"/><Relationship Id="rId20" Type="http://schemas.openxmlformats.org/officeDocument/2006/relationships/chart" Target="charts/chart6.xml"/><Relationship Id="rId41" Type="http://schemas.openxmlformats.org/officeDocument/2006/relationships/chart" Target="charts/chart25.xml"/><Relationship Id="rId54" Type="http://schemas.openxmlformats.org/officeDocument/2006/relationships/hyperlink" Target="http://highlycited.com/" TargetMode="External"/><Relationship Id="rId62" Type="http://schemas.openxmlformats.org/officeDocument/2006/relationships/hyperlink" Target="http://www.isgg.net/" TargetMode="External"/><Relationship Id="rId70" Type="http://schemas.openxmlformats.org/officeDocument/2006/relationships/hyperlink" Target="http://www.enetosh.net/webcom/show_article.php/_c-29/i.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sprava_2015\Tabulky_Sprava_201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sprava_2015\Tabulky_Sprava_201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ZG_2015\DG_ZG_2016.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ZG_2015\DG_ZG_2016.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tano\Downloads\Scholarly_Output_vs_Publication_Year%20(3).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sprava_2015\Tabulky_Sprava_2015.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2015_nove.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2015_nov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Stano\Downloads\projekty_napocty_2015_3_kor%20(3).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Stano\Downloads\projekty_napocty_2015_3_kor%20(3).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Stano\Downloads\projekty_napocty_2015_3_kor%20(3).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Stano\Downloads\projekty_napocty_2015_3_kor%20(3).xlsx" TargetMode="External"/></Relationships>
</file>

<file path=word/charts/_rels/chart34.xml.rels><?xml version="1.0" encoding="UTF-8" standalone="yes"?>
<Relationships xmlns="http://schemas.openxmlformats.org/package/2006/relationships"><Relationship Id="rId2" Type="http://schemas.openxmlformats.org/officeDocument/2006/relationships/oleObject" Target="file:///C:\Users\test\AppData\Local\Microsoft\Windows\Temporary%20Internet%20Files\Content.Outlook\3I1XHD89\publ_2015.xlsx" TargetMode="External"/><Relationship Id="rId1" Type="http://schemas.openxmlformats.org/officeDocument/2006/relationships/themeOverride" Target="../theme/themeOverride1.xml"/></Relationships>
</file>

<file path=word/charts/_rels/chart35.xml.rels><?xml version="1.0" encoding="UTF-8" standalone="yes"?>
<Relationships xmlns="http://schemas.openxmlformats.org/package/2006/relationships"><Relationship Id="rId1" Type="http://schemas.openxmlformats.org/officeDocument/2006/relationships/oleObject" Target="file:///C:\Users\Stano\Downloads\projekty_napocty_2015_3_kor%20(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Stano\Downloads\projekty_napocty_2015_3_kor%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chelkova\Documents\Marianna\Spr&#225;va%20STU\Spr&#225;va2015\STU_Tabulky%20a%20grafy_2014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rgbClr val="FFEFD1"/>
            </a:gs>
            <a:gs pos="64999">
              <a:srgbClr val="F0EBD5"/>
            </a:gs>
            <a:gs pos="100000">
              <a:srgbClr val="D1C39F"/>
            </a:gs>
          </a:gsLst>
          <a:lin ang="5400000" scaled="0"/>
        </a:gradFill>
      </c:spPr>
    </c:floor>
    <c:sideWall>
      <c:thickness val="0"/>
      <c:spPr>
        <a:noFill/>
      </c:spPr>
    </c:sideWall>
    <c:backWall>
      <c:thickness val="0"/>
      <c:spPr>
        <a:noFill/>
      </c:spPr>
    </c:backWall>
    <c:plotArea>
      <c:layout>
        <c:manualLayout>
          <c:layoutTarget val="inner"/>
          <c:xMode val="edge"/>
          <c:yMode val="edge"/>
          <c:x val="7.7517890116315311E-2"/>
          <c:y val="5.7086069124916899E-2"/>
          <c:w val="0.85315218582935115"/>
          <c:h val="0.72652908057930621"/>
        </c:manualLayout>
      </c:layout>
      <c:bar3DChart>
        <c:barDir val="col"/>
        <c:grouping val="clustered"/>
        <c:varyColors val="0"/>
        <c:ser>
          <c:idx val="9"/>
          <c:order val="0"/>
          <c:tx>
            <c:strRef>
              <c:f>Tab2_sum_ŠP!$A$22</c:f>
              <c:strCache>
                <c:ptCount val="1"/>
                <c:pt idx="0">
                  <c:v>STU</c:v>
                </c:pt>
              </c:strCache>
            </c:strRef>
          </c:tx>
          <c:spPr>
            <a:solidFill>
              <a:schemeClr val="accent1"/>
            </a:solidFill>
            <a:scene3d>
              <a:camera prst="orthographicFront"/>
              <a:lightRig rig="threePt" dir="t"/>
            </a:scene3d>
            <a:sp3d>
              <a:bevelT/>
            </a:sp3d>
          </c:spPr>
          <c:invertIfNegative val="0"/>
          <c:dPt>
            <c:idx val="0"/>
            <c:invertIfNegative val="0"/>
            <c:bubble3D val="0"/>
            <c:explosion val="14"/>
            <c:spPr>
              <a:gradFill>
                <a:gsLst>
                  <a:gs pos="0">
                    <a:schemeClr val="bg1">
                      <a:lumMod val="50000"/>
                    </a:schemeClr>
                  </a:gs>
                  <a:gs pos="53000">
                    <a:srgbClr val="D4DEFF"/>
                  </a:gs>
                  <a:gs pos="83000">
                    <a:srgbClr val="D4DEFF"/>
                  </a:gs>
                  <a:gs pos="100000">
                    <a:srgbClr val="96AB94"/>
                  </a:gs>
                </a:gsLst>
                <a:lin ang="5400000" scaled="0"/>
              </a:gradFill>
              <a:effectLst>
                <a:outerShdw blurRad="50800" dist="38100" dir="5400000" algn="t" rotWithShape="0">
                  <a:prstClr val="black">
                    <a:alpha val="40000"/>
                  </a:prstClr>
                </a:outerShdw>
              </a:effectLst>
              <a:scene3d>
                <a:camera prst="orthographicFront"/>
                <a:lightRig rig="threePt" dir="t"/>
              </a:scene3d>
              <a:sp3d>
                <a:bevelT/>
              </a:sp3d>
            </c:spPr>
          </c:dPt>
          <c:dPt>
            <c:idx val="1"/>
            <c:invertIfNegative val="0"/>
            <c:bubble3D val="0"/>
            <c:explosion val="6"/>
            <c:spPr>
              <a:gradFill>
                <a:gsLst>
                  <a:gs pos="0">
                    <a:srgbClr val="D6B19C"/>
                  </a:gs>
                  <a:gs pos="30000">
                    <a:srgbClr val="D49E6C"/>
                  </a:gs>
                  <a:gs pos="70000">
                    <a:srgbClr val="A65528"/>
                  </a:gs>
                  <a:gs pos="100000">
                    <a:srgbClr val="663012"/>
                  </a:gs>
                </a:gsLst>
                <a:lin ang="5400000" scaled="0"/>
              </a:gradFill>
              <a:effectLst>
                <a:outerShdw blurRad="50800" dist="38100" dir="5400000" algn="t" rotWithShape="0">
                  <a:prstClr val="black">
                    <a:alpha val="40000"/>
                  </a:prstClr>
                </a:outerShdw>
              </a:effectLst>
              <a:scene3d>
                <a:camera prst="orthographicFront"/>
                <a:lightRig rig="threePt" dir="t"/>
              </a:scene3d>
              <a:sp3d>
                <a:bevelT/>
              </a:sp3d>
            </c:spPr>
          </c:dPt>
          <c:dPt>
            <c:idx val="2"/>
            <c:invertIfNegative val="0"/>
            <c:bubble3D val="0"/>
            <c:explosion val="33"/>
            <c:spPr>
              <a:gradFill>
                <a:gsLst>
                  <a:gs pos="0">
                    <a:srgbClr val="DDEBCF"/>
                  </a:gs>
                  <a:gs pos="50000">
                    <a:srgbClr val="9CB86E"/>
                  </a:gs>
                  <a:gs pos="100000">
                    <a:srgbClr val="156B13"/>
                  </a:gs>
                </a:gsLst>
                <a:lin ang="5400000" scaled="0"/>
              </a:gradFill>
              <a:effectLst>
                <a:outerShdw blurRad="50800" dist="38100" dir="5400000" algn="t" rotWithShape="0">
                  <a:prstClr val="black">
                    <a:alpha val="40000"/>
                  </a:prstClr>
                </a:outerShdw>
              </a:effectLst>
              <a:scene3d>
                <a:camera prst="orthographicFront"/>
                <a:lightRig rig="threePt" dir="t"/>
              </a:scene3d>
              <a:sp3d>
                <a:bevelT/>
              </a:sp3d>
            </c:spPr>
          </c:dPt>
          <c:dLbls>
            <c:dLbl>
              <c:idx val="0"/>
              <c:layout>
                <c:manualLayout>
                  <c:x val="3.1389657373909342E-2"/>
                  <c:y val="-3.7578855274669615E-2"/>
                </c:manualLayout>
              </c:layout>
              <c:tx>
                <c:rich>
                  <a:bodyPr/>
                  <a:lstStyle/>
                  <a:p>
                    <a:r>
                      <a:rPr lang="en-US" sz="1100">
                        <a:latin typeface="+mj-lt"/>
                      </a:rPr>
                      <a:t>Bc.; </a:t>
                    </a:r>
                    <a:r>
                      <a:rPr lang="sk-SK" sz="1100">
                        <a:latin typeface="+mj-lt"/>
                      </a:rPr>
                      <a:t>43</a:t>
                    </a:r>
                    <a:endParaRPr lang="en-US"/>
                  </a:p>
                </c:rich>
              </c:tx>
              <c:showLegendKey val="0"/>
              <c:showVal val="1"/>
              <c:showCatName val="1"/>
              <c:showSerName val="0"/>
              <c:showPercent val="0"/>
              <c:showBubbleSize val="0"/>
            </c:dLbl>
            <c:dLbl>
              <c:idx val="1"/>
              <c:layout>
                <c:manualLayout>
                  <c:x val="3.8224014995668541E-2"/>
                  <c:y val="-4.801833981278656E-2"/>
                </c:manualLayout>
              </c:layout>
              <c:tx>
                <c:rich>
                  <a:bodyPr/>
                  <a:lstStyle/>
                  <a:p>
                    <a:r>
                      <a:rPr lang="en-US" sz="1100">
                        <a:latin typeface="+mj-lt"/>
                      </a:rPr>
                      <a:t>Ing./Mgr.; 6</a:t>
                    </a:r>
                    <a:r>
                      <a:rPr lang="sk-SK" sz="1100">
                        <a:latin typeface="+mj-lt"/>
                      </a:rPr>
                      <a:t>5</a:t>
                    </a:r>
                    <a:endParaRPr lang="en-US"/>
                  </a:p>
                </c:rich>
              </c:tx>
              <c:showLegendKey val="0"/>
              <c:showVal val="1"/>
              <c:showCatName val="1"/>
              <c:showSerName val="0"/>
              <c:showPercent val="0"/>
              <c:showBubbleSize val="0"/>
            </c:dLbl>
            <c:dLbl>
              <c:idx val="2"/>
              <c:layout>
                <c:manualLayout>
                  <c:x val="3.5530770570140646E-2"/>
                  <c:y val="-3.1297568067149499E-2"/>
                </c:manualLayout>
              </c:layout>
              <c:tx>
                <c:rich>
                  <a:bodyPr/>
                  <a:lstStyle/>
                  <a:p>
                    <a:r>
                      <a:rPr lang="en-US" sz="1100">
                        <a:latin typeface="+mj-lt"/>
                      </a:rPr>
                      <a:t>PhD.; </a:t>
                    </a:r>
                    <a:r>
                      <a:rPr lang="sk-SK" sz="1100">
                        <a:latin typeface="+mj-lt"/>
                      </a:rPr>
                      <a:t>64</a:t>
                    </a:r>
                    <a:endParaRPr lang="en-US"/>
                  </a:p>
                </c:rich>
              </c:tx>
              <c:showLegendKey val="0"/>
              <c:showVal val="1"/>
              <c:showCatName val="1"/>
              <c:showSerName val="0"/>
              <c:showPercent val="0"/>
              <c:showBubbleSize val="0"/>
            </c:dLbl>
            <c:txPr>
              <a:bodyPr/>
              <a:lstStyle/>
              <a:p>
                <a:pPr>
                  <a:defRPr sz="1100">
                    <a:latin typeface="+mj-lt"/>
                  </a:defRPr>
                </a:pPr>
                <a:endParaRPr lang="sk-SK"/>
              </a:p>
            </c:txPr>
            <c:showLegendKey val="0"/>
            <c:showVal val="1"/>
            <c:showCatName val="1"/>
            <c:showSerName val="0"/>
            <c:showPercent val="0"/>
            <c:showBubbleSize val="0"/>
            <c:showLeaderLines val="0"/>
          </c:dLbls>
          <c:cat>
            <c:multiLvlStrRef>
              <c:f>Tab2_sum_ŠP!$B$12:$D$13</c:f>
              <c:multiLvlStrCache>
                <c:ptCount val="3"/>
                <c:lvl>
                  <c:pt idx="0">
                    <c:v>Bc.</c:v>
                  </c:pt>
                  <c:pt idx="1">
                    <c:v>Ing./Mgr.</c:v>
                  </c:pt>
                  <c:pt idx="2">
                    <c:v>PhD.</c:v>
                  </c:pt>
                </c:lvl>
                <c:lvl>
                  <c:pt idx="0">
                    <c:v>Študijný program (denná forma)</c:v>
                  </c:pt>
                </c:lvl>
              </c:multiLvlStrCache>
            </c:multiLvlStrRef>
          </c:cat>
          <c:val>
            <c:numRef>
              <c:f>Tab2_sum_ŠP!$B$22:$D$22</c:f>
              <c:numCache>
                <c:formatCode>General</c:formatCode>
                <c:ptCount val="3"/>
                <c:pt idx="0">
                  <c:v>43</c:v>
                </c:pt>
                <c:pt idx="1">
                  <c:v>65</c:v>
                </c:pt>
                <c:pt idx="2">
                  <c:v>64</c:v>
                </c:pt>
              </c:numCache>
            </c:numRef>
          </c:val>
        </c:ser>
        <c:dLbls>
          <c:showLegendKey val="0"/>
          <c:showVal val="0"/>
          <c:showCatName val="0"/>
          <c:showSerName val="0"/>
          <c:showPercent val="0"/>
          <c:showBubbleSize val="0"/>
        </c:dLbls>
        <c:gapWidth val="100"/>
        <c:shape val="box"/>
        <c:axId val="68387968"/>
        <c:axId val="68390272"/>
        <c:axId val="0"/>
      </c:bar3DChart>
      <c:catAx>
        <c:axId val="68387968"/>
        <c:scaling>
          <c:orientation val="minMax"/>
        </c:scaling>
        <c:delete val="0"/>
        <c:axPos val="b"/>
        <c:majorTickMark val="out"/>
        <c:minorTickMark val="none"/>
        <c:tickLblPos val="nextTo"/>
        <c:txPr>
          <a:bodyPr/>
          <a:lstStyle/>
          <a:p>
            <a:pPr>
              <a:defRPr sz="1100">
                <a:latin typeface="+mj-lt"/>
              </a:defRPr>
            </a:pPr>
            <a:endParaRPr lang="sk-SK"/>
          </a:p>
        </c:txPr>
        <c:crossAx val="68390272"/>
        <c:crosses val="autoZero"/>
        <c:auto val="1"/>
        <c:lblAlgn val="ctr"/>
        <c:lblOffset val="100"/>
        <c:noMultiLvlLbl val="0"/>
      </c:catAx>
      <c:valAx>
        <c:axId val="68390272"/>
        <c:scaling>
          <c:orientation val="minMax"/>
        </c:scaling>
        <c:delete val="0"/>
        <c:axPos val="l"/>
        <c:majorGridlines/>
        <c:numFmt formatCode="General" sourceLinked="1"/>
        <c:majorTickMark val="out"/>
        <c:minorTickMark val="none"/>
        <c:tickLblPos val="nextTo"/>
        <c:txPr>
          <a:bodyPr/>
          <a:lstStyle/>
          <a:p>
            <a:pPr>
              <a:defRPr sz="1100">
                <a:latin typeface="+mj-lt"/>
              </a:defRPr>
            </a:pPr>
            <a:endParaRPr lang="sk-SK"/>
          </a:p>
        </c:txPr>
        <c:crossAx val="68387968"/>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marker>
            <c:symbol val="none"/>
          </c:marker>
          <c:dLbls>
            <c:dLbl>
              <c:idx val="2"/>
              <c:layout>
                <c:manualLayout>
                  <c:x val="-6.8861111111111109E-2"/>
                  <c:y val="-7.13425925925926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Tab_PK_Bc!$F$32:$J$32</c:f>
              <c:strCache>
                <c:ptCount val="5"/>
                <c:pt idx="0">
                  <c:v>2011/2012</c:v>
                </c:pt>
                <c:pt idx="1">
                  <c:v>2012/2013</c:v>
                </c:pt>
                <c:pt idx="2">
                  <c:v>2013/2014</c:v>
                </c:pt>
                <c:pt idx="3">
                  <c:v>2014/2015</c:v>
                </c:pt>
                <c:pt idx="4">
                  <c:v>2015/2016</c:v>
                </c:pt>
              </c:strCache>
            </c:strRef>
          </c:cat>
          <c:val>
            <c:numRef>
              <c:f>Tab_PK_Bc!$F$41:$J$41</c:f>
              <c:numCache>
                <c:formatCode>0.00</c:formatCode>
                <c:ptCount val="5"/>
                <c:pt idx="0">
                  <c:v>0.63</c:v>
                </c:pt>
                <c:pt idx="1">
                  <c:v>0.64</c:v>
                </c:pt>
                <c:pt idx="2">
                  <c:v>0.64</c:v>
                </c:pt>
                <c:pt idx="3">
                  <c:v>0.67</c:v>
                </c:pt>
                <c:pt idx="4">
                  <c:v>0.65151515151515149</c:v>
                </c:pt>
              </c:numCache>
            </c:numRef>
          </c:val>
          <c:smooth val="0"/>
        </c:ser>
        <c:dLbls>
          <c:showLegendKey val="0"/>
          <c:showVal val="0"/>
          <c:showCatName val="0"/>
          <c:showSerName val="0"/>
          <c:showPercent val="0"/>
          <c:showBubbleSize val="0"/>
        </c:dLbls>
        <c:marker val="1"/>
        <c:smooth val="0"/>
        <c:axId val="131277184"/>
        <c:axId val="131278720"/>
      </c:lineChart>
      <c:catAx>
        <c:axId val="131277184"/>
        <c:scaling>
          <c:orientation val="minMax"/>
        </c:scaling>
        <c:delete val="0"/>
        <c:axPos val="b"/>
        <c:majorTickMark val="out"/>
        <c:minorTickMark val="none"/>
        <c:tickLblPos val="nextTo"/>
        <c:crossAx val="131278720"/>
        <c:crosses val="autoZero"/>
        <c:auto val="1"/>
        <c:lblAlgn val="ctr"/>
        <c:lblOffset val="100"/>
        <c:noMultiLvlLbl val="0"/>
      </c:catAx>
      <c:valAx>
        <c:axId val="131278720"/>
        <c:scaling>
          <c:orientation val="minMax"/>
          <c:min val="0.62000000000000011"/>
        </c:scaling>
        <c:delete val="0"/>
        <c:axPos val="l"/>
        <c:majorGridlines>
          <c:spPr>
            <a:ln>
              <a:solidFill>
                <a:schemeClr val="accent1">
                  <a:lumMod val="40000"/>
                  <a:lumOff val="60000"/>
                </a:schemeClr>
              </a:solidFill>
            </a:ln>
          </c:spPr>
        </c:majorGridlines>
        <c:numFmt formatCode="0.00" sourceLinked="1"/>
        <c:majorTickMark val="out"/>
        <c:minorTickMark val="none"/>
        <c:tickLblPos val="nextTo"/>
        <c:crossAx val="131277184"/>
        <c:crosses val="autoZero"/>
        <c:crossBetween val="between"/>
      </c:valAx>
    </c:plotArea>
    <c:plotVisOnly val="1"/>
    <c:dispBlanksAs val="gap"/>
    <c:showDLblsOverMax val="0"/>
  </c:chart>
  <c:spPr>
    <a:ln>
      <a:noFill/>
    </a:ln>
  </c:spPr>
  <c:txPr>
    <a:bodyPr/>
    <a:lstStyle/>
    <a:p>
      <a:pPr>
        <a:defRPr sz="1050">
          <a:latin typeface="+mj-lt"/>
        </a:defRPr>
      </a:pPr>
      <a:endParaRPr lang="sk-SK"/>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8100"/>
          </c:spPr>
          <c:marker>
            <c:symbol val="none"/>
          </c:marker>
          <c:dLbls>
            <c:dLbl>
              <c:idx val="0"/>
              <c:layout>
                <c:manualLayout>
                  <c:x val="-4.7314300436371831E-2"/>
                  <c:y val="3.656240886555847E-2"/>
                </c:manualLayout>
              </c:layout>
              <c:dLblPos val="r"/>
              <c:showLegendKey val="0"/>
              <c:showVal val="1"/>
              <c:showCatName val="0"/>
              <c:showSerName val="0"/>
              <c:showPercent val="0"/>
              <c:showBubbleSize val="0"/>
            </c:dLbl>
            <c:dLbl>
              <c:idx val="1"/>
              <c:layout>
                <c:manualLayout>
                  <c:x val="-4.5423677868487347E-2"/>
                  <c:y val="-6.0659813356663747E-2"/>
                </c:manualLayout>
              </c:layout>
              <c:dLblPos val="r"/>
              <c:showLegendKey val="0"/>
              <c:showVal val="1"/>
              <c:showCatName val="0"/>
              <c:showSerName val="0"/>
              <c:showPercent val="0"/>
              <c:showBubbleSize val="0"/>
            </c:dLbl>
            <c:dLbl>
              <c:idx val="3"/>
              <c:layout>
                <c:manualLayout>
                  <c:x val="-4.1860994369568832E-2"/>
                  <c:y val="4.1192038495188099E-2"/>
                </c:manualLayout>
              </c:layout>
              <c:dLblPos val="r"/>
              <c:showLegendKey val="0"/>
              <c:showVal val="1"/>
              <c:showCatName val="0"/>
              <c:showSerName val="0"/>
              <c:showPercent val="0"/>
              <c:showBubbleSize val="0"/>
            </c:dLbl>
            <c:dLbl>
              <c:idx val="4"/>
              <c:layout>
                <c:manualLayout>
                  <c:x val="-3.153470846818994E-2"/>
                  <c:y val="-4.6770924467774859E-2"/>
                </c:manualLayout>
              </c:layout>
              <c:dLblPos val="r"/>
              <c:showLegendKey val="0"/>
              <c:showVal val="1"/>
              <c:showCatName val="0"/>
              <c:showSerName val="0"/>
              <c:showPercent val="0"/>
              <c:showBubbleSize val="0"/>
            </c:dLbl>
            <c:txPr>
              <a:bodyPr/>
              <a:lstStyle/>
              <a:p>
                <a:pPr>
                  <a:defRPr sz="1100"/>
                </a:pPr>
                <a:endParaRPr lang="sk-SK"/>
              </a:p>
            </c:txPr>
            <c:dLblPos val="t"/>
            <c:showLegendKey val="0"/>
            <c:showVal val="1"/>
            <c:showCatName val="0"/>
            <c:showSerName val="0"/>
            <c:showPercent val="0"/>
            <c:showBubbleSize val="0"/>
            <c:showLeaderLines val="0"/>
          </c:dLbls>
          <c:cat>
            <c:strRef>
              <c:f>Tab_PK_Ing!$F$34:$J$34</c:f>
              <c:strCache>
                <c:ptCount val="5"/>
                <c:pt idx="0">
                  <c:v>2011/2012</c:v>
                </c:pt>
                <c:pt idx="1">
                  <c:v>2012/2013</c:v>
                </c:pt>
                <c:pt idx="2">
                  <c:v>2013/2014</c:v>
                </c:pt>
                <c:pt idx="3">
                  <c:v>2014/2015</c:v>
                </c:pt>
                <c:pt idx="4">
                  <c:v>2015/2016</c:v>
                </c:pt>
              </c:strCache>
            </c:strRef>
          </c:cat>
          <c:val>
            <c:numRef>
              <c:f>Tab_PK_Ing!$F$43:$J$43</c:f>
              <c:numCache>
                <c:formatCode>0.00</c:formatCode>
                <c:ptCount val="5"/>
                <c:pt idx="0">
                  <c:v>0.9</c:v>
                </c:pt>
                <c:pt idx="1">
                  <c:v>0.92</c:v>
                </c:pt>
                <c:pt idx="2">
                  <c:v>0.92</c:v>
                </c:pt>
                <c:pt idx="3">
                  <c:v>0.9</c:v>
                </c:pt>
                <c:pt idx="4">
                  <c:v>0.92077975943591872</c:v>
                </c:pt>
              </c:numCache>
            </c:numRef>
          </c:val>
          <c:smooth val="0"/>
        </c:ser>
        <c:dLbls>
          <c:showLegendKey val="0"/>
          <c:showVal val="0"/>
          <c:showCatName val="0"/>
          <c:showSerName val="0"/>
          <c:showPercent val="0"/>
          <c:showBubbleSize val="0"/>
        </c:dLbls>
        <c:marker val="1"/>
        <c:smooth val="0"/>
        <c:axId val="131291008"/>
        <c:axId val="131292544"/>
      </c:lineChart>
      <c:catAx>
        <c:axId val="131291008"/>
        <c:scaling>
          <c:orientation val="minMax"/>
        </c:scaling>
        <c:delete val="0"/>
        <c:axPos val="b"/>
        <c:majorTickMark val="out"/>
        <c:minorTickMark val="none"/>
        <c:tickLblPos val="nextTo"/>
        <c:txPr>
          <a:bodyPr/>
          <a:lstStyle/>
          <a:p>
            <a:pPr>
              <a:defRPr sz="1050">
                <a:latin typeface="+mj-lt"/>
              </a:defRPr>
            </a:pPr>
            <a:endParaRPr lang="sk-SK"/>
          </a:p>
        </c:txPr>
        <c:crossAx val="131292544"/>
        <c:crosses val="autoZero"/>
        <c:auto val="1"/>
        <c:lblAlgn val="ctr"/>
        <c:lblOffset val="100"/>
        <c:noMultiLvlLbl val="0"/>
      </c:catAx>
      <c:valAx>
        <c:axId val="131292544"/>
        <c:scaling>
          <c:orientation val="minMax"/>
          <c:min val="0.89000000000000012"/>
        </c:scaling>
        <c:delete val="0"/>
        <c:axPos val="l"/>
        <c:majorGridlines>
          <c:spPr>
            <a:ln>
              <a:solidFill>
                <a:schemeClr val="bg1">
                  <a:lumMod val="65000"/>
                </a:schemeClr>
              </a:solidFill>
            </a:ln>
          </c:spPr>
        </c:majorGridlines>
        <c:minorGridlines>
          <c:spPr>
            <a:ln>
              <a:noFill/>
            </a:ln>
          </c:spPr>
        </c:minorGridlines>
        <c:numFmt formatCode="0.00" sourceLinked="1"/>
        <c:majorTickMark val="out"/>
        <c:minorTickMark val="none"/>
        <c:tickLblPos val="nextTo"/>
        <c:txPr>
          <a:bodyPr/>
          <a:lstStyle/>
          <a:p>
            <a:pPr>
              <a:defRPr sz="1100"/>
            </a:pPr>
            <a:endParaRPr lang="sk-SK"/>
          </a:p>
        </c:txPr>
        <c:crossAx val="131291008"/>
        <c:crosses val="autoZero"/>
        <c:crossBetween val="between"/>
        <c:majorUnit val="1.0000000000000002E-2"/>
      </c:valAx>
      <c:spPr>
        <a:noFill/>
        <a:ln>
          <a:noFill/>
        </a:ln>
      </c:spPr>
    </c:plotArea>
    <c:plotVisOnly val="0"/>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0"/>
          <c:y val="8.3489138325794396E-2"/>
          <c:w val="1"/>
          <c:h val="0.89670222073304662"/>
        </c:manualLayout>
      </c:layout>
      <c:pie3DChart>
        <c:varyColors val="1"/>
        <c:ser>
          <c:idx val="0"/>
          <c:order val="0"/>
          <c:spPr>
            <a:effectLst>
              <a:outerShdw blurRad="50800" dist="38100" dir="5400000" algn="t" rotWithShape="0">
                <a:prstClr val="black">
                  <a:alpha val="40000"/>
                </a:prstClr>
              </a:outerShdw>
            </a:effectLst>
          </c:spPr>
          <c:explosion val="25"/>
          <c:dPt>
            <c:idx val="0"/>
            <c:bubble3D val="0"/>
            <c:explosion val="1"/>
          </c:dPt>
          <c:dPt>
            <c:idx val="2"/>
            <c:bubble3D val="0"/>
            <c:explosion val="23"/>
          </c:dPt>
          <c:dLbls>
            <c:dLbl>
              <c:idx val="0"/>
              <c:layout>
                <c:manualLayout>
                  <c:x val="-1.4336917562724014E-2"/>
                  <c:y val="-6.535947712418301E-2"/>
                </c:manualLayout>
              </c:layout>
              <c:tx>
                <c:rich>
                  <a:bodyPr/>
                  <a:lstStyle/>
                  <a:p>
                    <a:r>
                      <a:rPr lang="sk-SK" sz="1050">
                        <a:latin typeface="+mj-lt"/>
                      </a:rPr>
                      <a:t>I. stupeň;</a:t>
                    </a:r>
                  </a:p>
                  <a:p>
                    <a:r>
                      <a:rPr lang="sk-SK" sz="1050">
                        <a:latin typeface="+mj-lt"/>
                      </a:rPr>
                      <a:t>80; 7 %</a:t>
                    </a:r>
                    <a:endParaRPr lang="en-US"/>
                  </a:p>
                </c:rich>
              </c:tx>
              <c:dLblPos val="bestFit"/>
              <c:showLegendKey val="0"/>
              <c:showVal val="1"/>
              <c:showCatName val="0"/>
              <c:showSerName val="0"/>
              <c:showPercent val="0"/>
              <c:showBubbleSize val="0"/>
            </c:dLbl>
            <c:dLbl>
              <c:idx val="1"/>
              <c:layout>
                <c:manualLayout>
                  <c:x val="-3.6291815795752691E-2"/>
                  <c:y val="-0.22042578011081948"/>
                </c:manualLayout>
              </c:layout>
              <c:tx>
                <c:rich>
                  <a:bodyPr/>
                  <a:lstStyle/>
                  <a:p>
                    <a:r>
                      <a:rPr lang="sk-SK" sz="1050">
                        <a:latin typeface="+mj-lt"/>
                      </a:rPr>
                      <a:t>II. stpeň;</a:t>
                    </a:r>
                  </a:p>
                  <a:p>
                    <a:r>
                      <a:rPr lang="sk-SK" sz="1050" baseline="0">
                        <a:latin typeface="+mj-lt"/>
                      </a:rPr>
                      <a:t> 14</a:t>
                    </a:r>
                    <a:r>
                      <a:rPr lang="sk-SK" sz="1050">
                        <a:latin typeface="+mj-lt"/>
                      </a:rPr>
                      <a:t>; 5 %</a:t>
                    </a:r>
                    <a:endParaRPr lang="en-US"/>
                  </a:p>
                </c:rich>
              </c:tx>
              <c:dLblPos val="bestFit"/>
              <c:showLegendKey val="0"/>
              <c:showVal val="1"/>
              <c:showCatName val="0"/>
              <c:showSerName val="0"/>
              <c:showPercent val="0"/>
              <c:showBubbleSize val="0"/>
            </c:dLbl>
            <c:dLbl>
              <c:idx val="2"/>
              <c:layout>
                <c:manualLayout>
                  <c:x val="-1.8181818181818292E-2"/>
                  <c:y val="9.5493341110139005E-2"/>
                </c:manualLayout>
              </c:layout>
              <c:tx>
                <c:rich>
                  <a:bodyPr/>
                  <a:lstStyle/>
                  <a:p>
                    <a:r>
                      <a:rPr lang="sk-SK" sz="1050">
                        <a:latin typeface="+mj-lt"/>
                      </a:rPr>
                      <a:t>III. stupeň;</a:t>
                    </a:r>
                  </a:p>
                  <a:p>
                    <a:r>
                      <a:rPr lang="sk-SK" sz="1050">
                        <a:latin typeface="+mj-lt"/>
                      </a:rPr>
                      <a:t>12;</a:t>
                    </a:r>
                    <a:r>
                      <a:rPr lang="sk-SK" sz="1050" baseline="0">
                        <a:latin typeface="+mj-lt"/>
                      </a:rPr>
                      <a:t> </a:t>
                    </a:r>
                    <a:r>
                      <a:rPr lang="sk-SK" sz="1050">
                        <a:latin typeface="+mj-lt"/>
                      </a:rPr>
                      <a:t>18 %</a:t>
                    </a:r>
                    <a:endParaRPr lang="en-US"/>
                  </a:p>
                </c:rich>
              </c:tx>
              <c:dLblPos val="bestFit"/>
              <c:showLegendKey val="0"/>
              <c:showVal val="1"/>
              <c:showCatName val="0"/>
              <c:showSerName val="0"/>
              <c:showPercent val="0"/>
              <c:showBubbleSize val="0"/>
            </c:dLbl>
            <c:spPr>
              <a:effectLst>
                <a:outerShdw blurRad="50800" dist="38100" dir="5400000" algn="t" rotWithShape="0">
                  <a:schemeClr val="bg1">
                    <a:lumMod val="65000"/>
                    <a:alpha val="40000"/>
                  </a:schemeClr>
                </a:outerShdw>
              </a:effectLst>
            </c:spPr>
            <c:txPr>
              <a:bodyPr/>
              <a:lstStyle/>
              <a:p>
                <a:pPr>
                  <a:defRPr sz="1050">
                    <a:latin typeface="+mj-lt"/>
                  </a:defRPr>
                </a:pPr>
                <a:endParaRPr lang="sk-SK"/>
              </a:p>
            </c:txPr>
            <c:dLblPos val="outEnd"/>
            <c:showLegendKey val="0"/>
            <c:showVal val="1"/>
            <c:showCatName val="0"/>
            <c:showSerName val="0"/>
            <c:showPercent val="0"/>
            <c:showBubbleSize val="0"/>
            <c:showLeaderLines val="0"/>
          </c:dLbls>
          <c:val>
            <c:numRef>
              <c:f>Tab23_preskúm!$F$21:$F$23</c:f>
              <c:numCache>
                <c:formatCode>#,##0</c:formatCode>
                <c:ptCount val="3"/>
                <c:pt idx="0">
                  <c:v>80</c:v>
                </c:pt>
                <c:pt idx="1">
                  <c:v>14</c:v>
                </c:pt>
                <c:pt idx="2">
                  <c:v>12</c:v>
                </c:pt>
              </c:numCache>
            </c:numRef>
          </c:val>
        </c:ser>
        <c:dLbls>
          <c:dLblPos val="outEnd"/>
          <c:showLegendKey val="0"/>
          <c:showVal val="1"/>
          <c:showCatName val="0"/>
          <c:showSerName val="0"/>
          <c:showPercent val="0"/>
          <c:showBubbleSize val="0"/>
          <c:showLeaderLines val="0"/>
        </c:dLbls>
      </c:pie3D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9.237868950591703E-2"/>
          <c:y val="4.6907064544859822E-2"/>
          <c:w val="0.87721195376893679"/>
          <c:h val="0.74404766971696101"/>
        </c:manualLayout>
      </c:layout>
      <c:lineChart>
        <c:grouping val="standard"/>
        <c:varyColors val="0"/>
        <c:ser>
          <c:idx val="1"/>
          <c:order val="0"/>
          <c:tx>
            <c:strRef>
              <c:f>Tab_zap_VŠ!$A$4</c:f>
              <c:strCache>
                <c:ptCount val="1"/>
                <c:pt idx="0">
                  <c:v>UK</c:v>
                </c:pt>
              </c:strCache>
            </c:strRef>
          </c:tx>
          <c:marker>
            <c:symbol val="none"/>
          </c:marker>
          <c:dLbls>
            <c:dLbl>
              <c:idx val="1"/>
              <c:layout>
                <c:manualLayout>
                  <c:x val="-3.9313755211570205E-2"/>
                  <c:y val="-3.762087695915820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Tab_zap_VŠ!$C$3:$G$3</c:f>
              <c:strCache>
                <c:ptCount val="5"/>
                <c:pt idx="0">
                  <c:v>2010/2011</c:v>
                </c:pt>
                <c:pt idx="1">
                  <c:v>2011/2012</c:v>
                </c:pt>
                <c:pt idx="2">
                  <c:v>2012/2013</c:v>
                </c:pt>
                <c:pt idx="3">
                  <c:v>2013/2014</c:v>
                </c:pt>
                <c:pt idx="4">
                  <c:v>2014/2015</c:v>
                </c:pt>
              </c:strCache>
            </c:strRef>
          </c:cat>
          <c:val>
            <c:numRef>
              <c:f>Tab_zap_VŠ!$C$4:$G$4</c:f>
              <c:numCache>
                <c:formatCode>#,##0</c:formatCode>
                <c:ptCount val="5"/>
                <c:pt idx="0">
                  <c:v>4771</c:v>
                </c:pt>
                <c:pt idx="1">
                  <c:v>5125</c:v>
                </c:pt>
                <c:pt idx="2">
                  <c:v>5255</c:v>
                </c:pt>
                <c:pt idx="3">
                  <c:v>5098</c:v>
                </c:pt>
                <c:pt idx="4">
                  <c:v>4726</c:v>
                </c:pt>
              </c:numCache>
            </c:numRef>
          </c:val>
          <c:smooth val="0"/>
        </c:ser>
        <c:ser>
          <c:idx val="2"/>
          <c:order val="1"/>
          <c:tx>
            <c:strRef>
              <c:f>Tab_zap_VŠ!$A$5</c:f>
              <c:strCache>
                <c:ptCount val="1"/>
                <c:pt idx="0">
                  <c:v>STU</c:v>
                </c:pt>
              </c:strCache>
            </c:strRef>
          </c:tx>
          <c:marker>
            <c:symbol val="none"/>
          </c:marker>
          <c:dLbls>
            <c:dLblPos val="b"/>
            <c:showLegendKey val="0"/>
            <c:showVal val="1"/>
            <c:showCatName val="0"/>
            <c:showSerName val="0"/>
            <c:showPercent val="0"/>
            <c:showBubbleSize val="0"/>
            <c:showLeaderLines val="0"/>
          </c:dLbls>
          <c:cat>
            <c:strRef>
              <c:f>Tab_zap_VŠ!$C$3:$G$3</c:f>
              <c:strCache>
                <c:ptCount val="5"/>
                <c:pt idx="0">
                  <c:v>2010/2011</c:v>
                </c:pt>
                <c:pt idx="1">
                  <c:v>2011/2012</c:v>
                </c:pt>
                <c:pt idx="2">
                  <c:v>2012/2013</c:v>
                </c:pt>
                <c:pt idx="3">
                  <c:v>2013/2014</c:v>
                </c:pt>
                <c:pt idx="4">
                  <c:v>2014/2015</c:v>
                </c:pt>
              </c:strCache>
            </c:strRef>
          </c:cat>
          <c:val>
            <c:numRef>
              <c:f>Tab_zap_VŠ!$C$5:$G$5</c:f>
              <c:numCache>
                <c:formatCode>#,##0</c:formatCode>
                <c:ptCount val="5"/>
                <c:pt idx="0">
                  <c:v>4745</c:v>
                </c:pt>
                <c:pt idx="1">
                  <c:v>4766</c:v>
                </c:pt>
                <c:pt idx="2">
                  <c:v>5158</c:v>
                </c:pt>
                <c:pt idx="3">
                  <c:v>5084</c:v>
                </c:pt>
                <c:pt idx="4">
                  <c:v>4473</c:v>
                </c:pt>
              </c:numCache>
            </c:numRef>
          </c:val>
          <c:smooth val="0"/>
        </c:ser>
        <c:ser>
          <c:idx val="3"/>
          <c:order val="2"/>
          <c:tx>
            <c:strRef>
              <c:f>Tab_zap_VŠ!$A$6</c:f>
              <c:strCache>
                <c:ptCount val="1"/>
                <c:pt idx="0">
                  <c:v>SPU</c:v>
                </c:pt>
              </c:strCache>
            </c:strRef>
          </c:tx>
          <c:marker>
            <c:symbol val="none"/>
          </c:marker>
          <c:dLbls>
            <c:dLblPos val="b"/>
            <c:showLegendKey val="0"/>
            <c:showVal val="1"/>
            <c:showCatName val="0"/>
            <c:showSerName val="0"/>
            <c:showPercent val="0"/>
            <c:showBubbleSize val="0"/>
            <c:showLeaderLines val="0"/>
          </c:dLbls>
          <c:cat>
            <c:strRef>
              <c:f>Tab_zap_VŠ!$C$3:$G$3</c:f>
              <c:strCache>
                <c:ptCount val="5"/>
                <c:pt idx="0">
                  <c:v>2010/2011</c:v>
                </c:pt>
                <c:pt idx="1">
                  <c:v>2011/2012</c:v>
                </c:pt>
                <c:pt idx="2">
                  <c:v>2012/2013</c:v>
                </c:pt>
                <c:pt idx="3">
                  <c:v>2013/2014</c:v>
                </c:pt>
                <c:pt idx="4">
                  <c:v>2014/2015</c:v>
                </c:pt>
              </c:strCache>
            </c:strRef>
          </c:cat>
          <c:val>
            <c:numRef>
              <c:f>Tab_zap_VŠ!$C$6:$G$6</c:f>
              <c:numCache>
                <c:formatCode>#,##0</c:formatCode>
                <c:ptCount val="5"/>
                <c:pt idx="0">
                  <c:v>1861</c:v>
                </c:pt>
                <c:pt idx="1">
                  <c:v>1847</c:v>
                </c:pt>
                <c:pt idx="2">
                  <c:v>1924</c:v>
                </c:pt>
                <c:pt idx="3">
                  <c:v>1844</c:v>
                </c:pt>
                <c:pt idx="4">
                  <c:v>1706</c:v>
                </c:pt>
              </c:numCache>
            </c:numRef>
          </c:val>
          <c:smooth val="0"/>
        </c:ser>
        <c:ser>
          <c:idx val="4"/>
          <c:order val="3"/>
          <c:tx>
            <c:strRef>
              <c:f>Tab_zap_VŠ!$A$7</c:f>
              <c:strCache>
                <c:ptCount val="1"/>
                <c:pt idx="0">
                  <c:v>TU ZV</c:v>
                </c:pt>
              </c:strCache>
            </c:strRef>
          </c:tx>
          <c:marker>
            <c:symbol val="none"/>
          </c:marker>
          <c:dLbls>
            <c:dLblPos val="b"/>
            <c:showLegendKey val="0"/>
            <c:showVal val="1"/>
            <c:showCatName val="0"/>
            <c:showSerName val="0"/>
            <c:showPercent val="0"/>
            <c:showBubbleSize val="0"/>
            <c:showLeaderLines val="0"/>
          </c:dLbls>
          <c:cat>
            <c:strRef>
              <c:f>Tab_zap_VŠ!$C$3:$G$3</c:f>
              <c:strCache>
                <c:ptCount val="5"/>
                <c:pt idx="0">
                  <c:v>2010/2011</c:v>
                </c:pt>
                <c:pt idx="1">
                  <c:v>2011/2012</c:v>
                </c:pt>
                <c:pt idx="2">
                  <c:v>2012/2013</c:v>
                </c:pt>
                <c:pt idx="3">
                  <c:v>2013/2014</c:v>
                </c:pt>
                <c:pt idx="4">
                  <c:v>2014/2015</c:v>
                </c:pt>
              </c:strCache>
            </c:strRef>
          </c:cat>
          <c:val>
            <c:numRef>
              <c:f>Tab_zap_VŠ!$C$7:$G$7</c:f>
              <c:numCache>
                <c:formatCode>#,##0</c:formatCode>
                <c:ptCount val="5"/>
                <c:pt idx="0">
                  <c:v>1089</c:v>
                </c:pt>
                <c:pt idx="1">
                  <c:v>953</c:v>
                </c:pt>
                <c:pt idx="2">
                  <c:v>912</c:v>
                </c:pt>
                <c:pt idx="3">
                  <c:v>954</c:v>
                </c:pt>
                <c:pt idx="4">
                  <c:v>788</c:v>
                </c:pt>
              </c:numCache>
            </c:numRef>
          </c:val>
          <c:smooth val="0"/>
        </c:ser>
        <c:ser>
          <c:idx val="5"/>
          <c:order val="4"/>
          <c:tx>
            <c:strRef>
              <c:f>Tab_zap_VŠ!$A$8</c:f>
              <c:strCache>
                <c:ptCount val="1"/>
                <c:pt idx="0">
                  <c:v>TU KE</c:v>
                </c:pt>
              </c:strCache>
            </c:strRef>
          </c:tx>
          <c:marker>
            <c:symbol val="none"/>
          </c:marker>
          <c:dLbls>
            <c:dLbl>
              <c:idx val="2"/>
              <c:layout>
                <c:manualLayout>
                  <c:x val="-4.4193028503015985E-2"/>
                  <c:y val="-3.4894737256941984E-2"/>
                </c:manualLayout>
              </c:layout>
              <c:dLblPos val="r"/>
              <c:showLegendKey val="0"/>
              <c:showVal val="1"/>
              <c:showCatName val="0"/>
              <c:showSerName val="0"/>
              <c:showPercent val="0"/>
              <c:showBubbleSize val="0"/>
            </c:dLbl>
            <c:dLbl>
              <c:idx val="3"/>
              <c:layout>
                <c:manualLayout>
                  <c:x val="-4.8871391076115572E-2"/>
                  <c:y val="1.3153310791105993E-2"/>
                </c:manualLayout>
              </c:layout>
              <c:dLblPos val="r"/>
              <c:showLegendKey val="0"/>
              <c:showVal val="1"/>
              <c:showCatName val="0"/>
              <c:showSerName val="0"/>
              <c:showPercent val="0"/>
              <c:showBubbleSize val="0"/>
            </c:dLbl>
            <c:dLbl>
              <c:idx val="4"/>
              <c:layout>
                <c:manualLayout>
                  <c:x val="-4.6532209789565779E-2"/>
                  <c:y val="3.717733481513008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Tab_zap_VŠ!$C$3:$G$3</c:f>
              <c:strCache>
                <c:ptCount val="5"/>
                <c:pt idx="0">
                  <c:v>2010/2011</c:v>
                </c:pt>
                <c:pt idx="1">
                  <c:v>2011/2012</c:v>
                </c:pt>
                <c:pt idx="2">
                  <c:v>2012/2013</c:v>
                </c:pt>
                <c:pt idx="3">
                  <c:v>2013/2014</c:v>
                </c:pt>
                <c:pt idx="4">
                  <c:v>2014/2015</c:v>
                </c:pt>
              </c:strCache>
            </c:strRef>
          </c:cat>
          <c:val>
            <c:numRef>
              <c:f>Tab_zap_VŠ!$C$8:$G$8</c:f>
              <c:numCache>
                <c:formatCode>#,##0</c:formatCode>
                <c:ptCount val="5"/>
                <c:pt idx="0">
                  <c:v>3324</c:v>
                </c:pt>
                <c:pt idx="1">
                  <c:v>3304</c:v>
                </c:pt>
                <c:pt idx="2">
                  <c:v>2279</c:v>
                </c:pt>
                <c:pt idx="3">
                  <c:v>2283</c:v>
                </c:pt>
                <c:pt idx="4">
                  <c:v>2282</c:v>
                </c:pt>
              </c:numCache>
            </c:numRef>
          </c:val>
          <c:smooth val="0"/>
        </c:ser>
        <c:ser>
          <c:idx val="0"/>
          <c:order val="5"/>
          <c:tx>
            <c:strRef>
              <c:f>Tab_zap_VŠ!$A$9</c:f>
              <c:strCache>
                <c:ptCount val="1"/>
                <c:pt idx="0">
                  <c:v>ŽU </c:v>
                </c:pt>
              </c:strCache>
            </c:strRef>
          </c:tx>
          <c:marker>
            <c:symbol val="none"/>
          </c:marker>
          <c:dLbls>
            <c:dLbl>
              <c:idx val="0"/>
              <c:layout>
                <c:manualLayout>
                  <c:x val="-4.887139107611551E-2"/>
                  <c:y val="4.5185342823138096E-2"/>
                </c:manualLayout>
              </c:layout>
              <c:dLblPos val="r"/>
              <c:showLegendKey val="0"/>
              <c:showVal val="1"/>
              <c:showCatName val="0"/>
              <c:showSerName val="0"/>
              <c:showPercent val="0"/>
              <c:showBubbleSize val="0"/>
            </c:dLbl>
            <c:dLbl>
              <c:idx val="1"/>
              <c:layout>
                <c:manualLayout>
                  <c:x val="-4.4193028503016069E-2"/>
                  <c:y val="4.1181338819134022E-2"/>
                </c:manualLayout>
              </c:layout>
              <c:dLblPos val="r"/>
              <c:showLegendKey val="0"/>
              <c:showVal val="1"/>
              <c:showCatName val="0"/>
              <c:showSerName val="0"/>
              <c:showPercent val="0"/>
              <c:showBubbleSize val="0"/>
            </c:dLbl>
            <c:dLbl>
              <c:idx val="2"/>
              <c:layout>
                <c:manualLayout>
                  <c:x val="-4.4193028503015985E-2"/>
                  <c:y val="-7.0931088568883846E-2"/>
                </c:manualLayout>
              </c:layout>
              <c:dLblPos val="r"/>
              <c:showLegendKey val="0"/>
              <c:showVal val="1"/>
              <c:showCatName val="0"/>
              <c:showSerName val="0"/>
              <c:showPercent val="0"/>
              <c:showBubbleSize val="0"/>
            </c:dLbl>
            <c:dLbl>
              <c:idx val="3"/>
              <c:layout>
                <c:manualLayout>
                  <c:x val="-3.9313755211570205E-2"/>
                  <c:y val="-5.2261401040514806E-2"/>
                </c:manualLayout>
              </c:layout>
              <c:dLblPos val="r"/>
              <c:showLegendKey val="0"/>
              <c:showVal val="1"/>
              <c:showCatName val="0"/>
              <c:showSerName val="0"/>
              <c:showPercent val="0"/>
              <c:showBubbleSize val="0"/>
            </c:dLbl>
            <c:dLbl>
              <c:idx val="4"/>
              <c:layout>
                <c:manualLayout>
                  <c:x val="-5.1983054749735233E-2"/>
                  <c:y val="-5.889385448440566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Tab_zap_VŠ!$C$3:$G$3</c:f>
              <c:strCache>
                <c:ptCount val="5"/>
                <c:pt idx="0">
                  <c:v>2010/2011</c:v>
                </c:pt>
                <c:pt idx="1">
                  <c:v>2011/2012</c:v>
                </c:pt>
                <c:pt idx="2">
                  <c:v>2012/2013</c:v>
                </c:pt>
                <c:pt idx="3">
                  <c:v>2013/2014</c:v>
                </c:pt>
                <c:pt idx="4">
                  <c:v>2014/2015</c:v>
                </c:pt>
              </c:strCache>
            </c:strRef>
          </c:cat>
          <c:val>
            <c:numRef>
              <c:f>Tab_zap_VŠ!$C$9:$G$9</c:f>
              <c:numCache>
                <c:formatCode>#,##0</c:formatCode>
                <c:ptCount val="5"/>
                <c:pt idx="0">
                  <c:v>2811</c:v>
                </c:pt>
                <c:pt idx="1">
                  <c:v>2846</c:v>
                </c:pt>
                <c:pt idx="2">
                  <c:v>2712</c:v>
                </c:pt>
                <c:pt idx="3">
                  <c:v>2591</c:v>
                </c:pt>
                <c:pt idx="4">
                  <c:v>2389</c:v>
                </c:pt>
              </c:numCache>
            </c:numRef>
          </c:val>
          <c:smooth val="0"/>
        </c:ser>
        <c:dLbls>
          <c:dLblPos val="t"/>
          <c:showLegendKey val="0"/>
          <c:showVal val="1"/>
          <c:showCatName val="0"/>
          <c:showSerName val="0"/>
          <c:showPercent val="0"/>
          <c:showBubbleSize val="0"/>
        </c:dLbls>
        <c:marker val="1"/>
        <c:smooth val="0"/>
        <c:axId val="132098688"/>
        <c:axId val="132108672"/>
      </c:lineChart>
      <c:catAx>
        <c:axId val="132098688"/>
        <c:scaling>
          <c:orientation val="minMax"/>
        </c:scaling>
        <c:delete val="0"/>
        <c:axPos val="b"/>
        <c:majorTickMark val="out"/>
        <c:minorTickMark val="none"/>
        <c:tickLblPos val="nextTo"/>
        <c:crossAx val="132108672"/>
        <c:crosses val="autoZero"/>
        <c:auto val="1"/>
        <c:lblAlgn val="ctr"/>
        <c:lblOffset val="100"/>
        <c:noMultiLvlLbl val="0"/>
      </c:catAx>
      <c:valAx>
        <c:axId val="132108672"/>
        <c:scaling>
          <c:orientation val="minMax"/>
          <c:max val="6000"/>
        </c:scaling>
        <c:delete val="0"/>
        <c:axPos val="l"/>
        <c:majorGridlines/>
        <c:numFmt formatCode="#,##0" sourceLinked="1"/>
        <c:majorTickMark val="out"/>
        <c:minorTickMark val="none"/>
        <c:tickLblPos val="nextTo"/>
        <c:crossAx val="132098688"/>
        <c:crosses val="autoZero"/>
        <c:crossBetween val="between"/>
      </c:valAx>
    </c:plotArea>
    <c:legend>
      <c:legendPos val="b"/>
      <c:layout>
        <c:manualLayout>
          <c:xMode val="edge"/>
          <c:yMode val="edge"/>
          <c:x val="0.13226062599727745"/>
          <c:y val="0.92948624212666198"/>
          <c:w val="0.72750492779644993"/>
          <c:h val="5.8050089695854228E-2"/>
        </c:manualLayout>
      </c:layout>
      <c:overlay val="0"/>
    </c:legend>
    <c:plotVisOnly val="1"/>
    <c:dispBlanksAs val="gap"/>
    <c:showDLblsOverMax val="0"/>
  </c:chart>
  <c:spPr>
    <a:ln>
      <a:noFill/>
    </a:ln>
  </c:spPr>
  <c:txPr>
    <a:bodyPr/>
    <a:lstStyle/>
    <a:p>
      <a:pPr>
        <a:defRPr sz="1100">
          <a:latin typeface="+mj-lt"/>
        </a:defRPr>
      </a:pPr>
      <a:endParaRPr lang="sk-SK"/>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50"/>
      <c:depthPercent val="170"/>
      <c:rAngAx val="0"/>
      <c:perspective val="30"/>
    </c:view3D>
    <c:floor>
      <c:thickness val="0"/>
    </c:floor>
    <c:sideWall>
      <c:thickness val="0"/>
    </c:sideWall>
    <c:backWall>
      <c:thickness val="0"/>
    </c:backWall>
    <c:plotArea>
      <c:layout>
        <c:manualLayout>
          <c:layoutTarget val="inner"/>
          <c:xMode val="edge"/>
          <c:yMode val="edge"/>
          <c:x val="7.7279230256401016E-2"/>
          <c:y val="3.6667964033012992E-2"/>
          <c:w val="0.86276097840711086"/>
          <c:h val="0.92388371605640551"/>
        </c:manualLayout>
      </c:layout>
      <c:pie3DChart>
        <c:varyColors val="1"/>
        <c:ser>
          <c:idx val="0"/>
          <c:order val="0"/>
          <c:spPr>
            <a:effectLst>
              <a:outerShdw blurRad="76200" dir="18900000" sy="23000" kx="-1200000" algn="bl" rotWithShape="0">
                <a:prstClr val="black">
                  <a:alpha val="20000"/>
                </a:prstClr>
              </a:outerShdw>
            </a:effectLst>
          </c:spPr>
          <c:dPt>
            <c:idx val="0"/>
            <c:bubble3D val="0"/>
            <c:spPr>
              <a:gradFill>
                <a:gsLst>
                  <a:gs pos="0">
                    <a:srgbClr val="FFFFFF"/>
                  </a:gs>
                  <a:gs pos="7001">
                    <a:srgbClr val="E6E6E6"/>
                  </a:gs>
                  <a:gs pos="32001">
                    <a:srgbClr val="7D8496"/>
                  </a:gs>
                  <a:gs pos="47000">
                    <a:srgbClr val="E6E6E6"/>
                  </a:gs>
                  <a:gs pos="85001">
                    <a:srgbClr val="7D8496"/>
                  </a:gs>
                  <a:gs pos="100000">
                    <a:srgbClr val="E6E6E6"/>
                  </a:gs>
                </a:gsLst>
                <a:lin ang="5400000" scaled="0"/>
              </a:gradFill>
              <a:effectLst>
                <a:outerShdw blurRad="76200" dir="18900000" sy="23000" kx="-1200000" algn="bl" rotWithShape="0">
                  <a:prstClr val="black">
                    <a:alpha val="20000"/>
                  </a:prstClr>
                </a:outerShdw>
              </a:effectLst>
            </c:spPr>
          </c:dPt>
          <c:dPt>
            <c:idx val="1"/>
            <c:bubble3D val="0"/>
            <c:explosion val="15"/>
            <c:spPr>
              <a:gradFill>
                <a:gsLst>
                  <a:gs pos="0">
                    <a:srgbClr val="FFFFFF"/>
                  </a:gs>
                  <a:gs pos="7001">
                    <a:srgbClr val="E6E6E6"/>
                  </a:gs>
                  <a:gs pos="32001">
                    <a:srgbClr val="7D8496"/>
                  </a:gs>
                  <a:gs pos="47000">
                    <a:srgbClr val="E6E6E6"/>
                  </a:gs>
                  <a:gs pos="85001">
                    <a:srgbClr val="7D8496"/>
                  </a:gs>
                  <a:gs pos="100000">
                    <a:srgbClr val="E6E6E6"/>
                  </a:gs>
                </a:gsLst>
                <a:lin ang="5400000" scaled="0"/>
              </a:gradFill>
              <a:effectLst>
                <a:outerShdw blurRad="76200" dir="18900000" sy="23000" kx="-1200000" algn="bl" rotWithShape="0">
                  <a:prstClr val="black">
                    <a:alpha val="20000"/>
                  </a:prstClr>
                </a:outerShdw>
              </a:effectLst>
            </c:spPr>
          </c:dPt>
          <c:dPt>
            <c:idx val="2"/>
            <c:bubble3D val="0"/>
            <c:spPr>
              <a:gradFill>
                <a:gsLst>
                  <a:gs pos="0">
                    <a:srgbClr val="D6B19C"/>
                  </a:gs>
                  <a:gs pos="30000">
                    <a:srgbClr val="D49E6C"/>
                  </a:gs>
                  <a:gs pos="70000">
                    <a:srgbClr val="A65528"/>
                  </a:gs>
                </a:gsLst>
                <a:lin ang="5400000" scaled="0"/>
              </a:gradFill>
              <a:effectLst>
                <a:outerShdw blurRad="76200" dir="18900000" sy="23000" kx="-1200000" algn="bl" rotWithShape="0">
                  <a:prstClr val="black">
                    <a:alpha val="20000"/>
                  </a:prstClr>
                </a:outerShdw>
              </a:effectLst>
            </c:spPr>
          </c:dPt>
          <c:dPt>
            <c:idx val="3"/>
            <c:bubble3D val="0"/>
            <c:explosion val="7"/>
            <c:spPr>
              <a:gradFill>
                <a:gsLst>
                  <a:gs pos="0">
                    <a:srgbClr val="D6B19C"/>
                  </a:gs>
                  <a:gs pos="30000">
                    <a:srgbClr val="D49E6C"/>
                  </a:gs>
                  <a:gs pos="70000">
                    <a:srgbClr val="A65528"/>
                  </a:gs>
                </a:gsLst>
                <a:lin ang="5400000" scaled="0"/>
              </a:gradFill>
              <a:effectLst>
                <a:outerShdw blurRad="76200" dir="18900000" sy="23000" kx="-1200000" algn="bl" rotWithShape="0">
                  <a:prstClr val="black">
                    <a:alpha val="20000"/>
                  </a:prstClr>
                </a:outerShdw>
              </a:effectLst>
            </c:spPr>
          </c:dPt>
          <c:dPt>
            <c:idx val="4"/>
            <c:bubble3D val="0"/>
            <c:spPr>
              <a:gradFill>
                <a:gsLst>
                  <a:gs pos="0">
                    <a:srgbClr val="DDEBCF"/>
                  </a:gs>
                  <a:gs pos="50000">
                    <a:srgbClr val="9CB86E"/>
                  </a:gs>
                  <a:gs pos="100000">
                    <a:srgbClr val="156B13"/>
                  </a:gs>
                </a:gsLst>
                <a:lin ang="5400000" scaled="0"/>
              </a:gradFill>
              <a:effectLst>
                <a:outerShdw blurRad="76200" dir="18900000" sy="23000" kx="-1200000" algn="bl" rotWithShape="0">
                  <a:prstClr val="black">
                    <a:alpha val="20000"/>
                  </a:prstClr>
                </a:outerShdw>
              </a:effectLst>
            </c:spPr>
          </c:dPt>
          <c:dPt>
            <c:idx val="5"/>
            <c:bubble3D val="0"/>
            <c:explosion val="8"/>
            <c:spPr>
              <a:gradFill>
                <a:gsLst>
                  <a:gs pos="0">
                    <a:srgbClr val="DDEBCF"/>
                  </a:gs>
                  <a:gs pos="50000">
                    <a:srgbClr val="9CB86E"/>
                  </a:gs>
                  <a:gs pos="100000">
                    <a:srgbClr val="156B13"/>
                  </a:gs>
                </a:gsLst>
                <a:lin ang="5400000" scaled="0"/>
              </a:gradFill>
              <a:effectLst>
                <a:outerShdw blurRad="76200" dir="18900000" sy="23000" kx="-1200000" algn="bl" rotWithShape="0">
                  <a:prstClr val="black">
                    <a:alpha val="20000"/>
                  </a:prstClr>
                </a:outerShdw>
              </a:effectLst>
            </c:spPr>
          </c:dPt>
          <c:dLbls>
            <c:dLbl>
              <c:idx val="1"/>
              <c:layout>
                <c:manualLayout>
                  <c:x val="5.186880244088482E-2"/>
                  <c:y val="0.13520828041656094"/>
                </c:manualLayout>
              </c:layout>
              <c:tx>
                <c:rich>
                  <a:bodyPr/>
                  <a:lstStyle/>
                  <a:p>
                    <a:pPr>
                      <a:defRPr/>
                    </a:pPr>
                    <a:r>
                      <a:rPr lang="sk-SK"/>
                      <a:t>I. stupeň</a:t>
                    </a:r>
                    <a:r>
                      <a:rPr lang="en-US"/>
                      <a:t>;</a:t>
                    </a:r>
                    <a:endParaRPr lang="sk-SK"/>
                  </a:p>
                  <a:p>
                    <a:pPr>
                      <a:defRPr/>
                    </a:pPr>
                    <a:r>
                      <a:rPr lang="sk-SK"/>
                      <a:t>2 068</a:t>
                    </a:r>
                    <a:endParaRPr lang="en-US"/>
                  </a:p>
                </c:rich>
              </c:tx>
              <c:spPr>
                <a:effectLst>
                  <a:outerShdw blurRad="50800" dist="38100" dir="5400000" algn="t" rotWithShape="0">
                    <a:schemeClr val="bg1">
                      <a:lumMod val="50000"/>
                      <a:alpha val="40000"/>
                    </a:schemeClr>
                  </a:outerShdw>
                </a:effectLst>
              </c:spPr>
              <c:dLblPos val="bestFit"/>
              <c:showLegendKey val="0"/>
              <c:showVal val="1"/>
              <c:showCatName val="1"/>
              <c:showSerName val="0"/>
              <c:showPercent val="0"/>
              <c:showBubbleSize val="0"/>
            </c:dLbl>
            <c:dLbl>
              <c:idx val="3"/>
              <c:layout>
                <c:manualLayout>
                  <c:x val="6.7442741351066621E-2"/>
                  <c:y val="4.3209876543209874E-2"/>
                </c:manualLayout>
              </c:layout>
              <c:tx>
                <c:rich>
                  <a:bodyPr/>
                  <a:lstStyle/>
                  <a:p>
                    <a:r>
                      <a:rPr lang="sk-SK"/>
                      <a:t>II. stupeň</a:t>
                    </a:r>
                    <a:r>
                      <a:rPr lang="en-US"/>
                      <a:t>;</a:t>
                    </a:r>
                    <a:endParaRPr lang="sk-SK"/>
                  </a:p>
                  <a:p>
                    <a:r>
                      <a:rPr lang="en-US"/>
                      <a:t> </a:t>
                    </a:r>
                    <a:r>
                      <a:rPr lang="sk-SK"/>
                      <a:t>1 859</a:t>
                    </a:r>
                    <a:endParaRPr lang="en-US"/>
                  </a:p>
                </c:rich>
              </c:tx>
              <c:dLblPos val="bestFit"/>
              <c:showLegendKey val="0"/>
              <c:showVal val="1"/>
              <c:showCatName val="1"/>
              <c:showSerName val="0"/>
              <c:showPercent val="0"/>
              <c:showBubbleSize val="0"/>
            </c:dLbl>
            <c:dLbl>
              <c:idx val="5"/>
              <c:layout>
                <c:manualLayout>
                  <c:x val="-1.1187259525582785E-16"/>
                  <c:y val="5.391795783591577E-2"/>
                </c:manualLayout>
              </c:layout>
              <c:tx>
                <c:rich>
                  <a:bodyPr/>
                  <a:lstStyle/>
                  <a:p>
                    <a:r>
                      <a:rPr lang="sk-SK"/>
                      <a:t>III. stupeň</a:t>
                    </a:r>
                    <a:r>
                      <a:rPr lang="en-US"/>
                      <a:t>; </a:t>
                    </a:r>
                    <a:r>
                      <a:rPr lang="sk-SK"/>
                      <a:t>245</a:t>
                    </a:r>
                    <a:endParaRPr lang="en-US"/>
                  </a:p>
                </c:rich>
              </c:tx>
              <c:dLblPos val="bestFit"/>
              <c:showLegendKey val="0"/>
              <c:showVal val="1"/>
              <c:showCatName val="1"/>
              <c:showSerName val="0"/>
              <c:showPercent val="0"/>
              <c:showBubbleSize val="0"/>
            </c:dLbl>
            <c:spPr>
              <a:effectLst>
                <a:outerShdw blurRad="50800" dist="38100" dir="5400000" algn="t" rotWithShape="0">
                  <a:schemeClr val="bg1">
                    <a:lumMod val="65000"/>
                    <a:alpha val="40000"/>
                  </a:schemeClr>
                </a:outerShdw>
              </a:effectLst>
            </c:spPr>
            <c:dLblPos val="bestFit"/>
            <c:showLegendKey val="0"/>
            <c:showVal val="1"/>
            <c:showCatName val="1"/>
            <c:showSerName val="0"/>
            <c:showPercent val="0"/>
            <c:showBubbleSize val="0"/>
            <c:showLeaderLines val="0"/>
          </c:dLbls>
          <c:cat>
            <c:strRef>
              <c:f>Tab26_absol!$A$19:$A$24</c:f>
              <c:strCache>
                <c:ptCount val="5"/>
                <c:pt idx="0">
                  <c:v>Bc.</c:v>
                </c:pt>
                <c:pt idx="2">
                  <c:v>Ing.</c:v>
                </c:pt>
                <c:pt idx="4">
                  <c:v>PhD.</c:v>
                </c:pt>
              </c:strCache>
            </c:strRef>
          </c:cat>
          <c:val>
            <c:numRef>
              <c:f>Tab26_absol!$L$19:$L$24</c:f>
              <c:numCache>
                <c:formatCode>#,##0</c:formatCode>
                <c:ptCount val="6"/>
                <c:pt idx="1">
                  <c:v>2068</c:v>
                </c:pt>
                <c:pt idx="3">
                  <c:v>1859</c:v>
                </c:pt>
                <c:pt idx="5" formatCode="General">
                  <c:v>245</c:v>
                </c:pt>
              </c:numCache>
            </c:numRef>
          </c:val>
        </c:ser>
        <c:dLbls>
          <c:dLblPos val="bestFit"/>
          <c:showLegendKey val="0"/>
          <c:showVal val="1"/>
          <c:showCatName val="0"/>
          <c:showSerName val="0"/>
          <c:showPercent val="0"/>
          <c:showBubbleSize val="0"/>
          <c:showLeaderLines val="0"/>
        </c:dLbls>
      </c:pie3DChart>
    </c:plotArea>
    <c:plotVisOnly val="1"/>
    <c:dispBlanksAs val="gap"/>
    <c:showDLblsOverMax val="0"/>
  </c:chart>
  <c:spPr>
    <a:ln>
      <a:noFill/>
    </a:ln>
  </c:spPr>
  <c:txPr>
    <a:bodyPr/>
    <a:lstStyle/>
    <a:p>
      <a:pPr>
        <a:defRPr sz="1050">
          <a:latin typeface="+mj-lt"/>
        </a:defRPr>
      </a:pPr>
      <a:endParaRPr lang="sk-SK"/>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5507436570427"/>
          <c:y val="6.7187591134441532E-2"/>
          <c:w val="0.86928937007874019"/>
          <c:h val="0.71459682123067958"/>
        </c:manualLayout>
      </c:layout>
      <c:lineChart>
        <c:grouping val="standard"/>
        <c:varyColors val="0"/>
        <c:ser>
          <c:idx val="0"/>
          <c:order val="0"/>
          <c:tx>
            <c:strRef>
              <c:f>Tab26_absol!$A$37</c:f>
              <c:strCache>
                <c:ptCount val="1"/>
                <c:pt idx="0">
                  <c:v>I. stupeň</c:v>
                </c:pt>
              </c:strCache>
            </c:strRef>
          </c:tx>
          <c:spPr>
            <a:ln w="38100"/>
          </c:spPr>
          <c:marker>
            <c:symbol val="none"/>
          </c:marker>
          <c:dLbls>
            <c:dLbl>
              <c:idx val="0"/>
              <c:layout>
                <c:manualLayout>
                  <c:x val="-4.9000000000000023E-2"/>
                  <c:y val="4.5821668124817728E-2"/>
                </c:manualLayout>
              </c:layout>
              <c:dLblPos val="r"/>
              <c:showLegendKey val="0"/>
              <c:showVal val="1"/>
              <c:showCatName val="0"/>
              <c:showSerName val="0"/>
              <c:showPercent val="0"/>
              <c:showBubbleSize val="0"/>
            </c:dLbl>
            <c:dLbl>
              <c:idx val="1"/>
              <c:layout>
                <c:manualLayout>
                  <c:x val="-5.4555555555555559E-2"/>
                  <c:y val="5.5080927384076987E-2"/>
                </c:manualLayout>
              </c:layout>
              <c:dLblPos val="r"/>
              <c:showLegendKey val="0"/>
              <c:showVal val="1"/>
              <c:showCatName val="0"/>
              <c:showSerName val="0"/>
              <c:showPercent val="0"/>
              <c:showBubbleSize val="0"/>
            </c:dLbl>
            <c:dLbl>
              <c:idx val="2"/>
              <c:layout>
                <c:manualLayout>
                  <c:x val="-5.4555555555555559E-2"/>
                  <c:y val="5.9710557013706617E-2"/>
                </c:manualLayout>
              </c:layout>
              <c:dLblPos val="r"/>
              <c:showLegendKey val="0"/>
              <c:showVal val="1"/>
              <c:showCatName val="0"/>
              <c:showSerName val="0"/>
              <c:showPercent val="0"/>
              <c:showBubbleSize val="0"/>
            </c:dLbl>
            <c:dLbl>
              <c:idx val="3"/>
              <c:layout>
                <c:manualLayout>
                  <c:x val="-5.4555555555555559E-2"/>
                  <c:y val="4.1192038495188099E-2"/>
                </c:manualLayout>
              </c:layout>
              <c:dLblPos val="r"/>
              <c:showLegendKey val="0"/>
              <c:showVal val="1"/>
              <c:showCatName val="0"/>
              <c:showSerName val="0"/>
              <c:showPercent val="0"/>
              <c:showBubbleSize val="0"/>
            </c:dLbl>
            <c:dLbl>
              <c:idx val="4"/>
              <c:layout>
                <c:manualLayout>
                  <c:x val="-4.3444444444444341E-2"/>
                  <c:y val="-7.454870224555264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Tab26_absol!$F$38:$J$38</c:f>
              <c:numCache>
                <c:formatCode>0</c:formatCode>
                <c:ptCount val="5"/>
                <c:pt idx="0">
                  <c:v>2011</c:v>
                </c:pt>
                <c:pt idx="1">
                  <c:v>2012</c:v>
                </c:pt>
                <c:pt idx="2">
                  <c:v>2013</c:v>
                </c:pt>
                <c:pt idx="3">
                  <c:v>2014</c:v>
                </c:pt>
                <c:pt idx="4">
                  <c:v>2015</c:v>
                </c:pt>
              </c:numCache>
            </c:numRef>
          </c:cat>
          <c:val>
            <c:numRef>
              <c:f>Tab26_absol!$A$39:$E$39</c:f>
              <c:numCache>
                <c:formatCode>0</c:formatCode>
                <c:ptCount val="5"/>
                <c:pt idx="0">
                  <c:v>2179</c:v>
                </c:pt>
                <c:pt idx="1">
                  <c:v>2170</c:v>
                </c:pt>
                <c:pt idx="2">
                  <c:v>2037</c:v>
                </c:pt>
                <c:pt idx="3">
                  <c:v>1936</c:v>
                </c:pt>
                <c:pt idx="4">
                  <c:v>2109</c:v>
                </c:pt>
              </c:numCache>
            </c:numRef>
          </c:val>
          <c:smooth val="0"/>
        </c:ser>
        <c:ser>
          <c:idx val="1"/>
          <c:order val="1"/>
          <c:tx>
            <c:strRef>
              <c:f>Tab26_absol!$F$37</c:f>
              <c:strCache>
                <c:ptCount val="1"/>
                <c:pt idx="0">
                  <c:v>II. stupeň</c:v>
                </c:pt>
              </c:strCache>
            </c:strRef>
          </c:tx>
          <c:spPr>
            <a:ln w="38100"/>
          </c:spPr>
          <c:marker>
            <c:symbol val="none"/>
          </c:marker>
          <c:dLbls>
            <c:dLbl>
              <c:idx val="0"/>
              <c:layout>
                <c:manualLayout>
                  <c:x val="-5.1777777777777777E-2"/>
                  <c:y val="-8.8437591134441482E-2"/>
                </c:manualLayout>
              </c:layout>
              <c:dLblPos val="r"/>
              <c:showLegendKey val="0"/>
              <c:showVal val="1"/>
              <c:showCatName val="0"/>
              <c:showSerName val="0"/>
              <c:showPercent val="0"/>
              <c:showBubbleSize val="0"/>
            </c:dLbl>
            <c:dLbl>
              <c:idx val="1"/>
              <c:layout>
                <c:manualLayout>
                  <c:x val="-5.1777777777777777E-2"/>
                  <c:y val="-6.5289442986293397E-2"/>
                </c:manualLayout>
              </c:layout>
              <c:dLblPos val="r"/>
              <c:showLegendKey val="0"/>
              <c:showVal val="1"/>
              <c:showCatName val="0"/>
              <c:showSerName val="0"/>
              <c:showPercent val="0"/>
              <c:showBubbleSize val="0"/>
            </c:dLbl>
            <c:dLbl>
              <c:idx val="3"/>
              <c:layout>
                <c:manualLayout>
                  <c:x val="-5.1777777777777777E-2"/>
                  <c:y val="-9.306722076407116E-2"/>
                </c:manualLayout>
              </c:layout>
              <c:dLblPos val="r"/>
              <c:showLegendKey val="0"/>
              <c:showVal val="1"/>
              <c:showCatName val="0"/>
              <c:showSerName val="0"/>
              <c:showPercent val="0"/>
              <c:showBubbleSize val="0"/>
            </c:dLbl>
            <c:dLbl>
              <c:idx val="4"/>
              <c:layout>
                <c:manualLayout>
                  <c:x val="-3.5111329833770778E-2"/>
                  <c:y val="3.65624088655584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Tab26_absol!$F$38:$J$38</c:f>
              <c:numCache>
                <c:formatCode>0</c:formatCode>
                <c:ptCount val="5"/>
                <c:pt idx="0">
                  <c:v>2011</c:v>
                </c:pt>
                <c:pt idx="1">
                  <c:v>2012</c:v>
                </c:pt>
                <c:pt idx="2">
                  <c:v>2013</c:v>
                </c:pt>
                <c:pt idx="3">
                  <c:v>2014</c:v>
                </c:pt>
                <c:pt idx="4">
                  <c:v>2015</c:v>
                </c:pt>
              </c:numCache>
            </c:numRef>
          </c:cat>
          <c:val>
            <c:numRef>
              <c:f>Tab26_absol!$F$39:$J$39</c:f>
              <c:numCache>
                <c:formatCode>0</c:formatCode>
                <c:ptCount val="5"/>
                <c:pt idx="0">
                  <c:v>2283</c:v>
                </c:pt>
                <c:pt idx="1">
                  <c:v>2510</c:v>
                </c:pt>
                <c:pt idx="2">
                  <c:v>2102</c:v>
                </c:pt>
                <c:pt idx="3">
                  <c:v>2029</c:v>
                </c:pt>
                <c:pt idx="4">
                  <c:v>1889</c:v>
                </c:pt>
              </c:numCache>
            </c:numRef>
          </c:val>
          <c:smooth val="0"/>
        </c:ser>
        <c:ser>
          <c:idx val="2"/>
          <c:order val="2"/>
          <c:tx>
            <c:strRef>
              <c:f>Tab26_absol!$K$37</c:f>
              <c:strCache>
                <c:ptCount val="1"/>
                <c:pt idx="0">
                  <c:v>III. stupeň</c:v>
                </c:pt>
              </c:strCache>
            </c:strRef>
          </c:tx>
          <c:spPr>
            <a:ln w="38100"/>
          </c:spPr>
          <c:marker>
            <c:symbol val="none"/>
          </c:marker>
          <c:dLbls>
            <c:dLbl>
              <c:idx val="0"/>
              <c:layout>
                <c:manualLayout>
                  <c:x val="-3.9180664916885412E-2"/>
                  <c:y val="-7.9178331875182265E-2"/>
                </c:manualLayout>
              </c:layout>
              <c:dLblPos val="r"/>
              <c:showLegendKey val="0"/>
              <c:showVal val="1"/>
              <c:showCatName val="0"/>
              <c:showSerName val="0"/>
              <c:showPercent val="0"/>
              <c:showBubbleSize val="0"/>
            </c:dLbl>
            <c:dLbl>
              <c:idx val="1"/>
              <c:layout>
                <c:manualLayout>
                  <c:x val="-3.6402887139107665E-2"/>
                  <c:y val="-7.4548702245552642E-2"/>
                </c:manualLayout>
              </c:layout>
              <c:dLblPos val="r"/>
              <c:showLegendKey val="0"/>
              <c:showVal val="1"/>
              <c:showCatName val="0"/>
              <c:showSerName val="0"/>
              <c:showPercent val="0"/>
              <c:showBubbleSize val="0"/>
            </c:dLbl>
            <c:dLbl>
              <c:idx val="2"/>
              <c:layout>
                <c:manualLayout>
                  <c:x val="-3.9180664916885391E-2"/>
                  <c:y val="-7.9178331875182348E-2"/>
                </c:manualLayout>
              </c:layout>
              <c:dLblPos val="r"/>
              <c:showLegendKey val="0"/>
              <c:showVal val="1"/>
              <c:showCatName val="0"/>
              <c:showSerName val="0"/>
              <c:showPercent val="0"/>
              <c:showBubbleSize val="0"/>
            </c:dLbl>
            <c:dLbl>
              <c:idx val="3"/>
              <c:layout>
                <c:manualLayout>
                  <c:x val="-4.1958442694663166E-2"/>
                  <c:y val="-6.9919072615923006E-2"/>
                </c:manualLayout>
              </c:layout>
              <c:dLblPos val="r"/>
              <c:showLegendKey val="0"/>
              <c:showVal val="1"/>
              <c:showCatName val="0"/>
              <c:showSerName val="0"/>
              <c:showPercent val="0"/>
              <c:showBubbleSize val="0"/>
            </c:dLbl>
            <c:dLbl>
              <c:idx val="4"/>
              <c:layout>
                <c:manualLayout>
                  <c:x val="-2.8069553805774378E-2"/>
                  <c:y val="-6.065981335666374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Tab26_absol!$F$38:$J$38</c:f>
              <c:numCache>
                <c:formatCode>0</c:formatCode>
                <c:ptCount val="5"/>
                <c:pt idx="0">
                  <c:v>2011</c:v>
                </c:pt>
                <c:pt idx="1">
                  <c:v>2012</c:v>
                </c:pt>
                <c:pt idx="2">
                  <c:v>2013</c:v>
                </c:pt>
                <c:pt idx="3">
                  <c:v>2014</c:v>
                </c:pt>
                <c:pt idx="4">
                  <c:v>2015</c:v>
                </c:pt>
              </c:numCache>
            </c:numRef>
          </c:cat>
          <c:val>
            <c:numRef>
              <c:f>Tab26_absol!$K$39:$O$39</c:f>
              <c:numCache>
                <c:formatCode>0</c:formatCode>
                <c:ptCount val="5"/>
                <c:pt idx="0">
                  <c:v>212</c:v>
                </c:pt>
                <c:pt idx="1">
                  <c:v>247</c:v>
                </c:pt>
                <c:pt idx="2">
                  <c:v>298</c:v>
                </c:pt>
                <c:pt idx="3">
                  <c:v>258</c:v>
                </c:pt>
                <c:pt idx="4">
                  <c:v>241</c:v>
                </c:pt>
              </c:numCache>
            </c:numRef>
          </c:val>
          <c:smooth val="0"/>
        </c:ser>
        <c:dLbls>
          <c:dLblPos val="t"/>
          <c:showLegendKey val="0"/>
          <c:showVal val="1"/>
          <c:showCatName val="0"/>
          <c:showSerName val="0"/>
          <c:showPercent val="0"/>
          <c:showBubbleSize val="0"/>
        </c:dLbls>
        <c:marker val="1"/>
        <c:smooth val="0"/>
        <c:axId val="133487616"/>
        <c:axId val="134230784"/>
      </c:lineChart>
      <c:catAx>
        <c:axId val="133487616"/>
        <c:scaling>
          <c:orientation val="minMax"/>
        </c:scaling>
        <c:delete val="0"/>
        <c:axPos val="b"/>
        <c:numFmt formatCode="0" sourceLinked="1"/>
        <c:majorTickMark val="out"/>
        <c:minorTickMark val="none"/>
        <c:tickLblPos val="nextTo"/>
        <c:crossAx val="134230784"/>
        <c:crosses val="autoZero"/>
        <c:auto val="1"/>
        <c:lblAlgn val="ctr"/>
        <c:lblOffset val="100"/>
        <c:noMultiLvlLbl val="0"/>
      </c:catAx>
      <c:valAx>
        <c:axId val="134230784"/>
        <c:scaling>
          <c:orientation val="minMax"/>
        </c:scaling>
        <c:delete val="0"/>
        <c:axPos val="l"/>
        <c:majorGridlines/>
        <c:numFmt formatCode="0" sourceLinked="1"/>
        <c:majorTickMark val="out"/>
        <c:minorTickMark val="none"/>
        <c:tickLblPos val="nextTo"/>
        <c:crossAx val="133487616"/>
        <c:crosses val="autoZero"/>
        <c:crossBetween val="between"/>
      </c:valAx>
    </c:plotArea>
    <c:legend>
      <c:legendPos val="b"/>
      <c:overlay val="0"/>
    </c:legend>
    <c:plotVisOnly val="1"/>
    <c:dispBlanksAs val="gap"/>
    <c:showDLblsOverMax val="0"/>
  </c:chart>
  <c:spPr>
    <a:ln>
      <a:noFill/>
    </a:ln>
  </c:spPr>
  <c:txPr>
    <a:bodyPr/>
    <a:lstStyle/>
    <a:p>
      <a:pPr>
        <a:defRPr sz="1050">
          <a:latin typeface="+mj-lt"/>
        </a:defRPr>
      </a:pPr>
      <a:endParaRPr lang="sk-SK"/>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281224448909794E-2"/>
          <c:y val="4.1095084353393881E-2"/>
          <c:w val="0.86594405151356635"/>
          <c:h val="0.77664949186929011"/>
        </c:manualLayout>
      </c:layout>
      <c:lineChart>
        <c:grouping val="standard"/>
        <c:varyColors val="0"/>
        <c:ser>
          <c:idx val="0"/>
          <c:order val="0"/>
          <c:tx>
            <c:strRef>
              <c:f>Tab31_ŠVOČ!$B$16</c:f>
              <c:strCache>
                <c:ptCount val="1"/>
                <c:pt idx="0">
                  <c:v>sekcie</c:v>
                </c:pt>
              </c:strCache>
            </c:strRef>
          </c:tx>
          <c:spPr>
            <a:ln w="38100"/>
          </c:spPr>
          <c:marker>
            <c:symbol val="none"/>
          </c:marker>
          <c:dLbls>
            <c:dLbl>
              <c:idx val="0"/>
              <c:layout>
                <c:manualLayout>
                  <c:x val="-3.5462670690392772E-2"/>
                  <c:y val="-0.1038996607637485"/>
                </c:manualLayout>
              </c:layout>
              <c:dLblPos val="r"/>
              <c:showLegendKey val="0"/>
              <c:showVal val="1"/>
              <c:showCatName val="0"/>
              <c:showSerName val="0"/>
              <c:showPercent val="0"/>
              <c:showBubbleSize val="0"/>
            </c:dLbl>
            <c:dLbl>
              <c:idx val="1"/>
              <c:layout>
                <c:manualLayout>
                  <c:x val="-4.1336385815209223E-2"/>
                  <c:y val="-8.8089384083906513E-2"/>
                </c:manualLayout>
              </c:layout>
              <c:dLblPos val="r"/>
              <c:showLegendKey val="0"/>
              <c:showVal val="1"/>
              <c:showCatName val="0"/>
              <c:showSerName val="0"/>
              <c:showPercent val="0"/>
              <c:showBubbleSize val="0"/>
            </c:dLbl>
            <c:dLbl>
              <c:idx val="2"/>
              <c:layout>
                <c:manualLayout>
                  <c:x val="-4.1336385815209327E-2"/>
                  <c:y val="-8.808938408390651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Tab31_ŠVOČ!$A$17:$A$19</c:f>
              <c:strCache>
                <c:ptCount val="3"/>
                <c:pt idx="0">
                  <c:v>2012/2013</c:v>
                </c:pt>
                <c:pt idx="1">
                  <c:v>2013/2014</c:v>
                </c:pt>
                <c:pt idx="2">
                  <c:v>2014/2015</c:v>
                </c:pt>
              </c:strCache>
            </c:strRef>
          </c:cat>
          <c:val>
            <c:numRef>
              <c:f>Tab31_ŠVOČ!$B$17:$B$19</c:f>
              <c:numCache>
                <c:formatCode>#,##0</c:formatCode>
                <c:ptCount val="3"/>
                <c:pt idx="0">
                  <c:v>98</c:v>
                </c:pt>
                <c:pt idx="1">
                  <c:v>96</c:v>
                </c:pt>
                <c:pt idx="2">
                  <c:v>83</c:v>
                </c:pt>
              </c:numCache>
            </c:numRef>
          </c:val>
          <c:smooth val="0"/>
        </c:ser>
        <c:ser>
          <c:idx val="1"/>
          <c:order val="1"/>
          <c:tx>
            <c:strRef>
              <c:f>Tab31_ŠVOČ!$C$16</c:f>
              <c:strCache>
                <c:ptCount val="1"/>
                <c:pt idx="0">
                  <c:v>práce</c:v>
                </c:pt>
              </c:strCache>
            </c:strRef>
          </c:tx>
          <c:spPr>
            <a:ln w="38100"/>
          </c:spPr>
          <c:marker>
            <c:symbol val="none"/>
          </c:marker>
          <c:dLbls>
            <c:dLbl>
              <c:idx val="0"/>
              <c:layout>
                <c:manualLayout>
                  <c:x val="-4.3778569061894507E-2"/>
                  <c:y val="5.0652851484211607E-2"/>
                </c:manualLayout>
              </c:layout>
              <c:dLblPos val="r"/>
              <c:showLegendKey val="0"/>
              <c:showVal val="1"/>
              <c:showCatName val="0"/>
              <c:showSerName val="0"/>
              <c:showPercent val="0"/>
              <c:showBubbleSize val="0"/>
            </c:dLbl>
            <c:dLbl>
              <c:idx val="1"/>
              <c:layout>
                <c:manualLayout>
                  <c:x val="-4.6496883997729457E-2"/>
                  <c:y val="4.2798162002661316E-2"/>
                </c:manualLayout>
              </c:layout>
              <c:dLblPos val="r"/>
              <c:showLegendKey val="0"/>
              <c:showVal val="1"/>
              <c:showCatName val="0"/>
              <c:showSerName val="0"/>
              <c:showPercent val="0"/>
              <c:showBubbleSize val="0"/>
            </c:dLbl>
            <c:dLbl>
              <c:idx val="2"/>
              <c:layout>
                <c:manualLayout>
                  <c:x val="-5.193351386939931E-2"/>
                  <c:y val="5.458019622498675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Tab31_ŠVOČ!$A$17:$A$19</c:f>
              <c:strCache>
                <c:ptCount val="3"/>
                <c:pt idx="0">
                  <c:v>2012/2013</c:v>
                </c:pt>
                <c:pt idx="1">
                  <c:v>2013/2014</c:v>
                </c:pt>
                <c:pt idx="2">
                  <c:v>2014/2015</c:v>
                </c:pt>
              </c:strCache>
            </c:strRef>
          </c:cat>
          <c:val>
            <c:numRef>
              <c:f>Tab31_ŠVOČ!$C$17:$C$19</c:f>
              <c:numCache>
                <c:formatCode>#,##0</c:formatCode>
                <c:ptCount val="3"/>
                <c:pt idx="0">
                  <c:v>918</c:v>
                </c:pt>
                <c:pt idx="1">
                  <c:v>930</c:v>
                </c:pt>
                <c:pt idx="2">
                  <c:v>737</c:v>
                </c:pt>
              </c:numCache>
            </c:numRef>
          </c:val>
          <c:smooth val="0"/>
        </c:ser>
        <c:ser>
          <c:idx val="2"/>
          <c:order val="2"/>
          <c:tx>
            <c:strRef>
              <c:f>Tab31_ŠVOČ!$D$16</c:f>
              <c:strCache>
                <c:ptCount val="1"/>
                <c:pt idx="0">
                  <c:v>študenti</c:v>
                </c:pt>
              </c:strCache>
            </c:strRef>
          </c:tx>
          <c:spPr>
            <a:ln w="38100"/>
          </c:spPr>
          <c:marker>
            <c:symbol val="none"/>
          </c:marker>
          <c:dLbls>
            <c:dLbl>
              <c:idx val="0"/>
              <c:layout>
                <c:manualLayout>
                  <c:x val="-4.8304456409786596E-2"/>
                  <c:y val="-3.5748732812841612E-2"/>
                </c:manualLayout>
              </c:layout>
              <c:dLblPos val="r"/>
              <c:showLegendKey val="0"/>
              <c:showVal val="1"/>
              <c:showCatName val="0"/>
              <c:showSerName val="0"/>
              <c:showPercent val="0"/>
              <c:showBubbleSize val="0"/>
            </c:dLbl>
            <c:dLbl>
              <c:idx val="1"/>
              <c:layout>
                <c:manualLayout>
                  <c:x val="-5.9177716153126322E-2"/>
                  <c:y val="-3.5748732812841598E-2"/>
                </c:manualLayout>
              </c:layout>
              <c:dLblPos val="r"/>
              <c:showLegendKey val="0"/>
              <c:showVal val="1"/>
              <c:showCatName val="0"/>
              <c:showSerName val="0"/>
              <c:showPercent val="0"/>
              <c:showBubbleSize val="0"/>
            </c:dLbl>
            <c:dLbl>
              <c:idx val="2"/>
              <c:layout>
                <c:manualLayout>
                  <c:x val="-5.9177716153126322E-2"/>
                  <c:y val="-6.324014599826763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Tab31_ŠVOČ!$A$17:$A$19</c:f>
              <c:strCache>
                <c:ptCount val="3"/>
                <c:pt idx="0">
                  <c:v>2012/2013</c:v>
                </c:pt>
                <c:pt idx="1">
                  <c:v>2013/2014</c:v>
                </c:pt>
                <c:pt idx="2">
                  <c:v>2014/2015</c:v>
                </c:pt>
              </c:strCache>
            </c:strRef>
          </c:cat>
          <c:val>
            <c:numRef>
              <c:f>Tab31_ŠVOČ!$D$17:$D$19</c:f>
              <c:numCache>
                <c:formatCode>#,##0</c:formatCode>
                <c:ptCount val="3"/>
                <c:pt idx="0">
                  <c:v>1091</c:v>
                </c:pt>
                <c:pt idx="1">
                  <c:v>1106</c:v>
                </c:pt>
                <c:pt idx="2">
                  <c:v>846</c:v>
                </c:pt>
              </c:numCache>
            </c:numRef>
          </c:val>
          <c:smooth val="0"/>
        </c:ser>
        <c:dLbls>
          <c:dLblPos val="t"/>
          <c:showLegendKey val="0"/>
          <c:showVal val="1"/>
          <c:showCatName val="0"/>
          <c:showSerName val="0"/>
          <c:showPercent val="0"/>
          <c:showBubbleSize val="0"/>
        </c:dLbls>
        <c:marker val="1"/>
        <c:smooth val="0"/>
        <c:axId val="134261760"/>
        <c:axId val="134275840"/>
      </c:lineChart>
      <c:catAx>
        <c:axId val="134261760"/>
        <c:scaling>
          <c:orientation val="minMax"/>
        </c:scaling>
        <c:delete val="0"/>
        <c:axPos val="b"/>
        <c:majorTickMark val="out"/>
        <c:minorTickMark val="none"/>
        <c:tickLblPos val="nextTo"/>
        <c:crossAx val="134275840"/>
        <c:crosses val="autoZero"/>
        <c:auto val="1"/>
        <c:lblAlgn val="ctr"/>
        <c:lblOffset val="100"/>
        <c:noMultiLvlLbl val="0"/>
      </c:catAx>
      <c:valAx>
        <c:axId val="134275840"/>
        <c:scaling>
          <c:orientation val="minMax"/>
        </c:scaling>
        <c:delete val="0"/>
        <c:axPos val="l"/>
        <c:majorGridlines/>
        <c:numFmt formatCode="#,##0" sourceLinked="1"/>
        <c:majorTickMark val="out"/>
        <c:minorTickMark val="none"/>
        <c:tickLblPos val="nextTo"/>
        <c:crossAx val="134261760"/>
        <c:crosses val="autoZero"/>
        <c:crossBetween val="between"/>
      </c:valAx>
    </c:plotArea>
    <c:legend>
      <c:legendPos val="b"/>
      <c:layout>
        <c:manualLayout>
          <c:xMode val="edge"/>
          <c:yMode val="edge"/>
          <c:x val="0.22750565270250309"/>
          <c:y val="0.91435632401619882"/>
          <c:w val="0.54498869459499377"/>
          <c:h val="8.5643675983800988E-2"/>
        </c:manualLayout>
      </c:layout>
      <c:overlay val="0"/>
    </c:legend>
    <c:plotVisOnly val="1"/>
    <c:dispBlanksAs val="gap"/>
    <c:showDLblsOverMax val="0"/>
  </c:chart>
  <c:spPr>
    <a:ln>
      <a:noFill/>
    </a:ln>
  </c:spPr>
  <c:txPr>
    <a:bodyPr/>
    <a:lstStyle/>
    <a:p>
      <a:pPr>
        <a:defRPr sz="1100">
          <a:latin typeface="+mj-lt"/>
        </a:defRPr>
      </a:pPr>
      <a:endParaRPr lang="sk-SK"/>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8100"/>
          </c:spPr>
          <c:marker>
            <c:symbol val="none"/>
          </c:marker>
          <c:dLbls>
            <c:dLbl>
              <c:idx val="1"/>
              <c:layout>
                <c:manualLayout>
                  <c:x val="-4.6583333333333331E-2"/>
                  <c:y val="-8.843759113444144E-2"/>
                </c:manualLayout>
              </c:layout>
              <c:dLblPos val="r"/>
              <c:showLegendKey val="0"/>
              <c:showVal val="1"/>
              <c:showCatName val="0"/>
              <c:showSerName val="0"/>
              <c:showPercent val="0"/>
              <c:showBubbleSize val="0"/>
            </c:dLbl>
            <c:dLbl>
              <c:idx val="2"/>
              <c:layout>
                <c:manualLayout>
                  <c:x val="-8.2694444444444445E-2"/>
                  <c:y val="-6.9919072615923006E-2"/>
                </c:manualLayout>
              </c:layout>
              <c:dLblPos val="r"/>
              <c:showLegendKey val="0"/>
              <c:showVal val="1"/>
              <c:showCatName val="0"/>
              <c:showSerName val="0"/>
              <c:showPercent val="0"/>
              <c:showBubbleSize val="0"/>
            </c:dLbl>
            <c:dLbl>
              <c:idx val="3"/>
              <c:layout>
                <c:manualLayout>
                  <c:x val="-2.4361111111111111E-2"/>
                  <c:y val="-4.214129483814523E-2"/>
                </c:manualLayout>
              </c:layout>
              <c:dLblPos val="r"/>
              <c:showLegendKey val="0"/>
              <c:showVal val="1"/>
              <c:showCatName val="0"/>
              <c:showSerName val="0"/>
              <c:showPercent val="0"/>
              <c:showBubbleSize val="0"/>
            </c:dLbl>
            <c:dLbl>
              <c:idx val="4"/>
              <c:layout>
                <c:manualLayout>
                  <c:x val="-1.3249999999999899E-2"/>
                  <c:y val="-4.21412948381452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Tab33_CŽV_5rokov!$G$3:$K$3</c:f>
              <c:strCache>
                <c:ptCount val="5"/>
                <c:pt idx="0">
                  <c:v>2010/2011</c:v>
                </c:pt>
                <c:pt idx="1">
                  <c:v>2011/2012</c:v>
                </c:pt>
                <c:pt idx="2">
                  <c:v>2012/2013</c:v>
                </c:pt>
                <c:pt idx="3">
                  <c:v>2013/2014</c:v>
                </c:pt>
                <c:pt idx="4">
                  <c:v>2014/2015</c:v>
                </c:pt>
              </c:strCache>
            </c:strRef>
          </c:cat>
          <c:val>
            <c:numRef>
              <c:f>Tab33_CŽV_5rokov!$G$8:$K$8</c:f>
              <c:numCache>
                <c:formatCode>#,##0</c:formatCode>
                <c:ptCount val="5"/>
                <c:pt idx="0">
                  <c:v>4118</c:v>
                </c:pt>
                <c:pt idx="1">
                  <c:v>4389</c:v>
                </c:pt>
                <c:pt idx="2">
                  <c:v>5090</c:v>
                </c:pt>
                <c:pt idx="3">
                  <c:v>4202</c:v>
                </c:pt>
                <c:pt idx="4" formatCode="#,##0_ ;[Red]\-#,##0\ ">
                  <c:v>3312</c:v>
                </c:pt>
              </c:numCache>
            </c:numRef>
          </c:val>
          <c:smooth val="0"/>
        </c:ser>
        <c:dLbls>
          <c:showLegendKey val="0"/>
          <c:showVal val="0"/>
          <c:showCatName val="0"/>
          <c:showSerName val="0"/>
          <c:showPercent val="0"/>
          <c:showBubbleSize val="0"/>
        </c:dLbls>
        <c:marker val="1"/>
        <c:smooth val="0"/>
        <c:axId val="134505216"/>
        <c:axId val="134506752"/>
      </c:lineChart>
      <c:catAx>
        <c:axId val="134505216"/>
        <c:scaling>
          <c:orientation val="minMax"/>
        </c:scaling>
        <c:delete val="0"/>
        <c:axPos val="b"/>
        <c:majorTickMark val="out"/>
        <c:minorTickMark val="none"/>
        <c:tickLblPos val="nextTo"/>
        <c:crossAx val="134506752"/>
        <c:crosses val="autoZero"/>
        <c:auto val="1"/>
        <c:lblAlgn val="ctr"/>
        <c:lblOffset val="100"/>
        <c:noMultiLvlLbl val="0"/>
      </c:catAx>
      <c:valAx>
        <c:axId val="134506752"/>
        <c:scaling>
          <c:orientation val="minMax"/>
          <c:min val="3000"/>
        </c:scaling>
        <c:delete val="0"/>
        <c:axPos val="l"/>
        <c:majorGridlines/>
        <c:numFmt formatCode="#,##0" sourceLinked="1"/>
        <c:majorTickMark val="out"/>
        <c:minorTickMark val="none"/>
        <c:tickLblPos val="nextTo"/>
        <c:crossAx val="134505216"/>
        <c:crosses val="autoZero"/>
        <c:crossBetween val="between"/>
      </c:valAx>
    </c:plotArea>
    <c:plotVisOnly val="1"/>
    <c:dispBlanksAs val="gap"/>
    <c:showDLblsOverMax val="0"/>
  </c:chart>
  <c:spPr>
    <a:ln>
      <a:noFill/>
    </a:ln>
  </c:spPr>
  <c:txPr>
    <a:bodyPr/>
    <a:lstStyle/>
    <a:p>
      <a:pPr>
        <a:defRPr sz="1050">
          <a:latin typeface="+mj-lt"/>
        </a:defRPr>
      </a:pPr>
      <a:endParaRPr lang="sk-SK"/>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KA!$E$213</c:f>
              <c:strCache>
                <c:ptCount val="1"/>
                <c:pt idx="0">
                  <c:v>KA2015</c:v>
                </c:pt>
              </c:strCache>
            </c:strRef>
          </c:tx>
          <c:spPr>
            <a:solidFill>
              <a:srgbClr val="FF0000"/>
            </a:solidFill>
          </c:spPr>
          <c:invertIfNegative val="0"/>
          <c:cat>
            <c:strRef>
              <c:f>KA!$D$214:$D$233</c:f>
              <c:strCache>
                <c:ptCount val="20"/>
                <c:pt idx="0">
                  <c:v>UK</c:v>
                </c:pt>
                <c:pt idx="1">
                  <c:v>VŠMU</c:v>
                </c:pt>
                <c:pt idx="2">
                  <c:v>UPJS</c:v>
                </c:pt>
                <c:pt idx="3">
                  <c:v>STU</c:v>
                </c:pt>
                <c:pt idx="4">
                  <c:v>TUKE</c:v>
                </c:pt>
                <c:pt idx="5">
                  <c:v>SPU</c:v>
                </c:pt>
                <c:pt idx="6">
                  <c:v>TUZVO</c:v>
                </c:pt>
                <c:pt idx="7">
                  <c:v>UVL </c:v>
                </c:pt>
                <c:pt idx="8">
                  <c:v>TvU</c:v>
                </c:pt>
                <c:pt idx="9">
                  <c:v>UCM</c:v>
                </c:pt>
                <c:pt idx="10">
                  <c:v>UKF</c:v>
                </c:pt>
                <c:pt idx="11">
                  <c:v>ŽU</c:v>
                </c:pt>
                <c:pt idx="12">
                  <c:v>VŠVU</c:v>
                </c:pt>
                <c:pt idx="13">
                  <c:v>UMB</c:v>
                </c:pt>
                <c:pt idx="14">
                  <c:v>EU</c:v>
                </c:pt>
                <c:pt idx="15">
                  <c:v>PU</c:v>
                </c:pt>
                <c:pt idx="16">
                  <c:v>AU</c:v>
                </c:pt>
                <c:pt idx="17">
                  <c:v>TUAD</c:v>
                </c:pt>
                <c:pt idx="18">
                  <c:v>KU</c:v>
                </c:pt>
                <c:pt idx="19">
                  <c:v>UJS</c:v>
                </c:pt>
              </c:strCache>
            </c:strRef>
          </c:cat>
          <c:val>
            <c:numRef>
              <c:f>KA!$E$214:$E$233</c:f>
              <c:numCache>
                <c:formatCode>0.00</c:formatCode>
                <c:ptCount val="20"/>
                <c:pt idx="0">
                  <c:v>3.7765670389165682</c:v>
                </c:pt>
                <c:pt idx="1">
                  <c:v>3.768455151036596</c:v>
                </c:pt>
                <c:pt idx="2">
                  <c:v>3.7478693313808398</c:v>
                </c:pt>
                <c:pt idx="3">
                  <c:v>3.660634607391021</c:v>
                </c:pt>
                <c:pt idx="4">
                  <c:v>3.625633427724086</c:v>
                </c:pt>
                <c:pt idx="5">
                  <c:v>3.5653981491352487</c:v>
                </c:pt>
                <c:pt idx="6">
                  <c:v>3.5207216976405835</c:v>
                </c:pt>
                <c:pt idx="7">
                  <c:v>3.492590974370001</c:v>
                </c:pt>
                <c:pt idx="8">
                  <c:v>3.488068618300014</c:v>
                </c:pt>
                <c:pt idx="9">
                  <c:v>3.4403920815304589</c:v>
                </c:pt>
                <c:pt idx="10">
                  <c:v>3.4313697831259158</c:v>
                </c:pt>
                <c:pt idx="11">
                  <c:v>3.4162016158955435</c:v>
                </c:pt>
                <c:pt idx="12">
                  <c:v>3.3816303074466272</c:v>
                </c:pt>
                <c:pt idx="13">
                  <c:v>3.3747722588391782</c:v>
                </c:pt>
                <c:pt idx="14">
                  <c:v>3.2232958297594201</c:v>
                </c:pt>
                <c:pt idx="15">
                  <c:v>3.2130763715248025</c:v>
                </c:pt>
                <c:pt idx="16">
                  <c:v>3.152590741363634</c:v>
                </c:pt>
                <c:pt idx="17">
                  <c:v>2.9885124028139316</c:v>
                </c:pt>
                <c:pt idx="18">
                  <c:v>2.962702105490322</c:v>
                </c:pt>
                <c:pt idx="19">
                  <c:v>2.5491933384829668</c:v>
                </c:pt>
              </c:numCache>
            </c:numRef>
          </c:val>
        </c:ser>
        <c:ser>
          <c:idx val="1"/>
          <c:order val="1"/>
          <c:tx>
            <c:strRef>
              <c:f>KA!$F$213</c:f>
              <c:strCache>
                <c:ptCount val="1"/>
                <c:pt idx="0">
                  <c:v>KA2009</c:v>
                </c:pt>
              </c:strCache>
            </c:strRef>
          </c:tx>
          <c:spPr>
            <a:solidFill>
              <a:srgbClr val="00B0F0"/>
            </a:solidFill>
          </c:spPr>
          <c:invertIfNegative val="0"/>
          <c:cat>
            <c:strRef>
              <c:f>KA!$D$214:$D$233</c:f>
              <c:strCache>
                <c:ptCount val="20"/>
                <c:pt idx="0">
                  <c:v>UK</c:v>
                </c:pt>
                <c:pt idx="1">
                  <c:v>VŠMU</c:v>
                </c:pt>
                <c:pt idx="2">
                  <c:v>UPJS</c:v>
                </c:pt>
                <c:pt idx="3">
                  <c:v>STU</c:v>
                </c:pt>
                <c:pt idx="4">
                  <c:v>TUKE</c:v>
                </c:pt>
                <c:pt idx="5">
                  <c:v>SPU</c:v>
                </c:pt>
                <c:pt idx="6">
                  <c:v>TUZVO</c:v>
                </c:pt>
                <c:pt idx="7">
                  <c:v>UVL </c:v>
                </c:pt>
                <c:pt idx="8">
                  <c:v>TvU</c:v>
                </c:pt>
                <c:pt idx="9">
                  <c:v>UCM</c:v>
                </c:pt>
                <c:pt idx="10">
                  <c:v>UKF</c:v>
                </c:pt>
                <c:pt idx="11">
                  <c:v>ŽU</c:v>
                </c:pt>
                <c:pt idx="12">
                  <c:v>VŠVU</c:v>
                </c:pt>
                <c:pt idx="13">
                  <c:v>UMB</c:v>
                </c:pt>
                <c:pt idx="14">
                  <c:v>EU</c:v>
                </c:pt>
                <c:pt idx="15">
                  <c:v>PU</c:v>
                </c:pt>
                <c:pt idx="16">
                  <c:v>AU</c:v>
                </c:pt>
                <c:pt idx="17">
                  <c:v>TUAD</c:v>
                </c:pt>
                <c:pt idx="18">
                  <c:v>KU</c:v>
                </c:pt>
                <c:pt idx="19">
                  <c:v>UJS</c:v>
                </c:pt>
              </c:strCache>
            </c:strRef>
          </c:cat>
          <c:val>
            <c:numRef>
              <c:f>KA!$F$214:$F$233</c:f>
              <c:numCache>
                <c:formatCode>0.00</c:formatCode>
                <c:ptCount val="20"/>
                <c:pt idx="0">
                  <c:v>3.5271375189240715</c:v>
                </c:pt>
                <c:pt idx="1">
                  <c:v>3.5283757653883336</c:v>
                </c:pt>
                <c:pt idx="2">
                  <c:v>3.6904585567162247</c:v>
                </c:pt>
                <c:pt idx="3">
                  <c:v>3.5896645792845328</c:v>
                </c:pt>
                <c:pt idx="4">
                  <c:v>3.5512152052557626</c:v>
                </c:pt>
                <c:pt idx="5">
                  <c:v>3.7697897762618786</c:v>
                </c:pt>
                <c:pt idx="6">
                  <c:v>2.9301884996191925</c:v>
                </c:pt>
                <c:pt idx="7">
                  <c:v>3.8574241617881855</c:v>
                </c:pt>
                <c:pt idx="8">
                  <c:v>2.4281955102508301</c:v>
                </c:pt>
                <c:pt idx="9">
                  <c:v>2.5904090909090911</c:v>
                </c:pt>
                <c:pt idx="10">
                  <c:v>3.1317263918207487</c:v>
                </c:pt>
                <c:pt idx="11">
                  <c:v>3.2203620132152402</c:v>
                </c:pt>
                <c:pt idx="12">
                  <c:v>3.4739708780380991</c:v>
                </c:pt>
                <c:pt idx="13">
                  <c:v>3.0797746486918776</c:v>
                </c:pt>
                <c:pt idx="14">
                  <c:v>3.2196615486712314</c:v>
                </c:pt>
                <c:pt idx="15">
                  <c:v>3.2031347855684134</c:v>
                </c:pt>
                <c:pt idx="16">
                  <c:v>3.0637001754825772</c:v>
                </c:pt>
                <c:pt idx="17">
                  <c:v>2.6729082393016821</c:v>
                </c:pt>
                <c:pt idx="18">
                  <c:v>2.6373465820572255</c:v>
                </c:pt>
                <c:pt idx="19">
                  <c:v>2.5049950787401576</c:v>
                </c:pt>
              </c:numCache>
            </c:numRef>
          </c:val>
        </c:ser>
        <c:dLbls>
          <c:showLegendKey val="0"/>
          <c:showVal val="0"/>
          <c:showCatName val="0"/>
          <c:showSerName val="0"/>
          <c:showPercent val="0"/>
          <c:showBubbleSize val="0"/>
        </c:dLbls>
        <c:gapWidth val="150"/>
        <c:shape val="cylinder"/>
        <c:axId val="134527232"/>
        <c:axId val="134529024"/>
        <c:axId val="0"/>
      </c:bar3DChart>
      <c:catAx>
        <c:axId val="134527232"/>
        <c:scaling>
          <c:orientation val="minMax"/>
        </c:scaling>
        <c:delete val="0"/>
        <c:axPos val="b"/>
        <c:majorTickMark val="out"/>
        <c:minorTickMark val="none"/>
        <c:tickLblPos val="nextTo"/>
        <c:crossAx val="134529024"/>
        <c:crosses val="autoZero"/>
        <c:auto val="1"/>
        <c:lblAlgn val="ctr"/>
        <c:lblOffset val="100"/>
        <c:noMultiLvlLbl val="0"/>
      </c:catAx>
      <c:valAx>
        <c:axId val="134529024"/>
        <c:scaling>
          <c:orientation val="minMax"/>
          <c:min val="2"/>
        </c:scaling>
        <c:delete val="0"/>
        <c:axPos val="l"/>
        <c:majorGridlines/>
        <c:numFmt formatCode="0.00" sourceLinked="1"/>
        <c:majorTickMark val="out"/>
        <c:minorTickMark val="none"/>
        <c:tickLblPos val="nextTo"/>
        <c:crossAx val="1345272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100"/>
              <a:t>a) Podiel verejných vysokých škôl</a:t>
            </a:r>
            <a:r>
              <a:rPr lang="sk-SK" sz="1100" baseline="0"/>
              <a:t> na domácich grantoch</a:t>
            </a:r>
            <a:endParaRPr lang="sk-SK" sz="11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'podiel granty'!$E$6:$E$13</c:f>
              <c:strCache>
                <c:ptCount val="8"/>
                <c:pt idx="0">
                  <c:v>UK</c:v>
                </c:pt>
                <c:pt idx="1">
                  <c:v>STU</c:v>
                </c:pt>
                <c:pt idx="2">
                  <c:v>TUKE</c:v>
                </c:pt>
                <c:pt idx="3">
                  <c:v>ŽU</c:v>
                </c:pt>
                <c:pt idx="4">
                  <c:v>UPJŠ</c:v>
                </c:pt>
                <c:pt idx="5">
                  <c:v>TUZVO</c:v>
                </c:pt>
                <c:pt idx="6">
                  <c:v>SPU</c:v>
                </c:pt>
                <c:pt idx="7">
                  <c:v>ost.</c:v>
                </c:pt>
              </c:strCache>
            </c:strRef>
          </c:cat>
          <c:val>
            <c:numRef>
              <c:f>'podiel granty'!$F$6:$F$13</c:f>
              <c:numCache>
                <c:formatCode>General</c:formatCode>
                <c:ptCount val="8"/>
                <c:pt idx="0">
                  <c:v>26.65</c:v>
                </c:pt>
                <c:pt idx="1">
                  <c:v>21.27</c:v>
                </c:pt>
                <c:pt idx="2">
                  <c:v>9.09</c:v>
                </c:pt>
                <c:pt idx="3">
                  <c:v>8.98</c:v>
                </c:pt>
                <c:pt idx="4">
                  <c:v>7.37</c:v>
                </c:pt>
                <c:pt idx="5">
                  <c:v>4.68</c:v>
                </c:pt>
                <c:pt idx="6">
                  <c:v>4.0999999999999996</c:v>
                </c:pt>
                <c:pt idx="7">
                  <c:v>17.87</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0223497544866485"/>
          <c:y val="5.7987278292038563E-2"/>
          <c:w val="0.88548186697792997"/>
          <c:h val="0.7535894068788539"/>
        </c:manualLayout>
      </c:layout>
      <c:lineChart>
        <c:grouping val="standard"/>
        <c:varyColors val="0"/>
        <c:ser>
          <c:idx val="1"/>
          <c:order val="0"/>
          <c:tx>
            <c:strRef>
              <c:f>Tab4a_štud_VŠ!$A$4</c:f>
              <c:strCache>
                <c:ptCount val="1"/>
                <c:pt idx="0">
                  <c:v>UK</c:v>
                </c:pt>
              </c:strCache>
            </c:strRef>
          </c:tx>
          <c:marker>
            <c:symbol val="none"/>
          </c:marker>
          <c:dLbls>
            <c:dLbl>
              <c:idx val="4"/>
              <c:layout>
                <c:manualLayout>
                  <c:x val="-2.3299112215546158E-2"/>
                  <c:y val="-3.208123966075746E-2"/>
                </c:manualLayout>
              </c:layout>
              <c:dLblPos val="r"/>
              <c:showLegendKey val="0"/>
              <c:showVal val="1"/>
              <c:showCatName val="0"/>
              <c:showSerName val="0"/>
              <c:showPercent val="0"/>
              <c:showBubbleSize val="0"/>
            </c:dLbl>
            <c:txPr>
              <a:bodyPr/>
              <a:lstStyle/>
              <a:p>
                <a:pPr>
                  <a:defRPr sz="1100">
                    <a:latin typeface="+mj-lt"/>
                  </a:defRPr>
                </a:pPr>
                <a:endParaRPr lang="sk-SK"/>
              </a:p>
            </c:txPr>
            <c:dLblPos val="t"/>
            <c:showLegendKey val="0"/>
            <c:showVal val="1"/>
            <c:showCatName val="0"/>
            <c:showSerName val="0"/>
            <c:showPercent val="0"/>
            <c:showBubbleSize val="0"/>
            <c:showLeaderLines val="0"/>
          </c:dLbls>
          <c:cat>
            <c:strRef>
              <c:f>Tab4a_štud_VŠ!$C$3:$G$3</c:f>
              <c:strCache>
                <c:ptCount val="5"/>
                <c:pt idx="0">
                  <c:v>2010/2011</c:v>
                </c:pt>
                <c:pt idx="1">
                  <c:v>2011/2012</c:v>
                </c:pt>
                <c:pt idx="2">
                  <c:v>2012/2013</c:v>
                </c:pt>
                <c:pt idx="3">
                  <c:v>2013/2014</c:v>
                </c:pt>
                <c:pt idx="4">
                  <c:v>2014/2015</c:v>
                </c:pt>
              </c:strCache>
            </c:strRef>
          </c:cat>
          <c:val>
            <c:numRef>
              <c:f>Tab4a_štud_VŠ!$C$4:$G$4</c:f>
              <c:numCache>
                <c:formatCode>#,##0</c:formatCode>
                <c:ptCount val="5"/>
                <c:pt idx="0">
                  <c:v>27561</c:v>
                </c:pt>
                <c:pt idx="1">
                  <c:v>27800</c:v>
                </c:pt>
                <c:pt idx="2">
                  <c:v>27592</c:v>
                </c:pt>
                <c:pt idx="3">
                  <c:v>27347</c:v>
                </c:pt>
                <c:pt idx="4">
                  <c:v>25110</c:v>
                </c:pt>
              </c:numCache>
            </c:numRef>
          </c:val>
          <c:smooth val="0"/>
        </c:ser>
        <c:ser>
          <c:idx val="2"/>
          <c:order val="1"/>
          <c:tx>
            <c:strRef>
              <c:f>Tab4a_štud_VŠ!$A$5</c:f>
              <c:strCache>
                <c:ptCount val="1"/>
                <c:pt idx="0">
                  <c:v>STU</c:v>
                </c:pt>
              </c:strCache>
            </c:strRef>
          </c:tx>
          <c:marker>
            <c:symbol val="none"/>
          </c:marker>
          <c:dLbls>
            <c:dLbl>
              <c:idx val="0"/>
              <c:layout>
                <c:manualLayout>
                  <c:x val="-4.5777439805017105E-2"/>
                  <c:y val="-3.1663065659460976E-2"/>
                </c:manualLayout>
              </c:layout>
              <c:dLblPos val="r"/>
              <c:showLegendKey val="0"/>
              <c:showVal val="1"/>
              <c:showCatName val="0"/>
              <c:showSerName val="0"/>
              <c:showPercent val="0"/>
              <c:showBubbleSize val="0"/>
            </c:dLbl>
            <c:dLbl>
              <c:idx val="1"/>
              <c:layout>
                <c:manualLayout>
                  <c:x val="-5.0633771444656202E-2"/>
                  <c:y val="-4.2272347878053861E-2"/>
                </c:manualLayout>
              </c:layout>
              <c:dLblPos val="r"/>
              <c:showLegendKey val="0"/>
              <c:showVal val="1"/>
              <c:showCatName val="0"/>
              <c:showSerName val="0"/>
              <c:showPercent val="0"/>
              <c:showBubbleSize val="0"/>
            </c:dLbl>
            <c:dLbl>
              <c:idx val="4"/>
              <c:layout>
                <c:manualLayout>
                  <c:x val="-1.9201397310027523E-2"/>
                  <c:y val="-2.9987841809012303E-2"/>
                </c:manualLayout>
              </c:layout>
              <c:dLblPos val="r"/>
              <c:showLegendKey val="0"/>
              <c:showVal val="1"/>
              <c:showCatName val="0"/>
              <c:showSerName val="0"/>
              <c:showPercent val="0"/>
              <c:showBubbleSize val="0"/>
            </c:dLbl>
            <c:txPr>
              <a:bodyPr/>
              <a:lstStyle/>
              <a:p>
                <a:pPr>
                  <a:defRPr sz="1100">
                    <a:latin typeface="+mj-lt"/>
                  </a:defRPr>
                </a:pPr>
                <a:endParaRPr lang="sk-SK"/>
              </a:p>
            </c:txPr>
            <c:dLblPos val="t"/>
            <c:showLegendKey val="0"/>
            <c:showVal val="1"/>
            <c:showCatName val="0"/>
            <c:showSerName val="0"/>
            <c:showPercent val="0"/>
            <c:showBubbleSize val="0"/>
            <c:showLeaderLines val="0"/>
          </c:dLbls>
          <c:cat>
            <c:strRef>
              <c:f>Tab4a_štud_VŠ!$C$3:$G$3</c:f>
              <c:strCache>
                <c:ptCount val="5"/>
                <c:pt idx="0">
                  <c:v>2010/2011</c:v>
                </c:pt>
                <c:pt idx="1">
                  <c:v>2011/2012</c:v>
                </c:pt>
                <c:pt idx="2">
                  <c:v>2012/2013</c:v>
                </c:pt>
                <c:pt idx="3">
                  <c:v>2013/2014</c:v>
                </c:pt>
                <c:pt idx="4">
                  <c:v>2014/2015</c:v>
                </c:pt>
              </c:strCache>
            </c:strRef>
          </c:cat>
          <c:val>
            <c:numRef>
              <c:f>Tab4a_štud_VŠ!$C$5:$G$5</c:f>
              <c:numCache>
                <c:formatCode>#,##0</c:formatCode>
                <c:ptCount val="5"/>
                <c:pt idx="0">
                  <c:v>18142</c:v>
                </c:pt>
                <c:pt idx="1">
                  <c:v>17736</c:v>
                </c:pt>
                <c:pt idx="2">
                  <c:v>17059</c:v>
                </c:pt>
                <c:pt idx="3">
                  <c:v>16402</c:v>
                </c:pt>
                <c:pt idx="4">
                  <c:v>15403</c:v>
                </c:pt>
              </c:numCache>
            </c:numRef>
          </c:val>
          <c:smooth val="0"/>
        </c:ser>
        <c:ser>
          <c:idx val="3"/>
          <c:order val="2"/>
          <c:tx>
            <c:strRef>
              <c:f>Tab4a_štud_VŠ!$A$6</c:f>
              <c:strCache>
                <c:ptCount val="1"/>
                <c:pt idx="0">
                  <c:v>TU KE</c:v>
                </c:pt>
              </c:strCache>
            </c:strRef>
          </c:tx>
          <c:marker>
            <c:symbol val="none"/>
          </c:marker>
          <c:dLbls>
            <c:dLbl>
              <c:idx val="0"/>
              <c:layout>
                <c:manualLayout>
                  <c:x val="-4.4093730765201476E-2"/>
                  <c:y val="-1.7427576445697035E-2"/>
                </c:manualLayout>
              </c:layout>
              <c:dLblPos val="r"/>
              <c:showLegendKey val="0"/>
              <c:showVal val="1"/>
              <c:showCatName val="0"/>
              <c:showSerName val="0"/>
              <c:showPercent val="0"/>
              <c:showBubbleSize val="0"/>
            </c:dLbl>
            <c:dLbl>
              <c:idx val="4"/>
              <c:layout>
                <c:manualLayout>
                  <c:x val="-9.6327490235660618E-3"/>
                  <c:y val="-4.2561910181034411E-2"/>
                </c:manualLayout>
              </c:layout>
              <c:dLblPos val="r"/>
              <c:showLegendKey val="0"/>
              <c:showVal val="1"/>
              <c:showCatName val="0"/>
              <c:showSerName val="0"/>
              <c:showPercent val="0"/>
              <c:showBubbleSize val="0"/>
            </c:dLbl>
            <c:txPr>
              <a:bodyPr/>
              <a:lstStyle/>
              <a:p>
                <a:pPr>
                  <a:defRPr sz="1100">
                    <a:latin typeface="+mj-lt"/>
                  </a:defRPr>
                </a:pPr>
                <a:endParaRPr lang="sk-SK"/>
              </a:p>
            </c:txPr>
            <c:dLblPos val="t"/>
            <c:showLegendKey val="0"/>
            <c:showVal val="1"/>
            <c:showCatName val="0"/>
            <c:showSerName val="0"/>
            <c:showPercent val="0"/>
            <c:showBubbleSize val="0"/>
            <c:showLeaderLines val="0"/>
          </c:dLbls>
          <c:cat>
            <c:strRef>
              <c:f>Tab4a_štud_VŠ!$C$3:$G$3</c:f>
              <c:strCache>
                <c:ptCount val="5"/>
                <c:pt idx="0">
                  <c:v>2010/2011</c:v>
                </c:pt>
                <c:pt idx="1">
                  <c:v>2011/2012</c:v>
                </c:pt>
                <c:pt idx="2">
                  <c:v>2012/2013</c:v>
                </c:pt>
                <c:pt idx="3">
                  <c:v>2013/2014</c:v>
                </c:pt>
                <c:pt idx="4">
                  <c:v>2014/2015</c:v>
                </c:pt>
              </c:strCache>
            </c:strRef>
          </c:cat>
          <c:val>
            <c:numRef>
              <c:f>Tab4a_štud_VŠ!$C$6:$G$6</c:f>
              <c:numCache>
                <c:formatCode>#,##0</c:formatCode>
                <c:ptCount val="5"/>
                <c:pt idx="0">
                  <c:v>16630</c:v>
                </c:pt>
                <c:pt idx="1">
                  <c:v>15324</c:v>
                </c:pt>
                <c:pt idx="2">
                  <c:v>13141</c:v>
                </c:pt>
                <c:pt idx="3">
                  <c:v>11703</c:v>
                </c:pt>
                <c:pt idx="4">
                  <c:v>9713</c:v>
                </c:pt>
              </c:numCache>
            </c:numRef>
          </c:val>
          <c:smooth val="0"/>
        </c:ser>
        <c:ser>
          <c:idx val="4"/>
          <c:order val="3"/>
          <c:tx>
            <c:strRef>
              <c:f>Tab4a_štud_VŠ!$A$7</c:f>
              <c:strCache>
                <c:ptCount val="1"/>
                <c:pt idx="0">
                  <c:v>ŽU </c:v>
                </c:pt>
              </c:strCache>
            </c:strRef>
          </c:tx>
          <c:marker>
            <c:symbol val="none"/>
          </c:marker>
          <c:dLbls>
            <c:dLbl>
              <c:idx val="0"/>
              <c:layout>
                <c:manualLayout>
                  <c:x val="-4.4638622588443672E-2"/>
                  <c:y val="7.213051064938833E-2"/>
                </c:manualLayout>
              </c:layout>
              <c:dLblPos val="r"/>
              <c:showLegendKey val="0"/>
              <c:showVal val="1"/>
              <c:showCatName val="0"/>
              <c:showSerName val="0"/>
              <c:showPercent val="0"/>
              <c:showBubbleSize val="0"/>
            </c:dLbl>
            <c:dLbl>
              <c:idx val="1"/>
              <c:layout>
                <c:manualLayout>
                  <c:x val="-4.3120088066300119E-2"/>
                  <c:y val="6.6791657622504927E-2"/>
                </c:manualLayout>
              </c:layout>
              <c:dLblPos val="r"/>
              <c:showLegendKey val="0"/>
              <c:showVal val="1"/>
              <c:showCatName val="0"/>
              <c:showSerName val="0"/>
              <c:showPercent val="0"/>
              <c:showBubbleSize val="0"/>
            </c:dLbl>
            <c:dLbl>
              <c:idx val="2"/>
              <c:layout>
                <c:manualLayout>
                  <c:x val="-3.8262821350896425E-2"/>
                  <c:y val="8.0420462847597102E-2"/>
                </c:manualLayout>
              </c:layout>
              <c:dLblPos val="r"/>
              <c:showLegendKey val="0"/>
              <c:showVal val="1"/>
              <c:showCatName val="0"/>
              <c:showSerName val="0"/>
              <c:showPercent val="0"/>
              <c:showBubbleSize val="0"/>
            </c:dLbl>
            <c:dLbl>
              <c:idx val="3"/>
              <c:layout>
                <c:manualLayout>
                  <c:x val="-6.5646486171188734E-2"/>
                  <c:y val="6.8298530626637405E-2"/>
                </c:manualLayout>
              </c:layout>
              <c:dLblPos val="r"/>
              <c:showLegendKey val="0"/>
              <c:showVal val="1"/>
              <c:showCatName val="0"/>
              <c:showSerName val="0"/>
              <c:showPercent val="0"/>
              <c:showBubbleSize val="0"/>
            </c:dLbl>
            <c:dLbl>
              <c:idx val="4"/>
              <c:layout>
                <c:manualLayout>
                  <c:x val="-9.2293562812674236E-3"/>
                  <c:y val="4.2204436580971151E-2"/>
                </c:manualLayout>
              </c:layout>
              <c:dLblPos val="r"/>
              <c:showLegendKey val="0"/>
              <c:showVal val="1"/>
              <c:showCatName val="0"/>
              <c:showSerName val="0"/>
              <c:showPercent val="0"/>
              <c:showBubbleSize val="0"/>
            </c:dLbl>
            <c:txPr>
              <a:bodyPr/>
              <a:lstStyle/>
              <a:p>
                <a:pPr>
                  <a:defRPr sz="1100" baseline="0">
                    <a:latin typeface="+mj-lt"/>
                  </a:defRPr>
                </a:pPr>
                <a:endParaRPr lang="sk-SK"/>
              </a:p>
            </c:txPr>
            <c:dLblPos val="t"/>
            <c:showLegendKey val="0"/>
            <c:showVal val="1"/>
            <c:showCatName val="0"/>
            <c:showSerName val="0"/>
            <c:showPercent val="0"/>
            <c:showBubbleSize val="0"/>
            <c:showLeaderLines val="0"/>
          </c:dLbls>
          <c:cat>
            <c:strRef>
              <c:f>Tab4a_štud_VŠ!$C$3:$G$3</c:f>
              <c:strCache>
                <c:ptCount val="5"/>
                <c:pt idx="0">
                  <c:v>2010/2011</c:v>
                </c:pt>
                <c:pt idx="1">
                  <c:v>2011/2012</c:v>
                </c:pt>
                <c:pt idx="2">
                  <c:v>2012/2013</c:v>
                </c:pt>
                <c:pt idx="3">
                  <c:v>2013/2014</c:v>
                </c:pt>
                <c:pt idx="4">
                  <c:v>2014/2015</c:v>
                </c:pt>
              </c:strCache>
            </c:strRef>
          </c:cat>
          <c:val>
            <c:numRef>
              <c:f>Tab4a_štud_VŠ!$C$7:$G$7</c:f>
              <c:numCache>
                <c:formatCode>#,##0</c:formatCode>
                <c:ptCount val="5"/>
                <c:pt idx="0">
                  <c:v>11761</c:v>
                </c:pt>
                <c:pt idx="1">
                  <c:v>11448</c:v>
                </c:pt>
                <c:pt idx="2">
                  <c:v>10970</c:v>
                </c:pt>
                <c:pt idx="3">
                  <c:v>10250</c:v>
                </c:pt>
                <c:pt idx="4">
                  <c:v>8792</c:v>
                </c:pt>
              </c:numCache>
            </c:numRef>
          </c:val>
          <c:smooth val="0"/>
        </c:ser>
        <c:ser>
          <c:idx val="5"/>
          <c:order val="4"/>
          <c:tx>
            <c:strRef>
              <c:f>Tab4a_štud_VŠ!$A$8</c:f>
              <c:strCache>
                <c:ptCount val="1"/>
                <c:pt idx="0">
                  <c:v>SPU</c:v>
                </c:pt>
              </c:strCache>
            </c:strRef>
          </c:tx>
          <c:marker>
            <c:symbol val="none"/>
          </c:marker>
          <c:dLbls>
            <c:dLbl>
              <c:idx val="0"/>
              <c:layout>
                <c:manualLayout>
                  <c:x val="-4.5087288122261961E-2"/>
                  <c:y val="-7.742938570515881E-2"/>
                </c:manualLayout>
              </c:layout>
              <c:dLblPos val="r"/>
              <c:showLegendKey val="0"/>
              <c:showVal val="1"/>
              <c:showCatName val="0"/>
              <c:showSerName val="0"/>
              <c:showPercent val="0"/>
              <c:showBubbleSize val="0"/>
            </c:dLbl>
            <c:dLbl>
              <c:idx val="1"/>
              <c:layout>
                <c:manualLayout>
                  <c:x val="-3.931786580430522E-2"/>
                  <c:y val="-8.854391167367287E-2"/>
                </c:manualLayout>
              </c:layout>
              <c:dLblPos val="r"/>
              <c:showLegendKey val="0"/>
              <c:showVal val="1"/>
              <c:showCatName val="0"/>
              <c:showSerName val="0"/>
              <c:showPercent val="0"/>
              <c:showBubbleSize val="0"/>
            </c:dLbl>
            <c:dLbl>
              <c:idx val="2"/>
              <c:layout>
                <c:manualLayout>
                  <c:x val="-3.9317679565213669E-2"/>
                  <c:y val="-7.5659549275809271E-2"/>
                </c:manualLayout>
              </c:layout>
              <c:dLblPos val="r"/>
              <c:showLegendKey val="0"/>
              <c:showVal val="1"/>
              <c:showCatName val="0"/>
              <c:showSerName val="0"/>
              <c:showPercent val="0"/>
              <c:showBubbleSize val="0"/>
            </c:dLbl>
            <c:dLbl>
              <c:idx val="3"/>
              <c:layout>
                <c:manualLayout>
                  <c:x val="-5.7606730829758472E-2"/>
                  <c:y val="-6.100650217908795E-2"/>
                </c:manualLayout>
              </c:layout>
              <c:dLblPos val="r"/>
              <c:showLegendKey val="0"/>
              <c:showVal val="1"/>
              <c:showCatName val="0"/>
              <c:showSerName val="0"/>
              <c:showPercent val="0"/>
              <c:showBubbleSize val="0"/>
            </c:dLbl>
            <c:dLbl>
              <c:idx val="4"/>
              <c:layout>
                <c:manualLayout>
                  <c:x val="-8.2194138116653669E-3"/>
                  <c:y val="-2.5801046105521835E-2"/>
                </c:manualLayout>
              </c:layout>
              <c:dLblPos val="r"/>
              <c:showLegendKey val="0"/>
              <c:showVal val="1"/>
              <c:showCatName val="0"/>
              <c:showSerName val="0"/>
              <c:showPercent val="0"/>
              <c:showBubbleSize val="0"/>
            </c:dLbl>
            <c:txPr>
              <a:bodyPr/>
              <a:lstStyle/>
              <a:p>
                <a:pPr>
                  <a:defRPr sz="1100">
                    <a:latin typeface="+mj-lt"/>
                  </a:defRPr>
                </a:pPr>
                <a:endParaRPr lang="sk-SK"/>
              </a:p>
            </c:txPr>
            <c:dLblPos val="t"/>
            <c:showLegendKey val="0"/>
            <c:showVal val="1"/>
            <c:showCatName val="0"/>
            <c:showSerName val="0"/>
            <c:showPercent val="0"/>
            <c:showBubbleSize val="0"/>
            <c:showLeaderLines val="0"/>
          </c:dLbls>
          <c:cat>
            <c:strRef>
              <c:f>Tab4a_štud_VŠ!$C$3:$G$3</c:f>
              <c:strCache>
                <c:ptCount val="5"/>
                <c:pt idx="0">
                  <c:v>2010/2011</c:v>
                </c:pt>
                <c:pt idx="1">
                  <c:v>2011/2012</c:v>
                </c:pt>
                <c:pt idx="2">
                  <c:v>2012/2013</c:v>
                </c:pt>
                <c:pt idx="3">
                  <c:v>2013/2014</c:v>
                </c:pt>
                <c:pt idx="4">
                  <c:v>2014/2015</c:v>
                </c:pt>
              </c:strCache>
            </c:strRef>
          </c:cat>
          <c:val>
            <c:numRef>
              <c:f>Tab4a_štud_VŠ!$C$8:$G$8</c:f>
              <c:numCache>
                <c:formatCode>#,##0</c:formatCode>
                <c:ptCount val="5"/>
                <c:pt idx="0">
                  <c:v>9970</c:v>
                </c:pt>
                <c:pt idx="1">
                  <c:v>9825</c:v>
                </c:pt>
                <c:pt idx="2">
                  <c:v>9422</c:v>
                </c:pt>
                <c:pt idx="3">
                  <c:v>8997</c:v>
                </c:pt>
                <c:pt idx="4">
                  <c:v>8248</c:v>
                </c:pt>
              </c:numCache>
            </c:numRef>
          </c:val>
          <c:smooth val="0"/>
        </c:ser>
        <c:ser>
          <c:idx val="0"/>
          <c:order val="5"/>
          <c:tx>
            <c:strRef>
              <c:f>Tab4a_štud_VŠ!$A$9</c:f>
              <c:strCache>
                <c:ptCount val="1"/>
                <c:pt idx="0">
                  <c:v>TU ZV</c:v>
                </c:pt>
              </c:strCache>
            </c:strRef>
          </c:tx>
          <c:marker>
            <c:symbol val="none"/>
          </c:marker>
          <c:dLbls>
            <c:dLbl>
              <c:idx val="0"/>
              <c:layout>
                <c:manualLayout>
                  <c:x val="-4.4403997792317892E-2"/>
                  <c:y val="-4.4636942361760149E-2"/>
                </c:manualLayout>
              </c:layout>
              <c:dLblPos val="r"/>
              <c:showLegendKey val="0"/>
              <c:showVal val="1"/>
              <c:showCatName val="0"/>
              <c:showSerName val="0"/>
              <c:showPercent val="0"/>
              <c:showBubbleSize val="0"/>
            </c:dLbl>
            <c:dLbl>
              <c:idx val="1"/>
              <c:layout>
                <c:manualLayout>
                  <c:x val="-3.2859094110710155E-2"/>
                  <c:y val="-5.1353475720461138E-2"/>
                </c:manualLayout>
              </c:layout>
              <c:dLblPos val="r"/>
              <c:showLegendKey val="0"/>
              <c:showVal val="1"/>
              <c:showCatName val="0"/>
              <c:showSerName val="0"/>
              <c:showPercent val="0"/>
              <c:showBubbleSize val="0"/>
            </c:dLbl>
            <c:dLbl>
              <c:idx val="2"/>
              <c:layout>
                <c:manualLayout>
                  <c:x val="-3.3777101088478319E-2"/>
                  <c:y val="-3.8127708603643909E-2"/>
                </c:manualLayout>
              </c:layout>
              <c:dLblPos val="r"/>
              <c:showLegendKey val="0"/>
              <c:showVal val="1"/>
              <c:showCatName val="0"/>
              <c:showSerName val="0"/>
              <c:showPercent val="0"/>
              <c:showBubbleSize val="0"/>
            </c:dLbl>
            <c:dLbl>
              <c:idx val="3"/>
              <c:layout>
                <c:manualLayout>
                  <c:x val="-5.4584442852721099E-2"/>
                  <c:y val="-3.4873072770510875E-2"/>
                </c:manualLayout>
              </c:layout>
              <c:dLblPos val="r"/>
              <c:showLegendKey val="0"/>
              <c:showVal val="1"/>
              <c:showCatName val="0"/>
              <c:showSerName val="0"/>
              <c:showPercent val="0"/>
              <c:showBubbleSize val="0"/>
            </c:dLbl>
            <c:dLbl>
              <c:idx val="4"/>
              <c:layout>
                <c:manualLayout>
                  <c:x val="-1.1999636475685447E-2"/>
                  <c:y val="-3.1374923928889013E-2"/>
                </c:manualLayout>
              </c:layout>
              <c:dLblPos val="r"/>
              <c:showLegendKey val="0"/>
              <c:showVal val="1"/>
              <c:showCatName val="0"/>
              <c:showSerName val="0"/>
              <c:showPercent val="0"/>
              <c:showBubbleSize val="0"/>
            </c:dLbl>
            <c:txPr>
              <a:bodyPr/>
              <a:lstStyle/>
              <a:p>
                <a:pPr>
                  <a:defRPr sz="1100">
                    <a:latin typeface="+mj-lt"/>
                  </a:defRPr>
                </a:pPr>
                <a:endParaRPr lang="sk-SK"/>
              </a:p>
            </c:txPr>
            <c:dLblPos val="t"/>
            <c:showLegendKey val="0"/>
            <c:showVal val="1"/>
            <c:showCatName val="0"/>
            <c:showSerName val="0"/>
            <c:showPercent val="0"/>
            <c:showBubbleSize val="0"/>
            <c:showLeaderLines val="0"/>
          </c:dLbls>
          <c:cat>
            <c:strRef>
              <c:f>Tab4a_štud_VŠ!$C$3:$G$3</c:f>
              <c:strCache>
                <c:ptCount val="5"/>
                <c:pt idx="0">
                  <c:v>2010/2011</c:v>
                </c:pt>
                <c:pt idx="1">
                  <c:v>2011/2012</c:v>
                </c:pt>
                <c:pt idx="2">
                  <c:v>2012/2013</c:v>
                </c:pt>
                <c:pt idx="3">
                  <c:v>2013/2014</c:v>
                </c:pt>
                <c:pt idx="4">
                  <c:v>2014/2015</c:v>
                </c:pt>
              </c:strCache>
            </c:strRef>
          </c:cat>
          <c:val>
            <c:numRef>
              <c:f>Tab4a_štud_VŠ!$C$9:$G$9</c:f>
              <c:numCache>
                <c:formatCode>#,##0</c:formatCode>
                <c:ptCount val="5"/>
                <c:pt idx="0">
                  <c:v>5232</c:v>
                </c:pt>
                <c:pt idx="1">
                  <c:v>4878</c:v>
                </c:pt>
                <c:pt idx="2">
                  <c:v>4496</c:v>
                </c:pt>
                <c:pt idx="3">
                  <c:v>4209</c:v>
                </c:pt>
                <c:pt idx="4">
                  <c:v>3481</c:v>
                </c:pt>
              </c:numCache>
            </c:numRef>
          </c:val>
          <c:smooth val="0"/>
        </c:ser>
        <c:dLbls>
          <c:dLblPos val="t"/>
          <c:showLegendKey val="0"/>
          <c:showVal val="1"/>
          <c:showCatName val="0"/>
          <c:showSerName val="0"/>
          <c:showPercent val="0"/>
          <c:showBubbleSize val="0"/>
        </c:dLbls>
        <c:marker val="1"/>
        <c:smooth val="0"/>
        <c:axId val="68408832"/>
        <c:axId val="68410368"/>
      </c:lineChart>
      <c:catAx>
        <c:axId val="68408832"/>
        <c:scaling>
          <c:orientation val="minMax"/>
        </c:scaling>
        <c:delete val="0"/>
        <c:axPos val="b"/>
        <c:majorTickMark val="none"/>
        <c:minorTickMark val="none"/>
        <c:tickLblPos val="nextTo"/>
        <c:txPr>
          <a:bodyPr/>
          <a:lstStyle/>
          <a:p>
            <a:pPr>
              <a:defRPr sz="1100">
                <a:latin typeface="+mj-lt"/>
              </a:defRPr>
            </a:pPr>
            <a:endParaRPr lang="sk-SK"/>
          </a:p>
        </c:txPr>
        <c:crossAx val="68410368"/>
        <c:crosses val="autoZero"/>
        <c:auto val="1"/>
        <c:lblAlgn val="ctr"/>
        <c:lblOffset val="100"/>
        <c:noMultiLvlLbl val="0"/>
      </c:catAx>
      <c:valAx>
        <c:axId val="68410368"/>
        <c:scaling>
          <c:orientation val="minMax"/>
          <c:max val="30000"/>
          <c:min val="3000"/>
        </c:scaling>
        <c:delete val="0"/>
        <c:axPos val="l"/>
        <c:majorGridlines/>
        <c:numFmt formatCode="#,##0" sourceLinked="1"/>
        <c:majorTickMark val="none"/>
        <c:minorTickMark val="none"/>
        <c:tickLblPos val="nextTo"/>
        <c:txPr>
          <a:bodyPr/>
          <a:lstStyle/>
          <a:p>
            <a:pPr>
              <a:defRPr sz="1100">
                <a:latin typeface="+mj-lt"/>
              </a:defRPr>
            </a:pPr>
            <a:endParaRPr lang="sk-SK"/>
          </a:p>
        </c:txPr>
        <c:crossAx val="68408832"/>
        <c:crosses val="autoZero"/>
        <c:crossBetween val="between"/>
      </c:valAx>
    </c:plotArea>
    <c:legend>
      <c:legendPos val="b"/>
      <c:layout>
        <c:manualLayout>
          <c:xMode val="edge"/>
          <c:yMode val="edge"/>
          <c:x val="7.3789889307314852E-2"/>
          <c:y val="0.91991226309175955"/>
          <c:w val="0.89440313688197015"/>
          <c:h val="5.0298491455468948E-2"/>
        </c:manualLayout>
      </c:layout>
      <c:overlay val="0"/>
      <c:txPr>
        <a:bodyPr/>
        <a:lstStyle/>
        <a:p>
          <a:pPr>
            <a:defRPr sz="1100">
              <a:latin typeface="+mj-lt"/>
            </a:defRPr>
          </a:pPr>
          <a:endParaRPr lang="sk-SK"/>
        </a:p>
      </c:txPr>
    </c:legend>
    <c:plotVisOnly val="1"/>
    <c:dispBlanksAs val="gap"/>
    <c:showDLblsOverMax val="0"/>
  </c:chart>
  <c:spPr>
    <a:ln>
      <a:noFill/>
    </a:ln>
  </c:spPr>
  <c:txPr>
    <a:bodyPr/>
    <a:lstStyle/>
    <a:p>
      <a:pPr>
        <a:defRPr sz="1800"/>
      </a:pPr>
      <a:endParaRPr lang="sk-SK"/>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100"/>
              <a:t>b) Podiel verejných vysokých škôl na výskumných zahraničných grantoch</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1944444444444445E-2"/>
          <c:y val="0.33398403324584425"/>
          <c:w val="0.81388888888888888"/>
          <c:h val="0.55865230387868181"/>
        </c:manualLayout>
      </c:layout>
      <c:pie3DChart>
        <c:varyColors val="1"/>
        <c:ser>
          <c:idx val="0"/>
          <c:order val="0"/>
          <c:explosion val="25"/>
          <c:dLbls>
            <c:showLegendKey val="0"/>
            <c:showVal val="0"/>
            <c:showCatName val="1"/>
            <c:showSerName val="0"/>
            <c:showPercent val="1"/>
            <c:showBubbleSize val="0"/>
            <c:showLeaderLines val="1"/>
          </c:dLbls>
          <c:cat>
            <c:strRef>
              <c:f>'podiel granty'!$F$32:$F$37</c:f>
              <c:strCache>
                <c:ptCount val="6"/>
                <c:pt idx="0">
                  <c:v>UK</c:v>
                </c:pt>
                <c:pt idx="1">
                  <c:v>TUKE</c:v>
                </c:pt>
                <c:pt idx="2">
                  <c:v>UPJŠ</c:v>
                </c:pt>
                <c:pt idx="3">
                  <c:v>STU</c:v>
                </c:pt>
                <c:pt idx="4">
                  <c:v>ŽU</c:v>
                </c:pt>
                <c:pt idx="5">
                  <c:v>ost.</c:v>
                </c:pt>
              </c:strCache>
            </c:strRef>
          </c:cat>
          <c:val>
            <c:numRef>
              <c:f>'podiel granty'!$G$32:$G$37</c:f>
              <c:numCache>
                <c:formatCode>General</c:formatCode>
                <c:ptCount val="6"/>
                <c:pt idx="0">
                  <c:v>22.42</c:v>
                </c:pt>
                <c:pt idx="1">
                  <c:v>17.43</c:v>
                </c:pt>
                <c:pt idx="2">
                  <c:v>17.29</c:v>
                </c:pt>
                <c:pt idx="3">
                  <c:v>15.39</c:v>
                </c:pt>
                <c:pt idx="4">
                  <c:v>13.08</c:v>
                </c:pt>
                <c:pt idx="5">
                  <c:v>14.39</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100"/>
              <a:t>c) </a:t>
            </a:r>
            <a:r>
              <a:rPr lang="en-US" sz="1100"/>
              <a:t>Podiel verejných vysokých</a:t>
            </a:r>
            <a:r>
              <a:rPr lang="sk-SK" sz="1100"/>
              <a:t> škôl</a:t>
            </a:r>
            <a:r>
              <a:rPr lang="en-US" sz="1100"/>
              <a:t> </a:t>
            </a:r>
            <a:r>
              <a:rPr lang="sk-SK" sz="1100"/>
              <a:t>na</a:t>
            </a:r>
            <a:r>
              <a:rPr lang="sk-SK" sz="1100" baseline="0"/>
              <a:t> výskumných projektoch od iných subjektov</a:t>
            </a:r>
            <a:endParaRPr lang="en-US" sz="1100"/>
          </a:p>
        </c:rich>
      </c:tx>
      <c:layout>
        <c:manualLayout>
          <c:xMode val="edge"/>
          <c:yMode val="edge"/>
          <c:x val="0.11135411198600176"/>
          <c:y val="3.240740740740740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'podiel granty'!$E$56:$E$61</c:f>
              <c:strCache>
                <c:ptCount val="6"/>
                <c:pt idx="0">
                  <c:v>STU</c:v>
                </c:pt>
                <c:pt idx="1">
                  <c:v>ŽU</c:v>
                </c:pt>
                <c:pt idx="2">
                  <c:v>TUKE</c:v>
                </c:pt>
                <c:pt idx="3">
                  <c:v>TUAD</c:v>
                </c:pt>
                <c:pt idx="4">
                  <c:v>UK</c:v>
                </c:pt>
                <c:pt idx="5">
                  <c:v>ost.</c:v>
                </c:pt>
              </c:strCache>
            </c:strRef>
          </c:cat>
          <c:val>
            <c:numRef>
              <c:f>'podiel granty'!$F$56:$F$61</c:f>
              <c:numCache>
                <c:formatCode>General</c:formatCode>
                <c:ptCount val="6"/>
                <c:pt idx="0">
                  <c:v>38.17</c:v>
                </c:pt>
                <c:pt idx="1">
                  <c:v>30.99</c:v>
                </c:pt>
                <c:pt idx="2">
                  <c:v>16.100000000000001</c:v>
                </c:pt>
                <c:pt idx="3">
                  <c:v>5</c:v>
                </c:pt>
                <c:pt idx="4">
                  <c:v>2.81</c:v>
                </c:pt>
                <c:pt idx="5">
                  <c:v>6.93</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'podiel publ'!$G$17:$G$22</c:f>
              <c:strCache>
                <c:ptCount val="6"/>
                <c:pt idx="0">
                  <c:v>UK</c:v>
                </c:pt>
                <c:pt idx="1">
                  <c:v>UPJŠ</c:v>
                </c:pt>
                <c:pt idx="2">
                  <c:v>STU</c:v>
                </c:pt>
                <c:pt idx="3">
                  <c:v>TUKE</c:v>
                </c:pt>
                <c:pt idx="4">
                  <c:v>ŽU</c:v>
                </c:pt>
                <c:pt idx="5">
                  <c:v>ost.</c:v>
                </c:pt>
              </c:strCache>
            </c:strRef>
          </c:cat>
          <c:val>
            <c:numRef>
              <c:f>'podiel publ'!$H$17:$H$22</c:f>
              <c:numCache>
                <c:formatCode>General</c:formatCode>
                <c:ptCount val="6"/>
                <c:pt idx="0">
                  <c:v>23.852</c:v>
                </c:pt>
                <c:pt idx="1">
                  <c:v>8.2200000000000006</c:v>
                </c:pt>
                <c:pt idx="2">
                  <c:v>16.251999999999999</c:v>
                </c:pt>
                <c:pt idx="3">
                  <c:v>10.231999999999999</c:v>
                </c:pt>
                <c:pt idx="4">
                  <c:v>7.6529999999999996</c:v>
                </c:pt>
                <c:pt idx="5">
                  <c:v>33.790999999999997</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100"/>
              <a:t>a) Domáce výskumné granty</a:t>
            </a:r>
          </a:p>
          <a:p>
            <a:pPr>
              <a:defRPr/>
            </a:pPr>
            <a:endParaRPr lang="sk-SK"/>
          </a:p>
        </c:rich>
      </c:tx>
      <c:overlay val="0"/>
    </c:title>
    <c:autoTitleDeleted val="0"/>
    <c:plotArea>
      <c:layout/>
      <c:lineChart>
        <c:grouping val="standard"/>
        <c:varyColors val="0"/>
        <c:ser>
          <c:idx val="0"/>
          <c:order val="0"/>
          <c:tx>
            <c:strRef>
              <c:f>[Zošit1]Hárok1!$B$29</c:f>
              <c:strCache>
                <c:ptCount val="1"/>
                <c:pt idx="0">
                  <c:v>UK </c:v>
                </c:pt>
              </c:strCache>
            </c:strRef>
          </c:tx>
          <c:cat>
            <c:numRef>
              <c:f>[Zošit1]Hárok1!$C$28:$H$28</c:f>
              <c:numCache>
                <c:formatCode>General</c:formatCode>
                <c:ptCount val="6"/>
                <c:pt idx="0">
                  <c:v>2009</c:v>
                </c:pt>
                <c:pt idx="1">
                  <c:v>2010</c:v>
                </c:pt>
                <c:pt idx="2">
                  <c:v>2011</c:v>
                </c:pt>
                <c:pt idx="3">
                  <c:v>2012</c:v>
                </c:pt>
                <c:pt idx="4">
                  <c:v>2013</c:v>
                </c:pt>
                <c:pt idx="5">
                  <c:v>2014</c:v>
                </c:pt>
              </c:numCache>
            </c:numRef>
          </c:cat>
          <c:val>
            <c:numRef>
              <c:f>[Zošit1]Hárok1!$C$29:$H$29</c:f>
              <c:numCache>
                <c:formatCode>General</c:formatCode>
                <c:ptCount val="6"/>
                <c:pt idx="0">
                  <c:v>7270106.75</c:v>
                </c:pt>
                <c:pt idx="1">
                  <c:v>5013813.830000001</c:v>
                </c:pt>
                <c:pt idx="2">
                  <c:v>4665558.4800000004</c:v>
                </c:pt>
                <c:pt idx="3">
                  <c:v>5916164.3000000007</c:v>
                </c:pt>
                <c:pt idx="4">
                  <c:v>6328316.29</c:v>
                </c:pt>
                <c:pt idx="5">
                  <c:v>7139989</c:v>
                </c:pt>
              </c:numCache>
            </c:numRef>
          </c:val>
          <c:smooth val="0"/>
        </c:ser>
        <c:ser>
          <c:idx val="1"/>
          <c:order val="1"/>
          <c:tx>
            <c:strRef>
              <c:f>[Zošit1]Hárok1!$B$30</c:f>
              <c:strCache>
                <c:ptCount val="1"/>
                <c:pt idx="0">
                  <c:v>UPJŠ</c:v>
                </c:pt>
              </c:strCache>
            </c:strRef>
          </c:tx>
          <c:cat>
            <c:numRef>
              <c:f>[Zošit1]Hárok1!$C$28:$H$28</c:f>
              <c:numCache>
                <c:formatCode>General</c:formatCode>
                <c:ptCount val="6"/>
                <c:pt idx="0">
                  <c:v>2009</c:v>
                </c:pt>
                <c:pt idx="1">
                  <c:v>2010</c:v>
                </c:pt>
                <c:pt idx="2">
                  <c:v>2011</c:v>
                </c:pt>
                <c:pt idx="3">
                  <c:v>2012</c:v>
                </c:pt>
                <c:pt idx="4">
                  <c:v>2013</c:v>
                </c:pt>
                <c:pt idx="5">
                  <c:v>2014</c:v>
                </c:pt>
              </c:numCache>
            </c:numRef>
          </c:cat>
          <c:val>
            <c:numRef>
              <c:f>[Zošit1]Hárok1!$C$30:$H$30</c:f>
              <c:numCache>
                <c:formatCode>General</c:formatCode>
                <c:ptCount val="6"/>
                <c:pt idx="0">
                  <c:v>2150084.1</c:v>
                </c:pt>
                <c:pt idx="1">
                  <c:v>2133207.7500000005</c:v>
                </c:pt>
                <c:pt idx="2">
                  <c:v>1365933.97</c:v>
                </c:pt>
                <c:pt idx="3">
                  <c:v>1726535.95</c:v>
                </c:pt>
                <c:pt idx="4">
                  <c:v>1777863</c:v>
                </c:pt>
                <c:pt idx="5">
                  <c:v>1944418</c:v>
                </c:pt>
              </c:numCache>
            </c:numRef>
          </c:val>
          <c:smooth val="0"/>
        </c:ser>
        <c:ser>
          <c:idx val="2"/>
          <c:order val="2"/>
          <c:tx>
            <c:strRef>
              <c:f>[Zošit1]Hárok1!$B$31</c:f>
              <c:strCache>
                <c:ptCount val="1"/>
                <c:pt idx="0">
                  <c:v>STU</c:v>
                </c:pt>
              </c:strCache>
            </c:strRef>
          </c:tx>
          <c:cat>
            <c:numRef>
              <c:f>[Zošit1]Hárok1!$C$28:$H$28</c:f>
              <c:numCache>
                <c:formatCode>General</c:formatCode>
                <c:ptCount val="6"/>
                <c:pt idx="0">
                  <c:v>2009</c:v>
                </c:pt>
                <c:pt idx="1">
                  <c:v>2010</c:v>
                </c:pt>
                <c:pt idx="2">
                  <c:v>2011</c:v>
                </c:pt>
                <c:pt idx="3">
                  <c:v>2012</c:v>
                </c:pt>
                <c:pt idx="4">
                  <c:v>2013</c:v>
                </c:pt>
                <c:pt idx="5">
                  <c:v>2014</c:v>
                </c:pt>
              </c:numCache>
            </c:numRef>
          </c:cat>
          <c:val>
            <c:numRef>
              <c:f>[Zošit1]Hárok1!$C$31:$H$31</c:f>
              <c:numCache>
                <c:formatCode>General</c:formatCode>
                <c:ptCount val="6"/>
                <c:pt idx="0">
                  <c:v>7291308.1599999992</c:v>
                </c:pt>
                <c:pt idx="1">
                  <c:v>7169330.7800000003</c:v>
                </c:pt>
                <c:pt idx="2">
                  <c:v>4906574.74</c:v>
                </c:pt>
                <c:pt idx="3">
                  <c:v>4229139.76</c:v>
                </c:pt>
                <c:pt idx="4">
                  <c:v>4605369</c:v>
                </c:pt>
                <c:pt idx="5">
                  <c:v>6142930</c:v>
                </c:pt>
              </c:numCache>
            </c:numRef>
          </c:val>
          <c:smooth val="0"/>
        </c:ser>
        <c:ser>
          <c:idx val="3"/>
          <c:order val="3"/>
          <c:tx>
            <c:strRef>
              <c:f>[Zošit1]Hárok1!$B$32</c:f>
              <c:strCache>
                <c:ptCount val="1"/>
                <c:pt idx="0">
                  <c:v>TU</c:v>
                </c:pt>
              </c:strCache>
            </c:strRef>
          </c:tx>
          <c:cat>
            <c:numRef>
              <c:f>[Zošit1]Hárok1!$C$28:$H$28</c:f>
              <c:numCache>
                <c:formatCode>General</c:formatCode>
                <c:ptCount val="6"/>
                <c:pt idx="0">
                  <c:v>2009</c:v>
                </c:pt>
                <c:pt idx="1">
                  <c:v>2010</c:v>
                </c:pt>
                <c:pt idx="2">
                  <c:v>2011</c:v>
                </c:pt>
                <c:pt idx="3">
                  <c:v>2012</c:v>
                </c:pt>
                <c:pt idx="4">
                  <c:v>2013</c:v>
                </c:pt>
                <c:pt idx="5">
                  <c:v>2014</c:v>
                </c:pt>
              </c:numCache>
            </c:numRef>
          </c:cat>
          <c:val>
            <c:numRef>
              <c:f>[Zošit1]Hárok1!$C$32:$H$32</c:f>
              <c:numCache>
                <c:formatCode>General</c:formatCode>
                <c:ptCount val="6"/>
                <c:pt idx="0">
                  <c:v>2210382.0300000003</c:v>
                </c:pt>
                <c:pt idx="1">
                  <c:v>2268121.0300000003</c:v>
                </c:pt>
                <c:pt idx="2">
                  <c:v>2243341</c:v>
                </c:pt>
                <c:pt idx="3">
                  <c:v>2214696</c:v>
                </c:pt>
                <c:pt idx="4">
                  <c:v>2000055</c:v>
                </c:pt>
                <c:pt idx="5">
                  <c:v>2595115</c:v>
                </c:pt>
              </c:numCache>
            </c:numRef>
          </c:val>
          <c:smooth val="0"/>
        </c:ser>
        <c:ser>
          <c:idx val="4"/>
          <c:order val="4"/>
          <c:tx>
            <c:strRef>
              <c:f>[Zošit1]Hárok1!$B$33</c:f>
              <c:strCache>
                <c:ptCount val="1"/>
                <c:pt idx="0">
                  <c:v>ŽU</c:v>
                </c:pt>
              </c:strCache>
            </c:strRef>
          </c:tx>
          <c:cat>
            <c:numRef>
              <c:f>[Zošit1]Hárok1!$C$28:$H$28</c:f>
              <c:numCache>
                <c:formatCode>General</c:formatCode>
                <c:ptCount val="6"/>
                <c:pt idx="0">
                  <c:v>2009</c:v>
                </c:pt>
                <c:pt idx="1">
                  <c:v>2010</c:v>
                </c:pt>
                <c:pt idx="2">
                  <c:v>2011</c:v>
                </c:pt>
                <c:pt idx="3">
                  <c:v>2012</c:v>
                </c:pt>
                <c:pt idx="4">
                  <c:v>2013</c:v>
                </c:pt>
                <c:pt idx="5">
                  <c:v>2014</c:v>
                </c:pt>
              </c:numCache>
            </c:numRef>
          </c:cat>
          <c:val>
            <c:numRef>
              <c:f>[Zošit1]Hárok1!$C$33:$H$33</c:f>
              <c:numCache>
                <c:formatCode>General</c:formatCode>
                <c:ptCount val="6"/>
                <c:pt idx="0">
                  <c:v>2892845.6500000004</c:v>
                </c:pt>
                <c:pt idx="1">
                  <c:v>3410616.1787</c:v>
                </c:pt>
                <c:pt idx="2">
                  <c:v>2720551.31</c:v>
                </c:pt>
                <c:pt idx="3">
                  <c:v>2196634.58</c:v>
                </c:pt>
                <c:pt idx="4">
                  <c:v>2301924.7800000003</c:v>
                </c:pt>
                <c:pt idx="5">
                  <c:v>2234895</c:v>
                </c:pt>
              </c:numCache>
            </c:numRef>
          </c:val>
          <c:smooth val="0"/>
        </c:ser>
        <c:ser>
          <c:idx val="5"/>
          <c:order val="5"/>
          <c:tx>
            <c:strRef>
              <c:f>[Zošit1]Hárok1!$B$34</c:f>
              <c:strCache>
                <c:ptCount val="1"/>
                <c:pt idx="0">
                  <c:v>SPU</c:v>
                </c:pt>
              </c:strCache>
            </c:strRef>
          </c:tx>
          <c:cat>
            <c:numRef>
              <c:f>[Zošit1]Hárok1!$C$28:$H$28</c:f>
              <c:numCache>
                <c:formatCode>General</c:formatCode>
                <c:ptCount val="6"/>
                <c:pt idx="0">
                  <c:v>2009</c:v>
                </c:pt>
                <c:pt idx="1">
                  <c:v>2010</c:v>
                </c:pt>
                <c:pt idx="2">
                  <c:v>2011</c:v>
                </c:pt>
                <c:pt idx="3">
                  <c:v>2012</c:v>
                </c:pt>
                <c:pt idx="4">
                  <c:v>2013</c:v>
                </c:pt>
                <c:pt idx="5">
                  <c:v>2014</c:v>
                </c:pt>
              </c:numCache>
            </c:numRef>
          </c:cat>
          <c:val>
            <c:numRef>
              <c:f>[Zošit1]Hárok1!$C$34:$H$34</c:f>
              <c:numCache>
                <c:formatCode>General</c:formatCode>
                <c:ptCount val="6"/>
                <c:pt idx="0">
                  <c:v>1029797</c:v>
                </c:pt>
                <c:pt idx="1">
                  <c:v>840743.26</c:v>
                </c:pt>
                <c:pt idx="2">
                  <c:v>815155.73</c:v>
                </c:pt>
                <c:pt idx="3">
                  <c:v>687392.61</c:v>
                </c:pt>
                <c:pt idx="4">
                  <c:v>927555</c:v>
                </c:pt>
                <c:pt idx="5">
                  <c:v>1142264</c:v>
                </c:pt>
              </c:numCache>
            </c:numRef>
          </c:val>
          <c:smooth val="0"/>
        </c:ser>
        <c:ser>
          <c:idx val="6"/>
          <c:order val="6"/>
          <c:tx>
            <c:strRef>
              <c:f>[Zošit1]Hárok1!$B$35</c:f>
              <c:strCache>
                <c:ptCount val="1"/>
                <c:pt idx="0">
                  <c:v>TUZVO</c:v>
                </c:pt>
              </c:strCache>
            </c:strRef>
          </c:tx>
          <c:cat>
            <c:numRef>
              <c:f>[Zošit1]Hárok1!$C$28:$H$28</c:f>
              <c:numCache>
                <c:formatCode>General</c:formatCode>
                <c:ptCount val="6"/>
                <c:pt idx="0">
                  <c:v>2009</c:v>
                </c:pt>
                <c:pt idx="1">
                  <c:v>2010</c:v>
                </c:pt>
                <c:pt idx="2">
                  <c:v>2011</c:v>
                </c:pt>
                <c:pt idx="3">
                  <c:v>2012</c:v>
                </c:pt>
                <c:pt idx="4">
                  <c:v>2013</c:v>
                </c:pt>
                <c:pt idx="5">
                  <c:v>2014</c:v>
                </c:pt>
              </c:numCache>
            </c:numRef>
          </c:cat>
          <c:val>
            <c:numRef>
              <c:f>[Zošit1]Hárok1!$C$35:$H$35</c:f>
              <c:numCache>
                <c:formatCode>General</c:formatCode>
                <c:ptCount val="6"/>
                <c:pt idx="0">
                  <c:v>1294161</c:v>
                </c:pt>
                <c:pt idx="1">
                  <c:v>1096874.67</c:v>
                </c:pt>
                <c:pt idx="2">
                  <c:v>633576</c:v>
                </c:pt>
                <c:pt idx="3">
                  <c:v>679966.13</c:v>
                </c:pt>
                <c:pt idx="4">
                  <c:v>828457.44</c:v>
                </c:pt>
                <c:pt idx="5">
                  <c:v>1537006</c:v>
                </c:pt>
              </c:numCache>
            </c:numRef>
          </c:val>
          <c:smooth val="0"/>
        </c:ser>
        <c:ser>
          <c:idx val="7"/>
          <c:order val="7"/>
          <c:tx>
            <c:strRef>
              <c:f>[Zošit1]Hárok1!$B$36</c:f>
              <c:strCache>
                <c:ptCount val="1"/>
                <c:pt idx="0">
                  <c:v>ost.</c:v>
                </c:pt>
              </c:strCache>
            </c:strRef>
          </c:tx>
          <c:cat>
            <c:numRef>
              <c:f>[Zošit1]Hárok1!$C$28:$H$28</c:f>
              <c:numCache>
                <c:formatCode>General</c:formatCode>
                <c:ptCount val="6"/>
                <c:pt idx="0">
                  <c:v>2009</c:v>
                </c:pt>
                <c:pt idx="1">
                  <c:v>2010</c:v>
                </c:pt>
                <c:pt idx="2">
                  <c:v>2011</c:v>
                </c:pt>
                <c:pt idx="3">
                  <c:v>2012</c:v>
                </c:pt>
                <c:pt idx="4">
                  <c:v>2013</c:v>
                </c:pt>
                <c:pt idx="5">
                  <c:v>2014</c:v>
                </c:pt>
              </c:numCache>
            </c:numRef>
          </c:cat>
          <c:val>
            <c:numRef>
              <c:f>[Zošit1]Hárok1!$C$36:$H$36</c:f>
              <c:numCache>
                <c:formatCode>General</c:formatCode>
                <c:ptCount val="6"/>
                <c:pt idx="0">
                  <c:v>11312769.09</c:v>
                </c:pt>
                <c:pt idx="1">
                  <c:v>4455583.8999999985</c:v>
                </c:pt>
                <c:pt idx="2">
                  <c:v>3898433.2399999984</c:v>
                </c:pt>
                <c:pt idx="3">
                  <c:v>4675548.1999999955</c:v>
                </c:pt>
                <c:pt idx="4">
                  <c:v>4109458.8200000003</c:v>
                </c:pt>
                <c:pt idx="5">
                  <c:v>4921893</c:v>
                </c:pt>
              </c:numCache>
            </c:numRef>
          </c:val>
          <c:smooth val="0"/>
        </c:ser>
        <c:dLbls>
          <c:showLegendKey val="0"/>
          <c:showVal val="0"/>
          <c:showCatName val="0"/>
          <c:showSerName val="0"/>
          <c:showPercent val="0"/>
          <c:showBubbleSize val="0"/>
        </c:dLbls>
        <c:marker val="1"/>
        <c:smooth val="0"/>
        <c:axId val="135072000"/>
        <c:axId val="135077888"/>
      </c:lineChart>
      <c:catAx>
        <c:axId val="135072000"/>
        <c:scaling>
          <c:orientation val="minMax"/>
        </c:scaling>
        <c:delete val="0"/>
        <c:axPos val="b"/>
        <c:numFmt formatCode="General" sourceLinked="1"/>
        <c:majorTickMark val="none"/>
        <c:minorTickMark val="none"/>
        <c:tickLblPos val="nextTo"/>
        <c:crossAx val="135077888"/>
        <c:crosses val="autoZero"/>
        <c:auto val="1"/>
        <c:lblAlgn val="ctr"/>
        <c:lblOffset val="100"/>
        <c:noMultiLvlLbl val="0"/>
      </c:catAx>
      <c:valAx>
        <c:axId val="135077888"/>
        <c:scaling>
          <c:orientation val="minMax"/>
        </c:scaling>
        <c:delete val="0"/>
        <c:axPos val="l"/>
        <c:majorGridlines/>
        <c:title>
          <c:tx>
            <c:rich>
              <a:bodyPr/>
              <a:lstStyle/>
              <a:p>
                <a:pPr>
                  <a:defRPr/>
                </a:pPr>
                <a:r>
                  <a:rPr lang="sk-SK" sz="1200"/>
                  <a:t>€</a:t>
                </a:r>
              </a:p>
            </c:rich>
          </c:tx>
          <c:overlay val="0"/>
        </c:title>
        <c:numFmt formatCode="General" sourceLinked="1"/>
        <c:majorTickMark val="none"/>
        <c:minorTickMark val="none"/>
        <c:tickLblPos val="nextTo"/>
        <c:crossAx val="1350720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b)</a:t>
            </a:r>
            <a:r>
              <a:rPr lang="sk-SK" sz="1100"/>
              <a:t> Zahraničné výskumné granty</a:t>
            </a:r>
            <a:r>
              <a:rPr lang="en-US" sz="1100"/>
              <a:t> </a:t>
            </a:r>
          </a:p>
        </c:rich>
      </c:tx>
      <c:overlay val="0"/>
    </c:title>
    <c:autoTitleDeleted val="0"/>
    <c:plotArea>
      <c:layout/>
      <c:lineChart>
        <c:grouping val="standard"/>
        <c:varyColors val="0"/>
        <c:ser>
          <c:idx val="0"/>
          <c:order val="0"/>
          <c:tx>
            <c:strRef>
              <c:f>ZG!$AE$7</c:f>
              <c:strCache>
                <c:ptCount val="1"/>
                <c:pt idx="0">
                  <c:v>UK</c:v>
                </c:pt>
              </c:strCache>
            </c:strRef>
          </c:tx>
          <c:cat>
            <c:numRef>
              <c:f>ZG!$AF$6:$AK$6</c:f>
              <c:numCache>
                <c:formatCode>General</c:formatCode>
                <c:ptCount val="6"/>
                <c:pt idx="0">
                  <c:v>2009</c:v>
                </c:pt>
                <c:pt idx="1">
                  <c:v>2010</c:v>
                </c:pt>
                <c:pt idx="2">
                  <c:v>2011</c:v>
                </c:pt>
                <c:pt idx="3">
                  <c:v>2012</c:v>
                </c:pt>
                <c:pt idx="4">
                  <c:v>2013</c:v>
                </c:pt>
                <c:pt idx="5">
                  <c:v>2014</c:v>
                </c:pt>
              </c:numCache>
            </c:numRef>
          </c:cat>
          <c:val>
            <c:numRef>
              <c:f>ZG!$AF$7:$AK$7</c:f>
              <c:numCache>
                <c:formatCode>General</c:formatCode>
                <c:ptCount val="6"/>
                <c:pt idx="0">
                  <c:v>2009354.6433848552</c:v>
                </c:pt>
                <c:pt idx="1">
                  <c:v>1372479.0325366866</c:v>
                </c:pt>
                <c:pt idx="2">
                  <c:v>1363309.4036834375</c:v>
                </c:pt>
                <c:pt idx="3">
                  <c:v>1641813</c:v>
                </c:pt>
                <c:pt idx="4">
                  <c:v>1099139</c:v>
                </c:pt>
                <c:pt idx="5">
                  <c:v>1507911</c:v>
                </c:pt>
              </c:numCache>
            </c:numRef>
          </c:val>
          <c:smooth val="0"/>
        </c:ser>
        <c:ser>
          <c:idx val="1"/>
          <c:order val="1"/>
          <c:tx>
            <c:strRef>
              <c:f>ZG!$AE$8</c:f>
              <c:strCache>
                <c:ptCount val="1"/>
                <c:pt idx="0">
                  <c:v>UPJŠ</c:v>
                </c:pt>
              </c:strCache>
            </c:strRef>
          </c:tx>
          <c:cat>
            <c:numRef>
              <c:f>ZG!$AF$6:$AK$6</c:f>
              <c:numCache>
                <c:formatCode>General</c:formatCode>
                <c:ptCount val="6"/>
                <c:pt idx="0">
                  <c:v>2009</c:v>
                </c:pt>
                <c:pt idx="1">
                  <c:v>2010</c:v>
                </c:pt>
                <c:pt idx="2">
                  <c:v>2011</c:v>
                </c:pt>
                <c:pt idx="3">
                  <c:v>2012</c:v>
                </c:pt>
                <c:pt idx="4">
                  <c:v>2013</c:v>
                </c:pt>
                <c:pt idx="5">
                  <c:v>2014</c:v>
                </c:pt>
              </c:numCache>
            </c:numRef>
          </c:cat>
          <c:val>
            <c:numRef>
              <c:f>ZG!$AF$8:$AK$8</c:f>
              <c:numCache>
                <c:formatCode>General</c:formatCode>
                <c:ptCount val="6"/>
                <c:pt idx="0">
                  <c:v>296215.26187699568</c:v>
                </c:pt>
                <c:pt idx="1">
                  <c:v>450466.13</c:v>
                </c:pt>
                <c:pt idx="2">
                  <c:v>270324.07</c:v>
                </c:pt>
                <c:pt idx="3">
                  <c:v>391901</c:v>
                </c:pt>
                <c:pt idx="4">
                  <c:v>1885773</c:v>
                </c:pt>
                <c:pt idx="5">
                  <c:v>124616</c:v>
                </c:pt>
              </c:numCache>
            </c:numRef>
          </c:val>
          <c:smooth val="0"/>
        </c:ser>
        <c:ser>
          <c:idx val="2"/>
          <c:order val="2"/>
          <c:tx>
            <c:strRef>
              <c:f>ZG!$AE$9</c:f>
              <c:strCache>
                <c:ptCount val="1"/>
                <c:pt idx="0">
                  <c:v>STU</c:v>
                </c:pt>
              </c:strCache>
            </c:strRef>
          </c:tx>
          <c:cat>
            <c:numRef>
              <c:f>ZG!$AF$6:$AK$6</c:f>
              <c:numCache>
                <c:formatCode>General</c:formatCode>
                <c:ptCount val="6"/>
                <c:pt idx="0">
                  <c:v>2009</c:v>
                </c:pt>
                <c:pt idx="1">
                  <c:v>2010</c:v>
                </c:pt>
                <c:pt idx="2">
                  <c:v>2011</c:v>
                </c:pt>
                <c:pt idx="3">
                  <c:v>2012</c:v>
                </c:pt>
                <c:pt idx="4">
                  <c:v>2013</c:v>
                </c:pt>
                <c:pt idx="5">
                  <c:v>2014</c:v>
                </c:pt>
              </c:numCache>
            </c:numRef>
          </c:cat>
          <c:val>
            <c:numRef>
              <c:f>ZG!$AF$9:$AK$9</c:f>
              <c:numCache>
                <c:formatCode>General</c:formatCode>
                <c:ptCount val="6"/>
                <c:pt idx="0">
                  <c:v>1329550.9330348466</c:v>
                </c:pt>
                <c:pt idx="1">
                  <c:v>2418320.42</c:v>
                </c:pt>
                <c:pt idx="2">
                  <c:v>1841005.4899999998</c:v>
                </c:pt>
                <c:pt idx="3">
                  <c:v>408945</c:v>
                </c:pt>
                <c:pt idx="4">
                  <c:v>815307</c:v>
                </c:pt>
                <c:pt idx="5">
                  <c:v>974206</c:v>
                </c:pt>
              </c:numCache>
            </c:numRef>
          </c:val>
          <c:smooth val="0"/>
        </c:ser>
        <c:ser>
          <c:idx val="3"/>
          <c:order val="3"/>
          <c:tx>
            <c:strRef>
              <c:f>ZG!$AE$10</c:f>
              <c:strCache>
                <c:ptCount val="1"/>
                <c:pt idx="0">
                  <c:v>TUKE</c:v>
                </c:pt>
              </c:strCache>
            </c:strRef>
          </c:tx>
          <c:cat>
            <c:numRef>
              <c:f>ZG!$AF$6:$AK$6</c:f>
              <c:numCache>
                <c:formatCode>General</c:formatCode>
                <c:ptCount val="6"/>
                <c:pt idx="0">
                  <c:v>2009</c:v>
                </c:pt>
                <c:pt idx="1">
                  <c:v>2010</c:v>
                </c:pt>
                <c:pt idx="2">
                  <c:v>2011</c:v>
                </c:pt>
                <c:pt idx="3">
                  <c:v>2012</c:v>
                </c:pt>
                <c:pt idx="4">
                  <c:v>2013</c:v>
                </c:pt>
                <c:pt idx="5">
                  <c:v>2014</c:v>
                </c:pt>
              </c:numCache>
            </c:numRef>
          </c:cat>
          <c:val>
            <c:numRef>
              <c:f>ZG!$AF$10:$AK$10</c:f>
              <c:numCache>
                <c:formatCode>General</c:formatCode>
                <c:ptCount val="6"/>
                <c:pt idx="0">
                  <c:v>1087593.2000000002</c:v>
                </c:pt>
                <c:pt idx="1">
                  <c:v>712087.8</c:v>
                </c:pt>
                <c:pt idx="2">
                  <c:v>813265.80999999994</c:v>
                </c:pt>
                <c:pt idx="3">
                  <c:v>1247420</c:v>
                </c:pt>
                <c:pt idx="4">
                  <c:v>765371</c:v>
                </c:pt>
                <c:pt idx="5">
                  <c:v>1260890</c:v>
                </c:pt>
              </c:numCache>
            </c:numRef>
          </c:val>
          <c:smooth val="0"/>
        </c:ser>
        <c:ser>
          <c:idx val="4"/>
          <c:order val="4"/>
          <c:tx>
            <c:strRef>
              <c:f>ZG!$AE$11</c:f>
              <c:strCache>
                <c:ptCount val="1"/>
                <c:pt idx="0">
                  <c:v>ŽU</c:v>
                </c:pt>
              </c:strCache>
            </c:strRef>
          </c:tx>
          <c:cat>
            <c:numRef>
              <c:f>ZG!$AF$6:$AK$6</c:f>
              <c:numCache>
                <c:formatCode>General</c:formatCode>
                <c:ptCount val="6"/>
                <c:pt idx="0">
                  <c:v>2009</c:v>
                </c:pt>
                <c:pt idx="1">
                  <c:v>2010</c:v>
                </c:pt>
                <c:pt idx="2">
                  <c:v>2011</c:v>
                </c:pt>
                <c:pt idx="3">
                  <c:v>2012</c:v>
                </c:pt>
                <c:pt idx="4">
                  <c:v>2013</c:v>
                </c:pt>
                <c:pt idx="5">
                  <c:v>2014</c:v>
                </c:pt>
              </c:numCache>
            </c:numRef>
          </c:cat>
          <c:val>
            <c:numRef>
              <c:f>ZG!$AF$11:$AK$11</c:f>
              <c:numCache>
                <c:formatCode>General</c:formatCode>
                <c:ptCount val="6"/>
                <c:pt idx="0">
                  <c:v>491067.14</c:v>
                </c:pt>
                <c:pt idx="1">
                  <c:v>489118.02</c:v>
                </c:pt>
                <c:pt idx="2">
                  <c:v>668636</c:v>
                </c:pt>
                <c:pt idx="3">
                  <c:v>623887</c:v>
                </c:pt>
                <c:pt idx="4">
                  <c:v>485579</c:v>
                </c:pt>
                <c:pt idx="5">
                  <c:v>1035120</c:v>
                </c:pt>
              </c:numCache>
            </c:numRef>
          </c:val>
          <c:smooth val="0"/>
        </c:ser>
        <c:dLbls>
          <c:showLegendKey val="0"/>
          <c:showVal val="0"/>
          <c:showCatName val="0"/>
          <c:showSerName val="0"/>
          <c:showPercent val="0"/>
          <c:showBubbleSize val="0"/>
        </c:dLbls>
        <c:marker val="1"/>
        <c:smooth val="0"/>
        <c:axId val="135110016"/>
        <c:axId val="135111808"/>
      </c:lineChart>
      <c:catAx>
        <c:axId val="135110016"/>
        <c:scaling>
          <c:orientation val="minMax"/>
        </c:scaling>
        <c:delete val="0"/>
        <c:axPos val="b"/>
        <c:numFmt formatCode="General" sourceLinked="1"/>
        <c:majorTickMark val="none"/>
        <c:minorTickMark val="none"/>
        <c:tickLblPos val="nextTo"/>
        <c:crossAx val="135111808"/>
        <c:crosses val="autoZero"/>
        <c:auto val="1"/>
        <c:lblAlgn val="ctr"/>
        <c:lblOffset val="100"/>
        <c:noMultiLvlLbl val="0"/>
      </c:catAx>
      <c:valAx>
        <c:axId val="135111808"/>
        <c:scaling>
          <c:orientation val="minMax"/>
        </c:scaling>
        <c:delete val="0"/>
        <c:axPos val="l"/>
        <c:majorGridlines/>
        <c:title>
          <c:tx>
            <c:rich>
              <a:bodyPr/>
              <a:lstStyle/>
              <a:p>
                <a:pPr>
                  <a:defRPr/>
                </a:pPr>
                <a:r>
                  <a:rPr lang="sk-SK" sz="1200"/>
                  <a:t>€</a:t>
                </a:r>
              </a:p>
            </c:rich>
          </c:tx>
          <c:overlay val="0"/>
        </c:title>
        <c:numFmt formatCode="General" sourceLinked="1"/>
        <c:majorTickMark val="none"/>
        <c:minorTickMark val="none"/>
        <c:tickLblPos val="nextTo"/>
        <c:crossAx val="1351100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'[Scholarly_Output_vs_Publication_Year (3).xls]Sheet0'!$B$30</c:f>
              <c:strCache>
                <c:ptCount val="1"/>
                <c:pt idx="0">
                  <c:v>UK</c:v>
                </c:pt>
              </c:strCache>
            </c:strRef>
          </c:tx>
          <c:cat>
            <c:numRef>
              <c:f>'[Scholarly_Output_vs_Publication_Year (3).xls]Sheet0'!$C$29:$I$29</c:f>
              <c:numCache>
                <c:formatCode>General</c:formatCode>
                <c:ptCount val="7"/>
                <c:pt idx="0">
                  <c:v>2009</c:v>
                </c:pt>
                <c:pt idx="1">
                  <c:v>2010</c:v>
                </c:pt>
                <c:pt idx="2">
                  <c:v>2011</c:v>
                </c:pt>
                <c:pt idx="3">
                  <c:v>2012</c:v>
                </c:pt>
                <c:pt idx="4">
                  <c:v>2013</c:v>
                </c:pt>
                <c:pt idx="5">
                  <c:v>2014</c:v>
                </c:pt>
                <c:pt idx="6">
                  <c:v>2015</c:v>
                </c:pt>
              </c:numCache>
            </c:numRef>
          </c:cat>
          <c:val>
            <c:numRef>
              <c:f>'[Scholarly_Output_vs_Publication_Year (3).xls]Sheet0'!$C$30:$I$30</c:f>
              <c:numCache>
                <c:formatCode>General</c:formatCode>
                <c:ptCount val="7"/>
                <c:pt idx="0">
                  <c:v>912</c:v>
                </c:pt>
                <c:pt idx="1">
                  <c:v>919</c:v>
                </c:pt>
                <c:pt idx="2">
                  <c:v>1018</c:v>
                </c:pt>
                <c:pt idx="3">
                  <c:v>1197</c:v>
                </c:pt>
                <c:pt idx="4">
                  <c:v>1166</c:v>
                </c:pt>
                <c:pt idx="5">
                  <c:v>1172</c:v>
                </c:pt>
                <c:pt idx="6">
                  <c:v>1077</c:v>
                </c:pt>
              </c:numCache>
            </c:numRef>
          </c:val>
          <c:smooth val="0"/>
        </c:ser>
        <c:ser>
          <c:idx val="1"/>
          <c:order val="1"/>
          <c:tx>
            <c:strRef>
              <c:f>'[Scholarly_Output_vs_Publication_Year (3).xls]Sheet0'!$B$31</c:f>
              <c:strCache>
                <c:ptCount val="1"/>
                <c:pt idx="0">
                  <c:v>STU</c:v>
                </c:pt>
              </c:strCache>
            </c:strRef>
          </c:tx>
          <c:cat>
            <c:numRef>
              <c:f>'[Scholarly_Output_vs_Publication_Year (3).xls]Sheet0'!$C$29:$I$29</c:f>
              <c:numCache>
                <c:formatCode>General</c:formatCode>
                <c:ptCount val="7"/>
                <c:pt idx="0">
                  <c:v>2009</c:v>
                </c:pt>
                <c:pt idx="1">
                  <c:v>2010</c:v>
                </c:pt>
                <c:pt idx="2">
                  <c:v>2011</c:v>
                </c:pt>
                <c:pt idx="3">
                  <c:v>2012</c:v>
                </c:pt>
                <c:pt idx="4">
                  <c:v>2013</c:v>
                </c:pt>
                <c:pt idx="5">
                  <c:v>2014</c:v>
                </c:pt>
                <c:pt idx="6">
                  <c:v>2015</c:v>
                </c:pt>
              </c:numCache>
            </c:numRef>
          </c:cat>
          <c:val>
            <c:numRef>
              <c:f>'[Scholarly_Output_vs_Publication_Year (3).xls]Sheet0'!$C$31:$I$31</c:f>
              <c:numCache>
                <c:formatCode>General</c:formatCode>
                <c:ptCount val="7"/>
                <c:pt idx="0">
                  <c:v>652</c:v>
                </c:pt>
                <c:pt idx="1">
                  <c:v>805</c:v>
                </c:pt>
                <c:pt idx="2">
                  <c:v>759</c:v>
                </c:pt>
                <c:pt idx="3">
                  <c:v>827</c:v>
                </c:pt>
                <c:pt idx="4">
                  <c:v>980</c:v>
                </c:pt>
                <c:pt idx="5">
                  <c:v>1268</c:v>
                </c:pt>
                <c:pt idx="6">
                  <c:v>717</c:v>
                </c:pt>
              </c:numCache>
            </c:numRef>
          </c:val>
          <c:smooth val="0"/>
        </c:ser>
        <c:ser>
          <c:idx val="2"/>
          <c:order val="2"/>
          <c:tx>
            <c:strRef>
              <c:f>'[Scholarly_Output_vs_Publication_Year (3).xls]Sheet0'!$B$32</c:f>
              <c:strCache>
                <c:ptCount val="1"/>
                <c:pt idx="0">
                  <c:v>UPJŠ</c:v>
                </c:pt>
              </c:strCache>
            </c:strRef>
          </c:tx>
          <c:cat>
            <c:numRef>
              <c:f>'[Scholarly_Output_vs_Publication_Year (3).xls]Sheet0'!$C$29:$I$29</c:f>
              <c:numCache>
                <c:formatCode>General</c:formatCode>
                <c:ptCount val="7"/>
                <c:pt idx="0">
                  <c:v>2009</c:v>
                </c:pt>
                <c:pt idx="1">
                  <c:v>2010</c:v>
                </c:pt>
                <c:pt idx="2">
                  <c:v>2011</c:v>
                </c:pt>
                <c:pt idx="3">
                  <c:v>2012</c:v>
                </c:pt>
                <c:pt idx="4">
                  <c:v>2013</c:v>
                </c:pt>
                <c:pt idx="5">
                  <c:v>2014</c:v>
                </c:pt>
                <c:pt idx="6">
                  <c:v>2015</c:v>
                </c:pt>
              </c:numCache>
            </c:numRef>
          </c:cat>
          <c:val>
            <c:numRef>
              <c:f>'[Scholarly_Output_vs_Publication_Year (3).xls]Sheet0'!$C$32:$I$32</c:f>
              <c:numCache>
                <c:formatCode>General</c:formatCode>
                <c:ptCount val="7"/>
                <c:pt idx="0">
                  <c:v>291</c:v>
                </c:pt>
                <c:pt idx="1">
                  <c:v>358</c:v>
                </c:pt>
                <c:pt idx="2">
                  <c:v>329</c:v>
                </c:pt>
                <c:pt idx="3">
                  <c:v>351</c:v>
                </c:pt>
                <c:pt idx="4">
                  <c:v>378</c:v>
                </c:pt>
                <c:pt idx="5">
                  <c:v>484</c:v>
                </c:pt>
                <c:pt idx="6">
                  <c:v>394</c:v>
                </c:pt>
              </c:numCache>
            </c:numRef>
          </c:val>
          <c:smooth val="0"/>
        </c:ser>
        <c:ser>
          <c:idx val="3"/>
          <c:order val="3"/>
          <c:tx>
            <c:strRef>
              <c:f>'[Scholarly_Output_vs_Publication_Year (3).xls]Sheet0'!$B$33</c:f>
              <c:strCache>
                <c:ptCount val="1"/>
                <c:pt idx="0">
                  <c:v>TUKE</c:v>
                </c:pt>
              </c:strCache>
            </c:strRef>
          </c:tx>
          <c:cat>
            <c:numRef>
              <c:f>'[Scholarly_Output_vs_Publication_Year (3).xls]Sheet0'!$C$29:$I$29</c:f>
              <c:numCache>
                <c:formatCode>General</c:formatCode>
                <c:ptCount val="7"/>
                <c:pt idx="0">
                  <c:v>2009</c:v>
                </c:pt>
                <c:pt idx="1">
                  <c:v>2010</c:v>
                </c:pt>
                <c:pt idx="2">
                  <c:v>2011</c:v>
                </c:pt>
                <c:pt idx="3">
                  <c:v>2012</c:v>
                </c:pt>
                <c:pt idx="4">
                  <c:v>2013</c:v>
                </c:pt>
                <c:pt idx="5">
                  <c:v>2014</c:v>
                </c:pt>
                <c:pt idx="6">
                  <c:v>2015</c:v>
                </c:pt>
              </c:numCache>
            </c:numRef>
          </c:cat>
          <c:val>
            <c:numRef>
              <c:f>'[Scholarly_Output_vs_Publication_Year (3).xls]Sheet0'!$C$33:$I$33</c:f>
              <c:numCache>
                <c:formatCode>General</c:formatCode>
                <c:ptCount val="7"/>
                <c:pt idx="0">
                  <c:v>344</c:v>
                </c:pt>
                <c:pt idx="1">
                  <c:v>401</c:v>
                </c:pt>
                <c:pt idx="2">
                  <c:v>587</c:v>
                </c:pt>
                <c:pt idx="3">
                  <c:v>737</c:v>
                </c:pt>
                <c:pt idx="4">
                  <c:v>830</c:v>
                </c:pt>
                <c:pt idx="5">
                  <c:v>1063</c:v>
                </c:pt>
                <c:pt idx="6">
                  <c:v>675</c:v>
                </c:pt>
              </c:numCache>
            </c:numRef>
          </c:val>
          <c:smooth val="0"/>
        </c:ser>
        <c:ser>
          <c:idx val="4"/>
          <c:order val="4"/>
          <c:tx>
            <c:strRef>
              <c:f>'[Scholarly_Output_vs_Publication_Year (3).xls]Sheet0'!$B$34</c:f>
              <c:strCache>
                <c:ptCount val="1"/>
                <c:pt idx="0">
                  <c:v>TU ZA</c:v>
                </c:pt>
              </c:strCache>
            </c:strRef>
          </c:tx>
          <c:cat>
            <c:numRef>
              <c:f>'[Scholarly_Output_vs_Publication_Year (3).xls]Sheet0'!$C$29:$I$29</c:f>
              <c:numCache>
                <c:formatCode>General</c:formatCode>
                <c:ptCount val="7"/>
                <c:pt idx="0">
                  <c:v>2009</c:v>
                </c:pt>
                <c:pt idx="1">
                  <c:v>2010</c:v>
                </c:pt>
                <c:pt idx="2">
                  <c:v>2011</c:v>
                </c:pt>
                <c:pt idx="3">
                  <c:v>2012</c:v>
                </c:pt>
                <c:pt idx="4">
                  <c:v>2013</c:v>
                </c:pt>
                <c:pt idx="5">
                  <c:v>2014</c:v>
                </c:pt>
                <c:pt idx="6">
                  <c:v>2015</c:v>
                </c:pt>
              </c:numCache>
            </c:numRef>
          </c:cat>
          <c:val>
            <c:numRef>
              <c:f>'[Scholarly_Output_vs_Publication_Year (3).xls]Sheet0'!$C$34:$I$34</c:f>
              <c:numCache>
                <c:formatCode>General</c:formatCode>
                <c:ptCount val="7"/>
                <c:pt idx="0">
                  <c:v>151</c:v>
                </c:pt>
                <c:pt idx="1">
                  <c:v>232</c:v>
                </c:pt>
                <c:pt idx="2">
                  <c:v>271</c:v>
                </c:pt>
                <c:pt idx="3">
                  <c:v>368</c:v>
                </c:pt>
                <c:pt idx="4">
                  <c:v>393</c:v>
                </c:pt>
                <c:pt idx="5">
                  <c:v>662</c:v>
                </c:pt>
                <c:pt idx="6">
                  <c:v>380</c:v>
                </c:pt>
              </c:numCache>
            </c:numRef>
          </c:val>
          <c:smooth val="0"/>
        </c:ser>
        <c:ser>
          <c:idx val="5"/>
          <c:order val="5"/>
          <c:tx>
            <c:strRef>
              <c:f>'[Scholarly_Output_vs_Publication_Year (3).xls]Sheet0'!$B$35</c:f>
              <c:strCache>
                <c:ptCount val="1"/>
                <c:pt idx="0">
                  <c:v>TU ZV</c:v>
                </c:pt>
              </c:strCache>
            </c:strRef>
          </c:tx>
          <c:cat>
            <c:numRef>
              <c:f>'[Scholarly_Output_vs_Publication_Year (3).xls]Sheet0'!$C$29:$I$29</c:f>
              <c:numCache>
                <c:formatCode>General</c:formatCode>
                <c:ptCount val="7"/>
                <c:pt idx="0">
                  <c:v>2009</c:v>
                </c:pt>
                <c:pt idx="1">
                  <c:v>2010</c:v>
                </c:pt>
                <c:pt idx="2">
                  <c:v>2011</c:v>
                </c:pt>
                <c:pt idx="3">
                  <c:v>2012</c:v>
                </c:pt>
                <c:pt idx="4">
                  <c:v>2013</c:v>
                </c:pt>
                <c:pt idx="5">
                  <c:v>2014</c:v>
                </c:pt>
                <c:pt idx="6">
                  <c:v>2015</c:v>
                </c:pt>
              </c:numCache>
            </c:numRef>
          </c:cat>
          <c:val>
            <c:numRef>
              <c:f>'[Scholarly_Output_vs_Publication_Year (3).xls]Sheet0'!$C$35:$I$35</c:f>
              <c:numCache>
                <c:formatCode>General</c:formatCode>
                <c:ptCount val="7"/>
                <c:pt idx="0">
                  <c:v>53</c:v>
                </c:pt>
                <c:pt idx="1">
                  <c:v>65</c:v>
                </c:pt>
                <c:pt idx="2">
                  <c:v>82</c:v>
                </c:pt>
                <c:pt idx="3">
                  <c:v>85</c:v>
                </c:pt>
                <c:pt idx="4">
                  <c:v>117</c:v>
                </c:pt>
                <c:pt idx="5">
                  <c:v>156</c:v>
                </c:pt>
                <c:pt idx="6">
                  <c:v>142</c:v>
                </c:pt>
              </c:numCache>
            </c:numRef>
          </c:val>
          <c:smooth val="0"/>
        </c:ser>
        <c:ser>
          <c:idx val="6"/>
          <c:order val="6"/>
          <c:tx>
            <c:strRef>
              <c:f>'[Scholarly_Output_vs_Publication_Year (3).xls]Sheet0'!$B$36</c:f>
              <c:strCache>
                <c:ptCount val="1"/>
                <c:pt idx="0">
                  <c:v>ost. VŠ</c:v>
                </c:pt>
              </c:strCache>
            </c:strRef>
          </c:tx>
          <c:cat>
            <c:numRef>
              <c:f>'[Scholarly_Output_vs_Publication_Year (3).xls]Sheet0'!$C$29:$I$29</c:f>
              <c:numCache>
                <c:formatCode>General</c:formatCode>
                <c:ptCount val="7"/>
                <c:pt idx="0">
                  <c:v>2009</c:v>
                </c:pt>
                <c:pt idx="1">
                  <c:v>2010</c:v>
                </c:pt>
                <c:pt idx="2">
                  <c:v>2011</c:v>
                </c:pt>
                <c:pt idx="3">
                  <c:v>2012</c:v>
                </c:pt>
                <c:pt idx="4">
                  <c:v>2013</c:v>
                </c:pt>
                <c:pt idx="5">
                  <c:v>2014</c:v>
                </c:pt>
                <c:pt idx="6">
                  <c:v>2015</c:v>
                </c:pt>
              </c:numCache>
            </c:numRef>
          </c:cat>
          <c:val>
            <c:numRef>
              <c:f>'[Scholarly_Output_vs_Publication_Year (3).xls]Sheet0'!$C$36:$I$36</c:f>
              <c:numCache>
                <c:formatCode>General</c:formatCode>
                <c:ptCount val="7"/>
                <c:pt idx="0">
                  <c:v>507</c:v>
                </c:pt>
                <c:pt idx="1">
                  <c:v>585</c:v>
                </c:pt>
                <c:pt idx="2">
                  <c:v>639</c:v>
                </c:pt>
                <c:pt idx="3">
                  <c:v>567</c:v>
                </c:pt>
                <c:pt idx="4">
                  <c:v>795</c:v>
                </c:pt>
                <c:pt idx="5">
                  <c:v>637</c:v>
                </c:pt>
                <c:pt idx="6">
                  <c:v>480</c:v>
                </c:pt>
              </c:numCache>
            </c:numRef>
          </c:val>
          <c:smooth val="0"/>
        </c:ser>
        <c:dLbls>
          <c:showLegendKey val="0"/>
          <c:showVal val="0"/>
          <c:showCatName val="0"/>
          <c:showSerName val="0"/>
          <c:showPercent val="0"/>
          <c:showBubbleSize val="0"/>
        </c:dLbls>
        <c:marker val="1"/>
        <c:smooth val="0"/>
        <c:axId val="135166208"/>
        <c:axId val="135172096"/>
      </c:lineChart>
      <c:catAx>
        <c:axId val="135166208"/>
        <c:scaling>
          <c:orientation val="minMax"/>
        </c:scaling>
        <c:delete val="0"/>
        <c:axPos val="b"/>
        <c:numFmt formatCode="General" sourceLinked="1"/>
        <c:majorTickMark val="none"/>
        <c:minorTickMark val="none"/>
        <c:tickLblPos val="nextTo"/>
        <c:crossAx val="135172096"/>
        <c:crosses val="autoZero"/>
        <c:auto val="1"/>
        <c:lblAlgn val="ctr"/>
        <c:lblOffset val="100"/>
        <c:noMultiLvlLbl val="0"/>
      </c:catAx>
      <c:valAx>
        <c:axId val="135172096"/>
        <c:scaling>
          <c:orientation val="minMax"/>
        </c:scaling>
        <c:delete val="0"/>
        <c:axPos val="l"/>
        <c:majorGridlines/>
        <c:title>
          <c:tx>
            <c:rich>
              <a:bodyPr/>
              <a:lstStyle/>
              <a:p>
                <a:pPr>
                  <a:defRPr/>
                </a:pPr>
                <a:r>
                  <a:rPr lang="sk-SK"/>
                  <a:t>Počet SCOPUS publikácií</a:t>
                </a:r>
                <a:endParaRPr lang="en-US"/>
              </a:p>
            </c:rich>
          </c:tx>
          <c:overlay val="0"/>
        </c:title>
        <c:numFmt formatCode="General" sourceLinked="1"/>
        <c:majorTickMark val="none"/>
        <c:minorTickMark val="none"/>
        <c:tickLblPos val="nextTo"/>
        <c:crossAx val="1351662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spPr>
            <a:solidFill>
              <a:srgbClr val="FFC000"/>
            </a:solidFill>
          </c:spPr>
          <c:explosion val="25"/>
          <c:dPt>
            <c:idx val="0"/>
            <c:bubble3D val="0"/>
            <c:spPr>
              <a:solidFill>
                <a:schemeClr val="accent6">
                  <a:lumMod val="75000"/>
                </a:schemeClr>
              </a:solidFill>
            </c:spPr>
          </c:dPt>
          <c:dPt>
            <c:idx val="1"/>
            <c:bubble3D val="0"/>
            <c:spPr>
              <a:solidFill>
                <a:schemeClr val="bg1">
                  <a:lumMod val="65000"/>
                </a:schemeClr>
              </a:solidFill>
            </c:spPr>
          </c:dPt>
          <c:dPt>
            <c:idx val="2"/>
            <c:bubble3D val="0"/>
            <c:spPr>
              <a:solidFill>
                <a:srgbClr val="0070C0"/>
              </a:solidFill>
            </c:spPr>
          </c:dPt>
          <c:dPt>
            <c:idx val="4"/>
            <c:bubble3D val="0"/>
            <c:spPr>
              <a:solidFill>
                <a:srgbClr val="00B050"/>
              </a:solidFill>
            </c:spPr>
          </c:dPt>
          <c:dPt>
            <c:idx val="5"/>
            <c:bubble3D val="0"/>
            <c:spPr>
              <a:solidFill>
                <a:srgbClr val="CC0000"/>
              </a:solidFill>
            </c:spPr>
          </c:dPt>
          <c:dPt>
            <c:idx val="6"/>
            <c:bubble3D val="0"/>
            <c:spPr>
              <a:solidFill>
                <a:srgbClr val="00B0F0"/>
              </a:solidFill>
            </c:spPr>
          </c:dPt>
          <c:dPt>
            <c:idx val="8"/>
            <c:bubble3D val="0"/>
            <c:spPr>
              <a:solidFill>
                <a:schemeClr val="accent2">
                  <a:lumMod val="60000"/>
                  <a:lumOff val="40000"/>
                </a:schemeClr>
              </a:solidFill>
            </c:spPr>
          </c:dPt>
          <c:dLbls>
            <c:dLbl>
              <c:idx val="2"/>
              <c:spPr>
                <a:solidFill>
                  <a:srgbClr val="0070C0"/>
                </a:solidFill>
              </c:spPr>
              <c:txPr>
                <a:bodyPr/>
                <a:lstStyle/>
                <a:p>
                  <a:pPr>
                    <a:defRPr/>
                  </a:pPr>
                  <a:endParaRPr lang="sk-SK"/>
                </a:p>
              </c:txPr>
              <c:showLegendKey val="0"/>
              <c:showVal val="0"/>
              <c:showCatName val="1"/>
              <c:showSerName val="0"/>
              <c:showPercent val="1"/>
              <c:showBubbleSize val="0"/>
            </c:dLbl>
            <c:showLegendKey val="0"/>
            <c:showVal val="0"/>
            <c:showCatName val="1"/>
            <c:showSerName val="0"/>
            <c:showPercent val="1"/>
            <c:showBubbleSize val="0"/>
            <c:showLeaderLines val="1"/>
          </c:dLbls>
          <c:cat>
            <c:strRef>
              <c:f>zamestnanci!$E$39:$E$47</c:f>
              <c:strCache>
                <c:ptCount val="9"/>
                <c:pt idx="0">
                  <c:v>SvF</c:v>
                </c:pt>
                <c:pt idx="1">
                  <c:v>SjF</c:v>
                </c:pt>
                <c:pt idx="2">
                  <c:v>FEI</c:v>
                </c:pt>
                <c:pt idx="3">
                  <c:v>FCHPT</c:v>
                </c:pt>
                <c:pt idx="4">
                  <c:v>FA</c:v>
                </c:pt>
                <c:pt idx="5">
                  <c:v>MTF</c:v>
                </c:pt>
                <c:pt idx="6">
                  <c:v>FIIT</c:v>
                </c:pt>
                <c:pt idx="8">
                  <c:v>ÚM</c:v>
                </c:pt>
              </c:strCache>
            </c:strRef>
          </c:cat>
          <c:val>
            <c:numRef>
              <c:f>zamestnanci!$F$39:$F$47</c:f>
              <c:numCache>
                <c:formatCode>General</c:formatCode>
                <c:ptCount val="9"/>
                <c:pt idx="0">
                  <c:v>19.743952793612905</c:v>
                </c:pt>
                <c:pt idx="1">
                  <c:v>10.824555030875407</c:v>
                </c:pt>
                <c:pt idx="2">
                  <c:v>19.768415902503389</c:v>
                </c:pt>
                <c:pt idx="3">
                  <c:v>18.998198625618063</c:v>
                </c:pt>
                <c:pt idx="4">
                  <c:v>9.0165088919694281</c:v>
                </c:pt>
                <c:pt idx="5">
                  <c:v>15.091514266440321</c:v>
                </c:pt>
                <c:pt idx="6">
                  <c:v>3.2565587077548055</c:v>
                </c:pt>
                <c:pt idx="8">
                  <c:v>2.9807927529893177</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3055555555555558E-2"/>
          <c:y val="0.11805555555555555"/>
          <c:w val="0.81388888888888888"/>
          <c:h val="0.77314814814814814"/>
        </c:manualLayout>
      </c:layout>
      <c:pie3DChart>
        <c:varyColors val="1"/>
        <c:ser>
          <c:idx val="0"/>
          <c:order val="0"/>
          <c:explosion val="25"/>
          <c:dLbls>
            <c:showLegendKey val="0"/>
            <c:showVal val="0"/>
            <c:showCatName val="1"/>
            <c:showSerName val="0"/>
            <c:showPercent val="1"/>
            <c:showBubbleSize val="0"/>
            <c:showLeaderLines val="1"/>
          </c:dLbls>
          <c:cat>
            <c:strRef>
              <c:f>Hárok1!$I$20:$I$26</c:f>
              <c:strCache>
                <c:ptCount val="7"/>
                <c:pt idx="0">
                  <c:v>Dotácia na vzdelávanie</c:v>
                </c:pt>
                <c:pt idx="1">
                  <c:v>Dotácia na vedu</c:v>
                </c:pt>
                <c:pt idx="2">
                  <c:v>Podpora sociálnych služieb</c:v>
                </c:pt>
                <c:pt idx="3">
                  <c:v>Granty domáce</c:v>
                </c:pt>
                <c:pt idx="4">
                  <c:v>Granty zahraničné</c:v>
                </c:pt>
                <c:pt idx="5">
                  <c:v>Zmluvy o dielo</c:v>
                </c:pt>
                <c:pt idx="6">
                  <c:v>Vlastné zdroje</c:v>
                </c:pt>
              </c:strCache>
            </c:strRef>
          </c:cat>
          <c:val>
            <c:numRef>
              <c:f>Hárok1!$J$20:$J$26</c:f>
              <c:numCache>
                <c:formatCode>0.0</c:formatCode>
                <c:ptCount val="7"/>
                <c:pt idx="0">
                  <c:v>42.984171492307325</c:v>
                </c:pt>
                <c:pt idx="1">
                  <c:v>18.25006670852245</c:v>
                </c:pt>
                <c:pt idx="2">
                  <c:v>9.5976768516427811</c:v>
                </c:pt>
                <c:pt idx="3">
                  <c:v>7.3516187848055301</c:v>
                </c:pt>
                <c:pt idx="4">
                  <c:v>3.3700913812937348</c:v>
                </c:pt>
                <c:pt idx="5">
                  <c:v>1.9070742587585305</c:v>
                </c:pt>
                <c:pt idx="6">
                  <c:v>16.539300522669638</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sk-SK" sz="1200"/>
              <a:t>Finančné prostriedky z domácich grantových agentúr</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Hárok3!$B$78</c:f>
              <c:strCache>
                <c:ptCount val="1"/>
                <c:pt idx="0">
                  <c:v>STU (€)</c:v>
                </c:pt>
              </c:strCache>
            </c:strRef>
          </c:tx>
          <c:invertIfNegative val="0"/>
          <c:cat>
            <c:strRef>
              <c:f>Hárok3!$C$77:$G$77</c:f>
              <c:strCache>
                <c:ptCount val="5"/>
                <c:pt idx="0">
                  <c:v>2011</c:v>
                </c:pt>
                <c:pt idx="1">
                  <c:v>2012</c:v>
                </c:pt>
                <c:pt idx="2">
                  <c:v>2013</c:v>
                </c:pt>
                <c:pt idx="3">
                  <c:v>2014</c:v>
                </c:pt>
                <c:pt idx="4">
                  <c:v>2015</c:v>
                </c:pt>
              </c:strCache>
            </c:strRef>
          </c:cat>
          <c:val>
            <c:numRef>
              <c:f>Hárok3!$C$78:$G$78</c:f>
              <c:numCache>
                <c:formatCode>General</c:formatCode>
                <c:ptCount val="5"/>
                <c:pt idx="0">
                  <c:v>4122965</c:v>
                </c:pt>
                <c:pt idx="1">
                  <c:v>3894829</c:v>
                </c:pt>
                <c:pt idx="2" formatCode="#,##0">
                  <c:v>4605369</c:v>
                </c:pt>
                <c:pt idx="3" formatCode="#,##0">
                  <c:v>6142930</c:v>
                </c:pt>
                <c:pt idx="4">
                  <c:v>4838305</c:v>
                </c:pt>
              </c:numCache>
            </c:numRef>
          </c:val>
        </c:ser>
        <c:dLbls>
          <c:showLegendKey val="0"/>
          <c:showVal val="0"/>
          <c:showCatName val="0"/>
          <c:showSerName val="0"/>
          <c:showPercent val="0"/>
          <c:showBubbleSize val="0"/>
        </c:dLbls>
        <c:gapWidth val="150"/>
        <c:shape val="cylinder"/>
        <c:axId val="135302528"/>
        <c:axId val="135312512"/>
        <c:axId val="0"/>
      </c:bar3DChart>
      <c:catAx>
        <c:axId val="135302528"/>
        <c:scaling>
          <c:orientation val="minMax"/>
        </c:scaling>
        <c:delete val="0"/>
        <c:axPos val="b"/>
        <c:majorTickMark val="none"/>
        <c:minorTickMark val="none"/>
        <c:tickLblPos val="nextTo"/>
        <c:crossAx val="135312512"/>
        <c:crosses val="autoZero"/>
        <c:auto val="1"/>
        <c:lblAlgn val="ctr"/>
        <c:lblOffset val="100"/>
        <c:noMultiLvlLbl val="0"/>
      </c:catAx>
      <c:valAx>
        <c:axId val="135312512"/>
        <c:scaling>
          <c:orientation val="minMax"/>
        </c:scaling>
        <c:delete val="0"/>
        <c:axPos val="l"/>
        <c:majorGridlines/>
        <c:title>
          <c:tx>
            <c:rich>
              <a:bodyPr/>
              <a:lstStyle/>
              <a:p>
                <a:pPr>
                  <a:defRPr/>
                </a:pPr>
                <a:r>
                  <a:rPr lang="sk-SK" sz="1200"/>
                  <a:t>€</a:t>
                </a:r>
              </a:p>
            </c:rich>
          </c:tx>
          <c:overlay val="0"/>
        </c:title>
        <c:numFmt formatCode="General" sourceLinked="1"/>
        <c:majorTickMark val="none"/>
        <c:minorTickMark val="none"/>
        <c:tickLblPos val="nextTo"/>
        <c:crossAx val="135302528"/>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sk-SK" sz="1200" b="1" i="0" baseline="0">
                <a:effectLst/>
              </a:rPr>
              <a:t>Finančné prostriedky zo zahraničných grantových agentúr</a:t>
            </a:r>
            <a:endParaRPr lang="sk-SK"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Hárok3!$B$94</c:f>
              <c:strCache>
                <c:ptCount val="1"/>
                <c:pt idx="0">
                  <c:v>STU (€)</c:v>
                </c:pt>
              </c:strCache>
            </c:strRef>
          </c:tx>
          <c:invertIfNegative val="0"/>
          <c:cat>
            <c:strRef>
              <c:f>Hárok3!$C$93:$G$93</c:f>
              <c:strCache>
                <c:ptCount val="5"/>
                <c:pt idx="0">
                  <c:v>2011</c:v>
                </c:pt>
                <c:pt idx="1">
                  <c:v>2012</c:v>
                </c:pt>
                <c:pt idx="2">
                  <c:v>2013</c:v>
                </c:pt>
                <c:pt idx="3">
                  <c:v>2014</c:v>
                </c:pt>
                <c:pt idx="4">
                  <c:v>2015</c:v>
                </c:pt>
              </c:strCache>
            </c:strRef>
          </c:cat>
          <c:val>
            <c:numRef>
              <c:f>Hárok3!$C$94:$G$94</c:f>
              <c:numCache>
                <c:formatCode>0</c:formatCode>
                <c:ptCount val="5"/>
                <c:pt idx="0">
                  <c:v>3083044.5899999994</c:v>
                </c:pt>
                <c:pt idx="1">
                  <c:v>408945</c:v>
                </c:pt>
                <c:pt idx="2">
                  <c:v>815307</c:v>
                </c:pt>
                <c:pt idx="3">
                  <c:v>974206</c:v>
                </c:pt>
                <c:pt idx="4">
                  <c:v>1726558</c:v>
                </c:pt>
              </c:numCache>
            </c:numRef>
          </c:val>
        </c:ser>
        <c:dLbls>
          <c:showLegendKey val="0"/>
          <c:showVal val="0"/>
          <c:showCatName val="0"/>
          <c:showSerName val="0"/>
          <c:showPercent val="0"/>
          <c:showBubbleSize val="0"/>
        </c:dLbls>
        <c:gapWidth val="150"/>
        <c:shape val="cylinder"/>
        <c:axId val="135339008"/>
        <c:axId val="135340800"/>
        <c:axId val="0"/>
      </c:bar3DChart>
      <c:catAx>
        <c:axId val="135339008"/>
        <c:scaling>
          <c:orientation val="minMax"/>
        </c:scaling>
        <c:delete val="0"/>
        <c:axPos val="b"/>
        <c:majorTickMark val="none"/>
        <c:minorTickMark val="none"/>
        <c:tickLblPos val="nextTo"/>
        <c:crossAx val="135340800"/>
        <c:crosses val="autoZero"/>
        <c:auto val="1"/>
        <c:lblAlgn val="ctr"/>
        <c:lblOffset val="100"/>
        <c:noMultiLvlLbl val="0"/>
      </c:catAx>
      <c:valAx>
        <c:axId val="135340800"/>
        <c:scaling>
          <c:orientation val="minMax"/>
        </c:scaling>
        <c:delete val="0"/>
        <c:axPos val="l"/>
        <c:majorGridlines/>
        <c:title>
          <c:tx>
            <c:rich>
              <a:bodyPr/>
              <a:lstStyle/>
              <a:p>
                <a:pPr>
                  <a:defRPr/>
                </a:pPr>
                <a:r>
                  <a:rPr lang="sk-SK" sz="1200"/>
                  <a:t>€</a:t>
                </a:r>
              </a:p>
            </c:rich>
          </c:tx>
          <c:overlay val="0"/>
        </c:title>
        <c:numFmt formatCode="0" sourceLinked="1"/>
        <c:majorTickMark val="none"/>
        <c:minorTickMark val="none"/>
        <c:tickLblPos val="nextTo"/>
        <c:crossAx val="135339008"/>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7407485250749"/>
          <c:y val="6.595856163140898E-2"/>
          <c:w val="0.8853239165425798"/>
          <c:h val="0.72619083210631363"/>
        </c:manualLayout>
      </c:layout>
      <c:lineChart>
        <c:grouping val="standard"/>
        <c:varyColors val="0"/>
        <c:ser>
          <c:idx val="1"/>
          <c:order val="0"/>
          <c:tx>
            <c:strRef>
              <c:f>Tab4a_štud_VŠ!$A$23</c:f>
              <c:strCache>
                <c:ptCount val="1"/>
                <c:pt idx="0">
                  <c:v>I. stupeň</c:v>
                </c:pt>
              </c:strCache>
            </c:strRef>
          </c:tx>
          <c:marker>
            <c:symbol val="none"/>
          </c:marker>
          <c:dLbls>
            <c:dLbl>
              <c:idx val="0"/>
              <c:layout>
                <c:manualLayout>
                  <c:x val="-6.6052998605299867E-2"/>
                  <c:y val="7.5805167211241434E-2"/>
                </c:manualLayout>
              </c:layout>
              <c:dLblPos val="r"/>
              <c:showLegendKey val="0"/>
              <c:showVal val="1"/>
              <c:showCatName val="0"/>
              <c:showSerName val="0"/>
              <c:showPercent val="0"/>
              <c:showBubbleSize val="0"/>
            </c:dLbl>
            <c:dLbl>
              <c:idx val="1"/>
              <c:layout>
                <c:manualLayout>
                  <c:x val="-6.6052998605299909E-2"/>
                  <c:y val="7.5805167211241434E-2"/>
                </c:manualLayout>
              </c:layout>
              <c:dLblPos val="r"/>
              <c:showLegendKey val="0"/>
              <c:showVal val="1"/>
              <c:showCatName val="0"/>
              <c:showSerName val="0"/>
              <c:showPercent val="0"/>
              <c:showBubbleSize val="0"/>
            </c:dLbl>
            <c:dLbl>
              <c:idx val="2"/>
              <c:layout>
                <c:manualLayout>
                  <c:x val="-7.1631799163180021E-2"/>
                  <c:y val="7.5805167211241434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Tab4a_štud_VŠ!$C$22:$G$22</c:f>
              <c:strCache>
                <c:ptCount val="5"/>
                <c:pt idx="0">
                  <c:v>2010/2011</c:v>
                </c:pt>
                <c:pt idx="1">
                  <c:v>2011/2012</c:v>
                </c:pt>
                <c:pt idx="2">
                  <c:v>2012/2013</c:v>
                </c:pt>
                <c:pt idx="3">
                  <c:v>2013/2014</c:v>
                </c:pt>
                <c:pt idx="4">
                  <c:v>2014/2015</c:v>
                </c:pt>
              </c:strCache>
            </c:strRef>
          </c:cat>
          <c:val>
            <c:numRef>
              <c:f>Tab4a_štud_VŠ!$C$23:$G$23</c:f>
              <c:numCache>
                <c:formatCode>#,##0</c:formatCode>
                <c:ptCount val="5"/>
                <c:pt idx="0">
                  <c:v>10975</c:v>
                </c:pt>
                <c:pt idx="1">
                  <c:v>10825</c:v>
                </c:pt>
                <c:pt idx="2">
                  <c:v>10883</c:v>
                </c:pt>
                <c:pt idx="3">
                  <c:v>10619</c:v>
                </c:pt>
                <c:pt idx="4">
                  <c:v>9936</c:v>
                </c:pt>
              </c:numCache>
            </c:numRef>
          </c:val>
          <c:smooth val="0"/>
        </c:ser>
        <c:ser>
          <c:idx val="2"/>
          <c:order val="1"/>
          <c:tx>
            <c:strRef>
              <c:f>Tab4a_štud_VŠ!$A$24</c:f>
              <c:strCache>
                <c:ptCount val="1"/>
                <c:pt idx="0">
                  <c:v>II. stupeň</c:v>
                </c:pt>
              </c:strCache>
            </c:strRef>
          </c:tx>
          <c:marker>
            <c:symbol val="none"/>
          </c:marker>
          <c:cat>
            <c:strRef>
              <c:f>Tab4a_štud_VŠ!$C$22:$G$22</c:f>
              <c:strCache>
                <c:ptCount val="5"/>
                <c:pt idx="0">
                  <c:v>2010/2011</c:v>
                </c:pt>
                <c:pt idx="1">
                  <c:v>2011/2012</c:v>
                </c:pt>
                <c:pt idx="2">
                  <c:v>2012/2013</c:v>
                </c:pt>
                <c:pt idx="3">
                  <c:v>2013/2014</c:v>
                </c:pt>
                <c:pt idx="4">
                  <c:v>2014/2015</c:v>
                </c:pt>
              </c:strCache>
            </c:strRef>
          </c:cat>
          <c:val>
            <c:numRef>
              <c:f>Tab4a_štud_VŠ!$C$24:$G$24</c:f>
              <c:numCache>
                <c:formatCode>#,##0</c:formatCode>
                <c:ptCount val="5"/>
                <c:pt idx="0">
                  <c:v>5427</c:v>
                </c:pt>
                <c:pt idx="1">
                  <c:v>5220</c:v>
                </c:pt>
                <c:pt idx="2">
                  <c:v>4640</c:v>
                </c:pt>
                <c:pt idx="3">
                  <c:v>4419</c:v>
                </c:pt>
                <c:pt idx="4">
                  <c:v>4239</c:v>
                </c:pt>
              </c:numCache>
            </c:numRef>
          </c:val>
          <c:smooth val="0"/>
        </c:ser>
        <c:ser>
          <c:idx val="3"/>
          <c:order val="2"/>
          <c:tx>
            <c:strRef>
              <c:f>Tab4a_štud_VŠ!$A$25</c:f>
              <c:strCache>
                <c:ptCount val="1"/>
                <c:pt idx="0">
                  <c:v>III. stupeň</c:v>
                </c:pt>
              </c:strCache>
            </c:strRef>
          </c:tx>
          <c:marker>
            <c:symbol val="none"/>
          </c:marker>
          <c:cat>
            <c:strRef>
              <c:f>Tab4a_štud_VŠ!$C$22:$G$22</c:f>
              <c:strCache>
                <c:ptCount val="5"/>
                <c:pt idx="0">
                  <c:v>2010/2011</c:v>
                </c:pt>
                <c:pt idx="1">
                  <c:v>2011/2012</c:v>
                </c:pt>
                <c:pt idx="2">
                  <c:v>2012/2013</c:v>
                </c:pt>
                <c:pt idx="3">
                  <c:v>2013/2014</c:v>
                </c:pt>
                <c:pt idx="4">
                  <c:v>2014/2015</c:v>
                </c:pt>
              </c:strCache>
            </c:strRef>
          </c:cat>
          <c:val>
            <c:numRef>
              <c:f>Tab4a_štud_VŠ!$C$25:$G$25</c:f>
              <c:numCache>
                <c:formatCode>#,##0</c:formatCode>
                <c:ptCount val="5"/>
                <c:pt idx="0">
                  <c:v>1740</c:v>
                </c:pt>
                <c:pt idx="1">
                  <c:v>1691</c:v>
                </c:pt>
                <c:pt idx="2">
                  <c:v>1536</c:v>
                </c:pt>
                <c:pt idx="3">
                  <c:v>1364</c:v>
                </c:pt>
                <c:pt idx="4">
                  <c:v>1228</c:v>
                </c:pt>
              </c:numCache>
            </c:numRef>
          </c:val>
          <c:smooth val="0"/>
        </c:ser>
        <c:dLbls>
          <c:dLblPos val="t"/>
          <c:showLegendKey val="0"/>
          <c:showVal val="1"/>
          <c:showCatName val="0"/>
          <c:showSerName val="0"/>
          <c:showPercent val="0"/>
          <c:showBubbleSize val="0"/>
        </c:dLbls>
        <c:marker val="1"/>
        <c:smooth val="0"/>
        <c:axId val="128759680"/>
        <c:axId val="128761216"/>
      </c:lineChart>
      <c:catAx>
        <c:axId val="128759680"/>
        <c:scaling>
          <c:orientation val="minMax"/>
        </c:scaling>
        <c:delete val="0"/>
        <c:axPos val="b"/>
        <c:majorTickMark val="out"/>
        <c:minorTickMark val="none"/>
        <c:tickLblPos val="nextTo"/>
        <c:crossAx val="128761216"/>
        <c:crosses val="autoZero"/>
        <c:auto val="1"/>
        <c:lblAlgn val="ctr"/>
        <c:lblOffset val="100"/>
        <c:noMultiLvlLbl val="0"/>
      </c:catAx>
      <c:valAx>
        <c:axId val="128761216"/>
        <c:scaling>
          <c:orientation val="minMax"/>
        </c:scaling>
        <c:delete val="0"/>
        <c:axPos val="l"/>
        <c:majorGridlines/>
        <c:numFmt formatCode="#,##0" sourceLinked="1"/>
        <c:majorTickMark val="out"/>
        <c:minorTickMark val="none"/>
        <c:tickLblPos val="nextTo"/>
        <c:crossAx val="128759680"/>
        <c:crosses val="autoZero"/>
        <c:crossBetween val="between"/>
      </c:valAx>
    </c:plotArea>
    <c:legend>
      <c:legendPos val="b"/>
      <c:overlay val="0"/>
    </c:legend>
    <c:plotVisOnly val="1"/>
    <c:dispBlanksAs val="gap"/>
    <c:showDLblsOverMax val="0"/>
  </c:chart>
  <c:spPr>
    <a:noFill/>
    <a:ln>
      <a:noFill/>
    </a:ln>
  </c:spPr>
  <c:txPr>
    <a:bodyPr/>
    <a:lstStyle/>
    <a:p>
      <a:pPr>
        <a:defRPr sz="1100">
          <a:latin typeface="+mj-lt"/>
        </a:defRPr>
      </a:pPr>
      <a:endParaRPr lang="sk-SK"/>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100"/>
              <a:t>a) Podiel súčastí STU na grantoch z VEGA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lumMod val="50000"/>
                </a:schemeClr>
              </a:solidFill>
            </c:spPr>
          </c:dPt>
          <c:dPt>
            <c:idx val="1"/>
            <c:bubble3D val="0"/>
            <c:spPr>
              <a:solidFill>
                <a:schemeClr val="bg1">
                  <a:lumMod val="65000"/>
                </a:schemeClr>
              </a:solidFill>
            </c:spPr>
          </c:dPt>
          <c:dPt>
            <c:idx val="2"/>
            <c:bubble3D val="0"/>
            <c:spPr>
              <a:solidFill>
                <a:srgbClr val="0070C0"/>
              </a:solidFill>
            </c:spPr>
          </c:dPt>
          <c:dPt>
            <c:idx val="3"/>
            <c:bubble3D val="0"/>
            <c:spPr>
              <a:solidFill>
                <a:srgbClr val="FFC000"/>
              </a:solidFill>
            </c:spPr>
          </c:dPt>
          <c:dPt>
            <c:idx val="4"/>
            <c:bubble3D val="0"/>
            <c:spPr>
              <a:solidFill>
                <a:srgbClr val="00B050"/>
              </a:solidFill>
            </c:spPr>
          </c:dPt>
          <c:dPt>
            <c:idx val="5"/>
            <c:bubble3D val="0"/>
            <c:spPr>
              <a:solidFill>
                <a:srgbClr val="C00000"/>
              </a:solidFill>
            </c:spPr>
          </c:dPt>
          <c:dPt>
            <c:idx val="6"/>
            <c:bubble3D val="0"/>
            <c:spPr>
              <a:solidFill>
                <a:srgbClr val="00B0F0"/>
              </a:solidFill>
            </c:spPr>
          </c:dPt>
          <c:dLbls>
            <c:showLegendKey val="0"/>
            <c:showVal val="0"/>
            <c:showCatName val="1"/>
            <c:showSerName val="0"/>
            <c:showPercent val="1"/>
            <c:showBubbleSize val="0"/>
            <c:showLeaderLines val="1"/>
          </c:dLbls>
          <c:cat>
            <c:strRef>
              <c:f>'[projekty_napocty_2015_3_kor (3).xlsx]VEGA'!$K$29:$K$37</c:f>
              <c:strCache>
                <c:ptCount val="7"/>
                <c:pt idx="0">
                  <c:v>SvF</c:v>
                </c:pt>
                <c:pt idx="1">
                  <c:v>SjF</c:v>
                </c:pt>
                <c:pt idx="2">
                  <c:v>FEI</c:v>
                </c:pt>
                <c:pt idx="3">
                  <c:v>FChPT</c:v>
                </c:pt>
                <c:pt idx="4">
                  <c:v>FA</c:v>
                </c:pt>
                <c:pt idx="5">
                  <c:v>MTF</c:v>
                </c:pt>
                <c:pt idx="6">
                  <c:v>FIIT</c:v>
                </c:pt>
              </c:strCache>
            </c:strRef>
          </c:cat>
          <c:val>
            <c:numRef>
              <c:f>'[projekty_napocty_2015_3_kor (3).xlsx]VEGA'!$L$29:$L$37</c:f>
              <c:numCache>
                <c:formatCode>0.0</c:formatCode>
                <c:ptCount val="9"/>
                <c:pt idx="0">
                  <c:v>20.708633279443532</c:v>
                </c:pt>
                <c:pt idx="1">
                  <c:v>6.2737064641640234</c:v>
                </c:pt>
                <c:pt idx="2">
                  <c:v>27.786963188394036</c:v>
                </c:pt>
                <c:pt idx="3">
                  <c:v>29.268386212584428</c:v>
                </c:pt>
                <c:pt idx="4">
                  <c:v>0.82696483343160954</c:v>
                </c:pt>
                <c:pt idx="5">
                  <c:v>10.80839702759495</c:v>
                </c:pt>
                <c:pt idx="6">
                  <c:v>3.5327737612061236</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100"/>
              <a:t>b)</a:t>
            </a:r>
            <a:r>
              <a:rPr lang="sk-SK" sz="1100" baseline="0"/>
              <a:t> Podiel súčastí STU na grantoch z APVV</a:t>
            </a:r>
            <a:endParaRPr lang="sk-SK" sz="11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lumMod val="50000"/>
                </a:schemeClr>
              </a:solidFill>
            </c:spPr>
          </c:dPt>
          <c:dPt>
            <c:idx val="1"/>
            <c:bubble3D val="0"/>
            <c:spPr>
              <a:solidFill>
                <a:schemeClr val="bg1">
                  <a:lumMod val="65000"/>
                </a:schemeClr>
              </a:solidFill>
            </c:spPr>
          </c:dPt>
          <c:dPt>
            <c:idx val="2"/>
            <c:bubble3D val="0"/>
            <c:spPr>
              <a:solidFill>
                <a:srgbClr val="0070C0"/>
              </a:solidFill>
            </c:spPr>
          </c:dPt>
          <c:dPt>
            <c:idx val="3"/>
            <c:bubble3D val="0"/>
            <c:spPr>
              <a:solidFill>
                <a:srgbClr val="FFC000"/>
              </a:solidFill>
            </c:spPr>
          </c:dPt>
          <c:dPt>
            <c:idx val="4"/>
            <c:bubble3D val="0"/>
            <c:spPr>
              <a:solidFill>
                <a:srgbClr val="00B050"/>
              </a:solidFill>
            </c:spPr>
          </c:dPt>
          <c:dPt>
            <c:idx val="5"/>
            <c:bubble3D val="0"/>
            <c:spPr>
              <a:solidFill>
                <a:srgbClr val="C00000"/>
              </a:solidFill>
            </c:spPr>
          </c:dPt>
          <c:dLbls>
            <c:showLegendKey val="0"/>
            <c:showVal val="0"/>
            <c:showCatName val="1"/>
            <c:showSerName val="0"/>
            <c:showPercent val="1"/>
            <c:showBubbleSize val="0"/>
            <c:showLeaderLines val="1"/>
          </c:dLbls>
          <c:cat>
            <c:strRef>
              <c:f>'[projekty_napocty_2015_3_kor (3).xlsx]APVV'!$D$19:$D$25</c:f>
              <c:strCache>
                <c:ptCount val="7"/>
                <c:pt idx="0">
                  <c:v>SvF</c:v>
                </c:pt>
                <c:pt idx="1">
                  <c:v>SjF</c:v>
                </c:pt>
                <c:pt idx="2">
                  <c:v>FEI</c:v>
                </c:pt>
                <c:pt idx="3">
                  <c:v>FChPT</c:v>
                </c:pt>
                <c:pt idx="4">
                  <c:v>FA</c:v>
                </c:pt>
                <c:pt idx="5">
                  <c:v>MTF</c:v>
                </c:pt>
                <c:pt idx="6">
                  <c:v>FIIT</c:v>
                </c:pt>
              </c:strCache>
            </c:strRef>
          </c:cat>
          <c:val>
            <c:numRef>
              <c:f>'[projekty_napocty_2015_3_kor (3).xlsx]APVV'!$E$19:$E$25</c:f>
              <c:numCache>
                <c:formatCode>0.0</c:formatCode>
                <c:ptCount val="7"/>
                <c:pt idx="0">
                  <c:v>14.327660109366578</c:v>
                </c:pt>
                <c:pt idx="1">
                  <c:v>9.4321927873867129</c:v>
                </c:pt>
                <c:pt idx="2">
                  <c:v>29.438171818329597</c:v>
                </c:pt>
                <c:pt idx="3">
                  <c:v>34.081167401678343</c:v>
                </c:pt>
                <c:pt idx="4">
                  <c:v>4.129710420098494</c:v>
                </c:pt>
                <c:pt idx="5">
                  <c:v>8.4627638325555434</c:v>
                </c:pt>
                <c:pt idx="6">
                  <c:v>0.1283336305847341</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sk-SK" sz="1100" b="1" i="0" baseline="0">
                <a:effectLst/>
              </a:rPr>
              <a:t>c) Podiel súčastí STU na zahraničných výskumných grantoch</a:t>
            </a:r>
            <a:endParaRPr lang="sk-SK" sz="11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lumMod val="50000"/>
                </a:schemeClr>
              </a:solidFill>
            </c:spPr>
          </c:dPt>
          <c:dPt>
            <c:idx val="1"/>
            <c:bubble3D val="0"/>
            <c:spPr>
              <a:solidFill>
                <a:schemeClr val="bg1">
                  <a:lumMod val="65000"/>
                </a:schemeClr>
              </a:solidFill>
            </c:spPr>
          </c:dPt>
          <c:dPt>
            <c:idx val="2"/>
            <c:bubble3D val="0"/>
            <c:spPr>
              <a:solidFill>
                <a:srgbClr val="0070C0"/>
              </a:solidFill>
            </c:spPr>
          </c:dPt>
          <c:dPt>
            <c:idx val="3"/>
            <c:bubble3D val="0"/>
            <c:spPr>
              <a:solidFill>
                <a:srgbClr val="FFC000"/>
              </a:solidFill>
            </c:spPr>
          </c:dPt>
          <c:dPt>
            <c:idx val="4"/>
            <c:bubble3D val="0"/>
            <c:spPr>
              <a:solidFill>
                <a:srgbClr val="00B050"/>
              </a:solidFill>
            </c:spPr>
          </c:dPt>
          <c:dPt>
            <c:idx val="5"/>
            <c:bubble3D val="0"/>
            <c:spPr>
              <a:solidFill>
                <a:srgbClr val="C00000"/>
              </a:solidFill>
            </c:spPr>
          </c:dPt>
          <c:dLbls>
            <c:showLegendKey val="0"/>
            <c:showVal val="0"/>
            <c:showCatName val="1"/>
            <c:showSerName val="0"/>
            <c:showPercent val="1"/>
            <c:showBubbleSize val="0"/>
            <c:showLeaderLines val="1"/>
          </c:dLbls>
          <c:cat>
            <c:strRef>
              <c:f>'[projekty_napocty_2015_3_kor (3).xlsx]zahr. vyskumne'!$D$17:$D$24</c:f>
              <c:strCache>
                <c:ptCount val="8"/>
                <c:pt idx="0">
                  <c:v>SvF</c:v>
                </c:pt>
                <c:pt idx="1">
                  <c:v>SjF</c:v>
                </c:pt>
                <c:pt idx="2">
                  <c:v>FEI</c:v>
                </c:pt>
                <c:pt idx="3">
                  <c:v>FChPT</c:v>
                </c:pt>
                <c:pt idx="4">
                  <c:v>FA</c:v>
                </c:pt>
                <c:pt idx="5">
                  <c:v>MTF</c:v>
                </c:pt>
                <c:pt idx="7">
                  <c:v>ÚM</c:v>
                </c:pt>
              </c:strCache>
            </c:strRef>
          </c:cat>
          <c:val>
            <c:numRef>
              <c:f>'[projekty_napocty_2015_3_kor (3).xlsx]zahr. vyskumne'!$E$17:$E$24</c:f>
              <c:numCache>
                <c:formatCode>0.0</c:formatCode>
                <c:ptCount val="8"/>
                <c:pt idx="0">
                  <c:v>8.7517725632226693</c:v>
                </c:pt>
                <c:pt idx="1">
                  <c:v>3.3705340109667805</c:v>
                </c:pt>
                <c:pt idx="2">
                  <c:v>44.278662154233459</c:v>
                </c:pt>
                <c:pt idx="3">
                  <c:v>30.248203806443357</c:v>
                </c:pt>
                <c:pt idx="4">
                  <c:v>10.081875072764138</c:v>
                </c:pt>
                <c:pt idx="5">
                  <c:v>0.67461721740714142</c:v>
                </c:pt>
                <c:pt idx="7">
                  <c:v>2.2638263389465942</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sk-SK" sz="1100"/>
              <a:t>b) Zahraničné granty</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0000"/>
            </a:solidFill>
          </c:spPr>
          <c:invertIfNegative val="0"/>
          <c:dPt>
            <c:idx val="2"/>
            <c:invertIfNegative val="0"/>
            <c:bubble3D val="0"/>
            <c:spPr>
              <a:solidFill>
                <a:srgbClr val="00B050"/>
              </a:solidFill>
              <a:ln>
                <a:solidFill>
                  <a:schemeClr val="accent1"/>
                </a:solidFill>
              </a:ln>
            </c:spPr>
          </c:dPt>
          <c:dPt>
            <c:idx val="3"/>
            <c:invertIfNegative val="0"/>
            <c:bubble3D val="0"/>
            <c:spPr>
              <a:solidFill>
                <a:srgbClr val="00B050"/>
              </a:solidFill>
            </c:spPr>
          </c:dPt>
          <c:dPt>
            <c:idx val="4"/>
            <c:invertIfNegative val="0"/>
            <c:bubble3D val="0"/>
            <c:spPr>
              <a:solidFill>
                <a:srgbClr val="00B050"/>
              </a:solidFill>
            </c:spPr>
          </c:dPt>
          <c:cat>
            <c:strRef>
              <c:f>'[projekty_napocty_2015_3_kor (3).xlsx]zahr. vyskumne'!$E$31:$E$38</c:f>
              <c:strCache>
                <c:ptCount val="8"/>
                <c:pt idx="0">
                  <c:v>SvF</c:v>
                </c:pt>
                <c:pt idx="1">
                  <c:v>SjF</c:v>
                </c:pt>
                <c:pt idx="2">
                  <c:v>FEI</c:v>
                </c:pt>
                <c:pt idx="3">
                  <c:v>FChPT</c:v>
                </c:pt>
                <c:pt idx="4">
                  <c:v>FA</c:v>
                </c:pt>
                <c:pt idx="5">
                  <c:v>MTF</c:v>
                </c:pt>
                <c:pt idx="6">
                  <c:v>FIIT</c:v>
                </c:pt>
                <c:pt idx="7">
                  <c:v>ÚM</c:v>
                </c:pt>
              </c:strCache>
            </c:strRef>
          </c:cat>
          <c:val>
            <c:numRef>
              <c:f>'[projekty_napocty_2015_3_kor (3).xlsx]zahr. vyskumne'!$F$31:$F$38</c:f>
              <c:numCache>
                <c:formatCode>General</c:formatCode>
                <c:ptCount val="8"/>
                <c:pt idx="0">
                  <c:v>-759.97735368326209</c:v>
                </c:pt>
                <c:pt idx="1">
                  <c:v>-929.60898602931093</c:v>
                </c:pt>
                <c:pt idx="2">
                  <c:v>1550.8337507406163</c:v>
                </c:pt>
                <c:pt idx="3">
                  <c:v>717.74644154830685</c:v>
                </c:pt>
                <c:pt idx="4">
                  <c:v>108.07749395708311</c:v>
                </c:pt>
                <c:pt idx="5">
                  <c:v>-1272.611175262796</c:v>
                </c:pt>
                <c:pt idx="6">
                  <c:v>-1199.557717049852</c:v>
                </c:pt>
                <c:pt idx="7">
                  <c:v>-353.26790524745093</c:v>
                </c:pt>
              </c:numCache>
            </c:numRef>
          </c:val>
        </c:ser>
        <c:dLbls>
          <c:showLegendKey val="0"/>
          <c:showVal val="0"/>
          <c:showCatName val="0"/>
          <c:showSerName val="0"/>
          <c:showPercent val="0"/>
          <c:showBubbleSize val="0"/>
        </c:dLbls>
        <c:gapWidth val="150"/>
        <c:shape val="cylinder"/>
        <c:axId val="135494272"/>
        <c:axId val="135508352"/>
        <c:axId val="0"/>
      </c:bar3DChart>
      <c:catAx>
        <c:axId val="135494272"/>
        <c:scaling>
          <c:orientation val="minMax"/>
        </c:scaling>
        <c:delete val="0"/>
        <c:axPos val="b"/>
        <c:majorTickMark val="none"/>
        <c:minorTickMark val="none"/>
        <c:tickLblPos val="nextTo"/>
        <c:crossAx val="135508352"/>
        <c:crosses val="autoZero"/>
        <c:auto val="1"/>
        <c:lblAlgn val="ctr"/>
        <c:lblOffset val="100"/>
        <c:noMultiLvlLbl val="0"/>
      </c:catAx>
      <c:valAx>
        <c:axId val="135508352"/>
        <c:scaling>
          <c:orientation val="minMax"/>
        </c:scaling>
        <c:delete val="0"/>
        <c:axPos val="l"/>
        <c:majorGridlines/>
        <c:numFmt formatCode="General" sourceLinked="1"/>
        <c:majorTickMark val="none"/>
        <c:minorTickMark val="none"/>
        <c:tickLblPos val="nextTo"/>
        <c:crossAx val="135494272"/>
        <c:crosses val="autoZero"/>
        <c:crossBetween val="between"/>
      </c:valAx>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'C:\Users\test\AppData\Local\Microsoft\Windows\Temporary Internet Files\Content.Outlook\3I1XHD89\[publikacie_2015.xlsx]Hárok1'!$B$100</c:f>
              <c:strCache>
                <c:ptCount val="1"/>
                <c:pt idx="0">
                  <c:v>A1</c:v>
                </c:pt>
              </c:strCache>
            </c:strRef>
          </c:tx>
          <c:spPr>
            <a:solidFill>
              <a:srgbClr val="FF0000"/>
            </a:solidFill>
          </c:spPr>
          <c:invertIfNegative val="0"/>
          <c:cat>
            <c:numRef>
              <c:f>'C:\Users\test\AppData\Local\Microsoft\Windows\Temporary Internet Files\Content.Outlook\3I1XHD89\[publikacie_2015.xlsx]Hárok1'!$C$99:$G$99</c:f>
              <c:numCache>
                <c:formatCode>General</c:formatCode>
                <c:ptCount val="5"/>
                <c:pt idx="0">
                  <c:v>2011</c:v>
                </c:pt>
                <c:pt idx="1">
                  <c:v>2012</c:v>
                </c:pt>
                <c:pt idx="2">
                  <c:v>2013</c:v>
                </c:pt>
                <c:pt idx="3">
                  <c:v>2014</c:v>
                </c:pt>
                <c:pt idx="4">
                  <c:v>2015</c:v>
                </c:pt>
              </c:numCache>
            </c:numRef>
          </c:cat>
          <c:val>
            <c:numRef>
              <c:f>'C:\Users\test\AppData\Local\Microsoft\Windows\Temporary Internet Files\Content.Outlook\3I1XHD89\[publikacie_2015.xlsx]Hárok1'!$C$100:$G$100</c:f>
              <c:numCache>
                <c:formatCode>General</c:formatCode>
                <c:ptCount val="5"/>
                <c:pt idx="0">
                  <c:v>145</c:v>
                </c:pt>
                <c:pt idx="1">
                  <c:v>105</c:v>
                </c:pt>
                <c:pt idx="2">
                  <c:v>112</c:v>
                </c:pt>
                <c:pt idx="3">
                  <c:v>42</c:v>
                </c:pt>
                <c:pt idx="4">
                  <c:v>79</c:v>
                </c:pt>
              </c:numCache>
            </c:numRef>
          </c:val>
        </c:ser>
        <c:ser>
          <c:idx val="1"/>
          <c:order val="1"/>
          <c:tx>
            <c:strRef>
              <c:f>'C:\Users\test\AppData\Local\Microsoft\Windows\Temporary Internet Files\Content.Outlook\3I1XHD89\[publikacie_2015.xlsx]Hárok1'!$B$101</c:f>
              <c:strCache>
                <c:ptCount val="1"/>
                <c:pt idx="0">
                  <c:v>A2</c:v>
                </c:pt>
              </c:strCache>
            </c:strRef>
          </c:tx>
          <c:spPr>
            <a:solidFill>
              <a:srgbClr val="00B0F0"/>
            </a:solidFill>
          </c:spPr>
          <c:invertIfNegative val="0"/>
          <c:cat>
            <c:numRef>
              <c:f>'C:\Users\test\AppData\Local\Microsoft\Windows\Temporary Internet Files\Content.Outlook\3I1XHD89\[publikacie_2015.xlsx]Hárok1'!$C$99:$G$99</c:f>
              <c:numCache>
                <c:formatCode>General</c:formatCode>
                <c:ptCount val="5"/>
                <c:pt idx="0">
                  <c:v>2011</c:v>
                </c:pt>
                <c:pt idx="1">
                  <c:v>2012</c:v>
                </c:pt>
                <c:pt idx="2">
                  <c:v>2013</c:v>
                </c:pt>
                <c:pt idx="3">
                  <c:v>2014</c:v>
                </c:pt>
                <c:pt idx="4">
                  <c:v>2015</c:v>
                </c:pt>
              </c:numCache>
            </c:numRef>
          </c:cat>
          <c:val>
            <c:numRef>
              <c:f>'C:\Users\test\AppData\Local\Microsoft\Windows\Temporary Internet Files\Content.Outlook\3I1XHD89\[publikacie_2015.xlsx]Hárok1'!$C$101:$G$101</c:f>
              <c:numCache>
                <c:formatCode>General</c:formatCode>
                <c:ptCount val="5"/>
                <c:pt idx="0">
                  <c:v>190</c:v>
                </c:pt>
                <c:pt idx="1">
                  <c:v>196</c:v>
                </c:pt>
                <c:pt idx="2">
                  <c:v>184</c:v>
                </c:pt>
                <c:pt idx="3">
                  <c:v>184</c:v>
                </c:pt>
                <c:pt idx="4">
                  <c:v>165</c:v>
                </c:pt>
              </c:numCache>
            </c:numRef>
          </c:val>
        </c:ser>
        <c:ser>
          <c:idx val="2"/>
          <c:order val="2"/>
          <c:tx>
            <c:strRef>
              <c:f>'C:\Users\test\AppData\Local\Microsoft\Windows\Temporary Internet Files\Content.Outlook\3I1XHD89\[publikacie_2015.xlsx]Hárok1'!$B$102</c:f>
              <c:strCache>
                <c:ptCount val="1"/>
                <c:pt idx="0">
                  <c:v>B</c:v>
                </c:pt>
              </c:strCache>
            </c:strRef>
          </c:tx>
          <c:spPr>
            <a:solidFill>
              <a:srgbClr val="FFFF00"/>
            </a:solidFill>
          </c:spPr>
          <c:invertIfNegative val="0"/>
          <c:cat>
            <c:numRef>
              <c:f>'C:\Users\test\AppData\Local\Microsoft\Windows\Temporary Internet Files\Content.Outlook\3I1XHD89\[publikacie_2015.xlsx]Hárok1'!$C$99:$G$99</c:f>
              <c:numCache>
                <c:formatCode>General</c:formatCode>
                <c:ptCount val="5"/>
                <c:pt idx="0">
                  <c:v>2011</c:v>
                </c:pt>
                <c:pt idx="1">
                  <c:v>2012</c:v>
                </c:pt>
                <c:pt idx="2">
                  <c:v>2013</c:v>
                </c:pt>
                <c:pt idx="3">
                  <c:v>2014</c:v>
                </c:pt>
                <c:pt idx="4">
                  <c:v>2015</c:v>
                </c:pt>
              </c:numCache>
            </c:numRef>
          </c:cat>
          <c:val>
            <c:numRef>
              <c:f>'C:\Users\test\AppData\Local\Microsoft\Windows\Temporary Internet Files\Content.Outlook\3I1XHD89\[publikacie_2015.xlsx]Hárok1'!$C$102:$G$102</c:f>
              <c:numCache>
                <c:formatCode>General</c:formatCode>
                <c:ptCount val="5"/>
                <c:pt idx="0">
                  <c:v>364</c:v>
                </c:pt>
                <c:pt idx="1">
                  <c:v>325</c:v>
                </c:pt>
                <c:pt idx="2">
                  <c:v>393</c:v>
                </c:pt>
                <c:pt idx="3">
                  <c:v>408</c:v>
                </c:pt>
                <c:pt idx="4">
                  <c:v>475</c:v>
                </c:pt>
              </c:numCache>
            </c:numRef>
          </c:val>
        </c:ser>
        <c:ser>
          <c:idx val="3"/>
          <c:order val="3"/>
          <c:tx>
            <c:strRef>
              <c:f>'C:\Users\test\AppData\Local\Microsoft\Windows\Temporary Internet Files\Content.Outlook\3I1XHD89\[publikacie_2015.xlsx]Hárok1'!$B$103</c:f>
              <c:strCache>
                <c:ptCount val="1"/>
                <c:pt idx="0">
                  <c:v>C</c:v>
                </c:pt>
              </c:strCache>
            </c:strRef>
          </c:tx>
          <c:spPr>
            <a:solidFill>
              <a:srgbClr val="00B050"/>
            </a:solidFill>
          </c:spPr>
          <c:invertIfNegative val="0"/>
          <c:cat>
            <c:numRef>
              <c:f>'C:\Users\test\AppData\Local\Microsoft\Windows\Temporary Internet Files\Content.Outlook\3I1XHD89\[publikacie_2015.xlsx]Hárok1'!$C$99:$G$99</c:f>
              <c:numCache>
                <c:formatCode>General</c:formatCode>
                <c:ptCount val="5"/>
                <c:pt idx="0">
                  <c:v>2011</c:v>
                </c:pt>
                <c:pt idx="1">
                  <c:v>2012</c:v>
                </c:pt>
                <c:pt idx="2">
                  <c:v>2013</c:v>
                </c:pt>
                <c:pt idx="3">
                  <c:v>2014</c:v>
                </c:pt>
                <c:pt idx="4">
                  <c:v>2015</c:v>
                </c:pt>
              </c:numCache>
            </c:numRef>
          </c:cat>
          <c:val>
            <c:numRef>
              <c:f>'C:\Users\test\AppData\Local\Microsoft\Windows\Temporary Internet Files\Content.Outlook\3I1XHD89\[publikacie_2015.xlsx]Hárok1'!$C$103:$G$103</c:f>
              <c:numCache>
                <c:formatCode>General</c:formatCode>
                <c:ptCount val="5"/>
                <c:pt idx="0">
                  <c:v>0</c:v>
                </c:pt>
                <c:pt idx="1">
                  <c:v>0</c:v>
                </c:pt>
                <c:pt idx="2">
                  <c:v>155</c:v>
                </c:pt>
                <c:pt idx="3">
                  <c:v>271</c:v>
                </c:pt>
                <c:pt idx="4">
                  <c:v>158</c:v>
                </c:pt>
              </c:numCache>
            </c:numRef>
          </c:val>
        </c:ser>
        <c:ser>
          <c:idx val="4"/>
          <c:order val="4"/>
          <c:tx>
            <c:strRef>
              <c:f>'C:\Users\test\AppData\Local\Microsoft\Windows\Temporary Internet Files\Content.Outlook\3I1XHD89\[publikacie_2015.xlsx]Hárok1'!$B$104</c:f>
              <c:strCache>
                <c:ptCount val="1"/>
                <c:pt idx="0">
                  <c:v>D/100</c:v>
                </c:pt>
              </c:strCache>
            </c:strRef>
          </c:tx>
          <c:spPr>
            <a:solidFill>
              <a:schemeClr val="tx1"/>
            </a:solidFill>
          </c:spPr>
          <c:invertIfNegative val="0"/>
          <c:cat>
            <c:numRef>
              <c:f>'C:\Users\test\AppData\Local\Microsoft\Windows\Temporary Internet Files\Content.Outlook\3I1XHD89\[publikacie_2015.xlsx]Hárok1'!$C$99:$G$99</c:f>
              <c:numCache>
                <c:formatCode>General</c:formatCode>
                <c:ptCount val="5"/>
                <c:pt idx="0">
                  <c:v>2011</c:v>
                </c:pt>
                <c:pt idx="1">
                  <c:v>2012</c:v>
                </c:pt>
                <c:pt idx="2">
                  <c:v>2013</c:v>
                </c:pt>
                <c:pt idx="3">
                  <c:v>2014</c:v>
                </c:pt>
                <c:pt idx="4">
                  <c:v>2015</c:v>
                </c:pt>
              </c:numCache>
            </c:numRef>
          </c:cat>
          <c:val>
            <c:numRef>
              <c:f>'C:\Users\test\AppData\Local\Microsoft\Windows\Temporary Internet Files\Content.Outlook\3I1XHD89\[publikacie_2015.xlsx]Hárok1'!$C$104:$G$104</c:f>
              <c:numCache>
                <c:formatCode>General</c:formatCode>
                <c:ptCount val="5"/>
                <c:pt idx="0">
                  <c:v>66.89</c:v>
                </c:pt>
                <c:pt idx="1">
                  <c:v>60.6</c:v>
                </c:pt>
                <c:pt idx="2">
                  <c:v>48.92</c:v>
                </c:pt>
                <c:pt idx="3">
                  <c:v>48.25</c:v>
                </c:pt>
                <c:pt idx="4">
                  <c:v>37.9</c:v>
                </c:pt>
              </c:numCache>
            </c:numRef>
          </c:val>
        </c:ser>
        <c:dLbls>
          <c:showLegendKey val="0"/>
          <c:showVal val="0"/>
          <c:showCatName val="0"/>
          <c:showSerName val="0"/>
          <c:showPercent val="0"/>
          <c:showBubbleSize val="0"/>
        </c:dLbls>
        <c:gapWidth val="150"/>
        <c:shape val="cylinder"/>
        <c:axId val="135704576"/>
        <c:axId val="135706112"/>
        <c:axId val="0"/>
      </c:bar3DChart>
      <c:catAx>
        <c:axId val="135704576"/>
        <c:scaling>
          <c:orientation val="minMax"/>
        </c:scaling>
        <c:delete val="0"/>
        <c:axPos val="b"/>
        <c:numFmt formatCode="General" sourceLinked="1"/>
        <c:majorTickMark val="out"/>
        <c:minorTickMark val="none"/>
        <c:tickLblPos val="nextTo"/>
        <c:crossAx val="135706112"/>
        <c:crosses val="autoZero"/>
        <c:auto val="1"/>
        <c:lblAlgn val="ctr"/>
        <c:lblOffset val="100"/>
        <c:noMultiLvlLbl val="0"/>
      </c:catAx>
      <c:valAx>
        <c:axId val="135706112"/>
        <c:scaling>
          <c:orientation val="minMax"/>
        </c:scaling>
        <c:delete val="0"/>
        <c:axPos val="l"/>
        <c:majorGridlines/>
        <c:numFmt formatCode="General" sourceLinked="1"/>
        <c:majorTickMark val="out"/>
        <c:minorTickMark val="none"/>
        <c:tickLblPos val="nextTo"/>
        <c:crossAx val="13570457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6">
                <a:lumMod val="75000"/>
              </a:schemeClr>
            </a:solidFill>
          </c:spPr>
          <c:invertIfNegative val="0"/>
          <c:cat>
            <c:strRef>
              <c:f>'[projekty_napocty_2015_3_kor (3).xlsx]ZoD z neverej. spravy'!$I$24:$M$24</c:f>
              <c:strCache>
                <c:ptCount val="5"/>
                <c:pt idx="0">
                  <c:v>r. 2011</c:v>
                </c:pt>
                <c:pt idx="1">
                  <c:v>r. 2012</c:v>
                </c:pt>
                <c:pt idx="2">
                  <c:v>r. 2013</c:v>
                </c:pt>
                <c:pt idx="3">
                  <c:v>r. 2014</c:v>
                </c:pt>
                <c:pt idx="4">
                  <c:v>r. 2015</c:v>
                </c:pt>
              </c:strCache>
            </c:strRef>
          </c:cat>
          <c:val>
            <c:numRef>
              <c:f>'[projekty_napocty_2015_3_kor (3).xlsx]ZoD z neverej. spravy'!$I$25:$M$25</c:f>
              <c:numCache>
                <c:formatCode>#,##0_ ;\-#,##0\ </c:formatCode>
                <c:ptCount val="5"/>
                <c:pt idx="0">
                  <c:v>1546954</c:v>
                </c:pt>
                <c:pt idx="1">
                  <c:v>1801381.39</c:v>
                </c:pt>
                <c:pt idx="2">
                  <c:v>1702005.06</c:v>
                </c:pt>
                <c:pt idx="3">
                  <c:v>2475172.0699999998</c:v>
                </c:pt>
                <c:pt idx="4">
                  <c:v>2241209.23</c:v>
                </c:pt>
              </c:numCache>
            </c:numRef>
          </c:val>
        </c:ser>
        <c:dLbls>
          <c:showLegendKey val="0"/>
          <c:showVal val="0"/>
          <c:showCatName val="0"/>
          <c:showSerName val="0"/>
          <c:showPercent val="0"/>
          <c:showBubbleSize val="0"/>
        </c:dLbls>
        <c:gapWidth val="150"/>
        <c:shape val="cylinder"/>
        <c:axId val="137836032"/>
        <c:axId val="137837568"/>
        <c:axId val="0"/>
      </c:bar3DChart>
      <c:catAx>
        <c:axId val="137836032"/>
        <c:scaling>
          <c:orientation val="minMax"/>
        </c:scaling>
        <c:delete val="0"/>
        <c:axPos val="b"/>
        <c:majorTickMark val="out"/>
        <c:minorTickMark val="none"/>
        <c:tickLblPos val="nextTo"/>
        <c:crossAx val="137837568"/>
        <c:crosses val="autoZero"/>
        <c:auto val="1"/>
        <c:lblAlgn val="ctr"/>
        <c:lblOffset val="100"/>
        <c:noMultiLvlLbl val="0"/>
      </c:catAx>
      <c:valAx>
        <c:axId val="137837568"/>
        <c:scaling>
          <c:orientation val="minMax"/>
        </c:scaling>
        <c:delete val="0"/>
        <c:axPos val="l"/>
        <c:majorGridlines/>
        <c:numFmt formatCode="#,##0_ ;\-#,##0\ " sourceLinked="1"/>
        <c:majorTickMark val="out"/>
        <c:minorTickMark val="none"/>
        <c:tickLblPos val="nextTo"/>
        <c:crossAx val="137836032"/>
        <c:crosses val="autoZero"/>
        <c:crossBetween val="between"/>
      </c:valAx>
    </c:plotArea>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'[projekty_napocty_2015_3_kor (3).xlsx]ZoD z neverej. spravy'!$B$53</c:f>
              <c:strCache>
                <c:ptCount val="1"/>
                <c:pt idx="0">
                  <c:v>2011</c:v>
                </c:pt>
              </c:strCache>
            </c:strRef>
          </c:tx>
          <c:spPr>
            <a:solidFill>
              <a:srgbClr val="FF0000"/>
            </a:solidFill>
          </c:spPr>
          <c:invertIfNegative val="0"/>
          <c:cat>
            <c:strRef>
              <c:f>'[projekty_napocty_2015_3_kor (3).xlsx]ZoD z neverej. spravy'!$A$54:$A$62</c:f>
              <c:strCache>
                <c:ptCount val="9"/>
                <c:pt idx="0">
                  <c:v>SvF</c:v>
                </c:pt>
                <c:pt idx="1">
                  <c:v>SjF</c:v>
                </c:pt>
                <c:pt idx="2">
                  <c:v>FEI</c:v>
                </c:pt>
                <c:pt idx="3">
                  <c:v>FChPT</c:v>
                </c:pt>
                <c:pt idx="4">
                  <c:v>FA</c:v>
                </c:pt>
                <c:pt idx="5">
                  <c:v>MTF</c:v>
                </c:pt>
                <c:pt idx="6">
                  <c:v>FIIT</c:v>
                </c:pt>
                <c:pt idx="7">
                  <c:v>ÚM</c:v>
                </c:pt>
                <c:pt idx="8">
                  <c:v>R STU</c:v>
                </c:pt>
              </c:strCache>
            </c:strRef>
          </c:cat>
          <c:val>
            <c:numRef>
              <c:f>'[projekty_napocty_2015_3_kor (3).xlsx]ZoD z neverej. spravy'!$B$54:$B$62</c:f>
              <c:numCache>
                <c:formatCode>General</c:formatCode>
                <c:ptCount val="9"/>
                <c:pt idx="0">
                  <c:v>547953</c:v>
                </c:pt>
                <c:pt idx="1">
                  <c:v>156624</c:v>
                </c:pt>
                <c:pt idx="2">
                  <c:v>331780</c:v>
                </c:pt>
                <c:pt idx="3">
                  <c:v>231297</c:v>
                </c:pt>
                <c:pt idx="4">
                  <c:v>19000</c:v>
                </c:pt>
                <c:pt idx="5">
                  <c:v>166600</c:v>
                </c:pt>
                <c:pt idx="6">
                  <c:v>0</c:v>
                </c:pt>
                <c:pt idx="7">
                  <c:v>4100</c:v>
                </c:pt>
                <c:pt idx="8">
                  <c:v>89600</c:v>
                </c:pt>
              </c:numCache>
            </c:numRef>
          </c:val>
        </c:ser>
        <c:ser>
          <c:idx val="1"/>
          <c:order val="1"/>
          <c:tx>
            <c:strRef>
              <c:f>'[projekty_napocty_2015_3_kor (3).xlsx]ZoD z neverej. spravy'!$C$53</c:f>
              <c:strCache>
                <c:ptCount val="1"/>
                <c:pt idx="0">
                  <c:v>2012</c:v>
                </c:pt>
              </c:strCache>
            </c:strRef>
          </c:tx>
          <c:spPr>
            <a:solidFill>
              <a:srgbClr val="00B0F0"/>
            </a:solidFill>
          </c:spPr>
          <c:invertIfNegative val="0"/>
          <c:cat>
            <c:strRef>
              <c:f>'[projekty_napocty_2015_3_kor (3).xlsx]ZoD z neverej. spravy'!$A$54:$A$62</c:f>
              <c:strCache>
                <c:ptCount val="9"/>
                <c:pt idx="0">
                  <c:v>SvF</c:v>
                </c:pt>
                <c:pt idx="1">
                  <c:v>SjF</c:v>
                </c:pt>
                <c:pt idx="2">
                  <c:v>FEI</c:v>
                </c:pt>
                <c:pt idx="3">
                  <c:v>FChPT</c:v>
                </c:pt>
                <c:pt idx="4">
                  <c:v>FA</c:v>
                </c:pt>
                <c:pt idx="5">
                  <c:v>MTF</c:v>
                </c:pt>
                <c:pt idx="6">
                  <c:v>FIIT</c:v>
                </c:pt>
                <c:pt idx="7">
                  <c:v>ÚM</c:v>
                </c:pt>
                <c:pt idx="8">
                  <c:v>R STU</c:v>
                </c:pt>
              </c:strCache>
            </c:strRef>
          </c:cat>
          <c:val>
            <c:numRef>
              <c:f>'[projekty_napocty_2015_3_kor (3).xlsx]ZoD z neverej. spravy'!$C$54:$C$62</c:f>
              <c:numCache>
                <c:formatCode>General</c:formatCode>
                <c:ptCount val="9"/>
                <c:pt idx="0">
                  <c:v>714362</c:v>
                </c:pt>
                <c:pt idx="1">
                  <c:v>241138.2</c:v>
                </c:pt>
                <c:pt idx="2">
                  <c:v>211480</c:v>
                </c:pt>
                <c:pt idx="3">
                  <c:v>240552</c:v>
                </c:pt>
                <c:pt idx="4">
                  <c:v>80000</c:v>
                </c:pt>
                <c:pt idx="5">
                  <c:v>193259.19</c:v>
                </c:pt>
                <c:pt idx="6">
                  <c:v>0</c:v>
                </c:pt>
                <c:pt idx="7">
                  <c:v>8990</c:v>
                </c:pt>
                <c:pt idx="8">
                  <c:v>111600</c:v>
                </c:pt>
              </c:numCache>
            </c:numRef>
          </c:val>
        </c:ser>
        <c:ser>
          <c:idx val="2"/>
          <c:order val="2"/>
          <c:tx>
            <c:strRef>
              <c:f>'[projekty_napocty_2015_3_kor (3).xlsx]ZoD z neverej. spravy'!$D$53</c:f>
              <c:strCache>
                <c:ptCount val="1"/>
                <c:pt idx="0">
                  <c:v>2013</c:v>
                </c:pt>
              </c:strCache>
            </c:strRef>
          </c:tx>
          <c:spPr>
            <a:solidFill>
              <a:srgbClr val="FFFF00"/>
            </a:solidFill>
          </c:spPr>
          <c:invertIfNegative val="0"/>
          <c:cat>
            <c:strRef>
              <c:f>'[projekty_napocty_2015_3_kor (3).xlsx]ZoD z neverej. spravy'!$A$54:$A$62</c:f>
              <c:strCache>
                <c:ptCount val="9"/>
                <c:pt idx="0">
                  <c:v>SvF</c:v>
                </c:pt>
                <c:pt idx="1">
                  <c:v>SjF</c:v>
                </c:pt>
                <c:pt idx="2">
                  <c:v>FEI</c:v>
                </c:pt>
                <c:pt idx="3">
                  <c:v>FChPT</c:v>
                </c:pt>
                <c:pt idx="4">
                  <c:v>FA</c:v>
                </c:pt>
                <c:pt idx="5">
                  <c:v>MTF</c:v>
                </c:pt>
                <c:pt idx="6">
                  <c:v>FIIT</c:v>
                </c:pt>
                <c:pt idx="7">
                  <c:v>ÚM</c:v>
                </c:pt>
                <c:pt idx="8">
                  <c:v>R STU</c:v>
                </c:pt>
              </c:strCache>
            </c:strRef>
          </c:cat>
          <c:val>
            <c:numRef>
              <c:f>'[projekty_napocty_2015_3_kor (3).xlsx]ZoD z neverej. spravy'!$D$54:$D$62</c:f>
              <c:numCache>
                <c:formatCode>General</c:formatCode>
                <c:ptCount val="9"/>
                <c:pt idx="0">
                  <c:v>566406.12</c:v>
                </c:pt>
                <c:pt idx="1">
                  <c:v>133659</c:v>
                </c:pt>
                <c:pt idx="2">
                  <c:v>193290</c:v>
                </c:pt>
                <c:pt idx="3">
                  <c:v>303415</c:v>
                </c:pt>
                <c:pt idx="4">
                  <c:v>20000</c:v>
                </c:pt>
                <c:pt idx="5">
                  <c:v>245146.94</c:v>
                </c:pt>
                <c:pt idx="6">
                  <c:v>1488</c:v>
                </c:pt>
                <c:pt idx="7">
                  <c:v>3600</c:v>
                </c:pt>
                <c:pt idx="8">
                  <c:v>235000</c:v>
                </c:pt>
              </c:numCache>
            </c:numRef>
          </c:val>
        </c:ser>
        <c:ser>
          <c:idx val="3"/>
          <c:order val="3"/>
          <c:tx>
            <c:strRef>
              <c:f>'[projekty_napocty_2015_3_kor (3).xlsx]ZoD z neverej. spravy'!$E$53</c:f>
              <c:strCache>
                <c:ptCount val="1"/>
                <c:pt idx="0">
                  <c:v>2014</c:v>
                </c:pt>
              </c:strCache>
            </c:strRef>
          </c:tx>
          <c:spPr>
            <a:solidFill>
              <a:srgbClr val="00B050"/>
            </a:solidFill>
          </c:spPr>
          <c:invertIfNegative val="0"/>
          <c:cat>
            <c:strRef>
              <c:f>'[projekty_napocty_2015_3_kor (3).xlsx]ZoD z neverej. spravy'!$A$54:$A$62</c:f>
              <c:strCache>
                <c:ptCount val="9"/>
                <c:pt idx="0">
                  <c:v>SvF</c:v>
                </c:pt>
                <c:pt idx="1">
                  <c:v>SjF</c:v>
                </c:pt>
                <c:pt idx="2">
                  <c:v>FEI</c:v>
                </c:pt>
                <c:pt idx="3">
                  <c:v>FChPT</c:v>
                </c:pt>
                <c:pt idx="4">
                  <c:v>FA</c:v>
                </c:pt>
                <c:pt idx="5">
                  <c:v>MTF</c:v>
                </c:pt>
                <c:pt idx="6">
                  <c:v>FIIT</c:v>
                </c:pt>
                <c:pt idx="7">
                  <c:v>ÚM</c:v>
                </c:pt>
                <c:pt idx="8">
                  <c:v>R STU</c:v>
                </c:pt>
              </c:strCache>
            </c:strRef>
          </c:cat>
          <c:val>
            <c:numRef>
              <c:f>'[projekty_napocty_2015_3_kor (3).xlsx]ZoD z neverej. spravy'!$E$54:$E$62</c:f>
              <c:numCache>
                <c:formatCode>_-* #,##0.00\ _S_k_-;\-* #,##0.00\ _S_k_-;_-* "-"??\ _S_k_-;_-@_-</c:formatCode>
                <c:ptCount val="9"/>
                <c:pt idx="0">
                  <c:v>1393004.35</c:v>
                </c:pt>
                <c:pt idx="1">
                  <c:v>228239.61</c:v>
                </c:pt>
                <c:pt idx="2">
                  <c:v>491071.41</c:v>
                </c:pt>
                <c:pt idx="3">
                  <c:v>273394.2</c:v>
                </c:pt>
                <c:pt idx="4">
                  <c:v>53772</c:v>
                </c:pt>
                <c:pt idx="5">
                  <c:v>5740</c:v>
                </c:pt>
                <c:pt idx="6">
                  <c:v>6687.5</c:v>
                </c:pt>
                <c:pt idx="7">
                  <c:v>23263</c:v>
                </c:pt>
                <c:pt idx="8">
                  <c:v>0</c:v>
                </c:pt>
              </c:numCache>
            </c:numRef>
          </c:val>
        </c:ser>
        <c:ser>
          <c:idx val="4"/>
          <c:order val="4"/>
          <c:tx>
            <c:strRef>
              <c:f>'[projekty_napocty_2015_3_kor (3).xlsx]ZoD z neverej. spravy'!$F$53</c:f>
              <c:strCache>
                <c:ptCount val="1"/>
                <c:pt idx="0">
                  <c:v>2015</c:v>
                </c:pt>
              </c:strCache>
            </c:strRef>
          </c:tx>
          <c:spPr>
            <a:solidFill>
              <a:schemeClr val="tx1"/>
            </a:solidFill>
          </c:spPr>
          <c:invertIfNegative val="0"/>
          <c:cat>
            <c:strRef>
              <c:f>'[projekty_napocty_2015_3_kor (3).xlsx]ZoD z neverej. spravy'!$A$54:$A$62</c:f>
              <c:strCache>
                <c:ptCount val="9"/>
                <c:pt idx="0">
                  <c:v>SvF</c:v>
                </c:pt>
                <c:pt idx="1">
                  <c:v>SjF</c:v>
                </c:pt>
                <c:pt idx="2">
                  <c:v>FEI</c:v>
                </c:pt>
                <c:pt idx="3">
                  <c:v>FChPT</c:v>
                </c:pt>
                <c:pt idx="4">
                  <c:v>FA</c:v>
                </c:pt>
                <c:pt idx="5">
                  <c:v>MTF</c:v>
                </c:pt>
                <c:pt idx="6">
                  <c:v>FIIT</c:v>
                </c:pt>
                <c:pt idx="7">
                  <c:v>ÚM</c:v>
                </c:pt>
                <c:pt idx="8">
                  <c:v>R STU</c:v>
                </c:pt>
              </c:strCache>
            </c:strRef>
          </c:cat>
          <c:val>
            <c:numRef>
              <c:f>'[projekty_napocty_2015_3_kor (3).xlsx]ZoD z neverej. spravy'!$F$54:$F$62</c:f>
              <c:numCache>
                <c:formatCode>_-* #,##0.00\ _S_k_-;\-* #,##0.00\ _S_k_-;_-* "-"??\ _S_k_-;_-@_-</c:formatCode>
                <c:ptCount val="9"/>
                <c:pt idx="0">
                  <c:v>924954</c:v>
                </c:pt>
                <c:pt idx="1">
                  <c:v>151420.76</c:v>
                </c:pt>
                <c:pt idx="2">
                  <c:v>606005.31000000006</c:v>
                </c:pt>
                <c:pt idx="3">
                  <c:v>237496.44</c:v>
                </c:pt>
                <c:pt idx="4">
                  <c:v>1980</c:v>
                </c:pt>
                <c:pt idx="5">
                  <c:v>236932.72</c:v>
                </c:pt>
                <c:pt idx="6">
                  <c:v>78420</c:v>
                </c:pt>
                <c:pt idx="7">
                  <c:v>4000</c:v>
                </c:pt>
                <c:pt idx="8">
                  <c:v>0</c:v>
                </c:pt>
              </c:numCache>
            </c:numRef>
          </c:val>
        </c:ser>
        <c:dLbls>
          <c:showLegendKey val="0"/>
          <c:showVal val="0"/>
          <c:showCatName val="0"/>
          <c:showSerName val="0"/>
          <c:showPercent val="0"/>
          <c:showBubbleSize val="0"/>
        </c:dLbls>
        <c:gapWidth val="150"/>
        <c:shape val="cylinder"/>
        <c:axId val="137955200"/>
        <c:axId val="137956736"/>
        <c:axId val="0"/>
      </c:bar3DChart>
      <c:catAx>
        <c:axId val="137955200"/>
        <c:scaling>
          <c:orientation val="minMax"/>
        </c:scaling>
        <c:delete val="0"/>
        <c:axPos val="b"/>
        <c:majorTickMark val="out"/>
        <c:minorTickMark val="none"/>
        <c:tickLblPos val="nextTo"/>
        <c:crossAx val="137956736"/>
        <c:crosses val="autoZero"/>
        <c:auto val="1"/>
        <c:lblAlgn val="ctr"/>
        <c:lblOffset val="100"/>
        <c:noMultiLvlLbl val="0"/>
      </c:catAx>
      <c:valAx>
        <c:axId val="137956736"/>
        <c:scaling>
          <c:orientation val="minMax"/>
        </c:scaling>
        <c:delete val="0"/>
        <c:axPos val="l"/>
        <c:majorGridlines/>
        <c:numFmt formatCode="General" sourceLinked="1"/>
        <c:majorTickMark val="out"/>
        <c:minorTickMark val="none"/>
        <c:tickLblPos val="nextTo"/>
        <c:crossAx val="1379552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12495023422798"/>
          <c:y val="5.0247910564080511E-2"/>
          <c:w val="0.84892825896762902"/>
          <c:h val="0.71380606541076563"/>
        </c:manualLayout>
      </c:layout>
      <c:lineChart>
        <c:grouping val="standard"/>
        <c:varyColors val="0"/>
        <c:ser>
          <c:idx val="1"/>
          <c:order val="0"/>
          <c:tx>
            <c:strRef>
              <c:f>'Tab5_6_vývoj počtu študentov'!$A$3</c:f>
              <c:strCache>
                <c:ptCount val="1"/>
                <c:pt idx="0">
                  <c:v>I. stupeň</c:v>
                </c:pt>
              </c:strCache>
            </c:strRef>
          </c:tx>
          <c:marker>
            <c:symbol val="none"/>
          </c:marker>
          <c:cat>
            <c:strRef>
              <c:f>'Tab5_6_vývoj počtu študentov'!$C$2:$G$2</c:f>
              <c:strCache>
                <c:ptCount val="5"/>
                <c:pt idx="0">
                  <c:v>2010/2011</c:v>
                </c:pt>
                <c:pt idx="1">
                  <c:v>2011/2012</c:v>
                </c:pt>
                <c:pt idx="2">
                  <c:v>2012/2013</c:v>
                </c:pt>
                <c:pt idx="3">
                  <c:v>2013/2014</c:v>
                </c:pt>
                <c:pt idx="4">
                  <c:v>2014/2015</c:v>
                </c:pt>
              </c:strCache>
            </c:strRef>
          </c:cat>
          <c:val>
            <c:numRef>
              <c:f>'Tab5_6_vývoj počtu študentov'!$C$3:$G$3</c:f>
              <c:numCache>
                <c:formatCode>#,##0</c:formatCode>
                <c:ptCount val="5"/>
                <c:pt idx="0">
                  <c:v>10508</c:v>
                </c:pt>
                <c:pt idx="1">
                  <c:v>10573</c:v>
                </c:pt>
                <c:pt idx="2">
                  <c:v>10780</c:v>
                </c:pt>
                <c:pt idx="3">
                  <c:v>10582</c:v>
                </c:pt>
                <c:pt idx="4">
                  <c:v>9929</c:v>
                </c:pt>
              </c:numCache>
            </c:numRef>
          </c:val>
          <c:smooth val="0"/>
        </c:ser>
        <c:ser>
          <c:idx val="2"/>
          <c:order val="1"/>
          <c:tx>
            <c:strRef>
              <c:f>'Tab5_6_vývoj počtu študentov'!$A$4</c:f>
              <c:strCache>
                <c:ptCount val="1"/>
                <c:pt idx="0">
                  <c:v>II. stupeň</c:v>
                </c:pt>
              </c:strCache>
            </c:strRef>
          </c:tx>
          <c:marker>
            <c:symbol val="none"/>
          </c:marker>
          <c:dLbls>
            <c:dLbl>
              <c:idx val="0"/>
              <c:layout>
                <c:manualLayout>
                  <c:x val="-5.8170048985304409E-2"/>
                  <c:y val="-7.1304242092011194E-2"/>
                </c:manualLayout>
              </c:layout>
              <c:dLblPos val="r"/>
              <c:showLegendKey val="0"/>
              <c:showVal val="1"/>
              <c:showCatName val="0"/>
              <c:showSerName val="0"/>
              <c:showPercent val="0"/>
              <c:showBubbleSize val="0"/>
            </c:dLbl>
            <c:dLbl>
              <c:idx val="1"/>
              <c:layout>
                <c:manualLayout>
                  <c:x val="-5.8170048985304458E-2"/>
                  <c:y val="-7.556977961221535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'Tab5_6_vývoj počtu študentov'!$C$2:$G$2</c:f>
              <c:strCache>
                <c:ptCount val="5"/>
                <c:pt idx="0">
                  <c:v>2010/2011</c:v>
                </c:pt>
                <c:pt idx="1">
                  <c:v>2011/2012</c:v>
                </c:pt>
                <c:pt idx="2">
                  <c:v>2012/2013</c:v>
                </c:pt>
                <c:pt idx="3">
                  <c:v>2013/2014</c:v>
                </c:pt>
                <c:pt idx="4">
                  <c:v>2014/2015</c:v>
                </c:pt>
              </c:strCache>
            </c:strRef>
          </c:cat>
          <c:val>
            <c:numRef>
              <c:f>'Tab5_6_vývoj počtu študentov'!$C$4:$G$4</c:f>
              <c:numCache>
                <c:formatCode>#,##0</c:formatCode>
                <c:ptCount val="5"/>
                <c:pt idx="0">
                  <c:v>5424</c:v>
                </c:pt>
                <c:pt idx="1">
                  <c:v>5197</c:v>
                </c:pt>
                <c:pt idx="2">
                  <c:v>4640</c:v>
                </c:pt>
                <c:pt idx="3">
                  <c:v>4419</c:v>
                </c:pt>
                <c:pt idx="4">
                  <c:v>4239</c:v>
                </c:pt>
              </c:numCache>
            </c:numRef>
          </c:val>
          <c:smooth val="0"/>
        </c:ser>
        <c:ser>
          <c:idx val="3"/>
          <c:order val="2"/>
          <c:tx>
            <c:strRef>
              <c:f>'Tab5_6_vývoj počtu študentov'!$A$5</c:f>
              <c:strCache>
                <c:ptCount val="1"/>
                <c:pt idx="0">
                  <c:v>III. stupeň</c:v>
                </c:pt>
              </c:strCache>
            </c:strRef>
          </c:tx>
          <c:marker>
            <c:symbol val="none"/>
          </c:marker>
          <c:dLbls>
            <c:dLbl>
              <c:idx val="0"/>
              <c:layout>
                <c:manualLayout>
                  <c:x val="-5.5095220007623132E-2"/>
                  <c:y val="-7.2957772215302724E-2"/>
                </c:manualLayout>
              </c:layout>
              <c:dLblPos val="r"/>
              <c:showLegendKey val="0"/>
              <c:showVal val="1"/>
              <c:showCatName val="0"/>
              <c:showSerName val="0"/>
              <c:showPercent val="0"/>
              <c:showBubbleSize val="0"/>
            </c:dLbl>
            <c:dLbl>
              <c:idx val="1"/>
              <c:layout>
                <c:manualLayout>
                  <c:x val="-5.5095220007623132E-2"/>
                  <c:y val="-7.2957772215302794E-2"/>
                </c:manualLayout>
              </c:layout>
              <c:dLblPos val="r"/>
              <c:showLegendKey val="0"/>
              <c:showVal val="1"/>
              <c:showCatName val="0"/>
              <c:showSerName val="0"/>
              <c:showPercent val="0"/>
              <c:showBubbleSize val="0"/>
            </c:dLbl>
            <c:dLbl>
              <c:idx val="2"/>
              <c:layout>
                <c:manualLayout>
                  <c:x val="-5.5095220007623028E-2"/>
                  <c:y val="-7.7223680020637592E-2"/>
                </c:manualLayout>
              </c:layout>
              <c:dLblPos val="r"/>
              <c:showLegendKey val="0"/>
              <c:showVal val="1"/>
              <c:showCatName val="0"/>
              <c:showSerName val="0"/>
              <c:showPercent val="0"/>
              <c:showBubbleSize val="0"/>
            </c:dLbl>
            <c:dLbl>
              <c:idx val="3"/>
              <c:layout>
                <c:manualLayout>
                  <c:x val="-4.2097458481753718E-2"/>
                  <c:y val="-4.7362951258869398E-2"/>
                </c:manualLayout>
              </c:layout>
              <c:dLblPos val="r"/>
              <c:showLegendKey val="0"/>
              <c:showVal val="1"/>
              <c:showCatName val="0"/>
              <c:showSerName val="0"/>
              <c:showPercent val="0"/>
              <c:showBubbleSize val="0"/>
            </c:dLbl>
            <c:dLbl>
              <c:idx val="4"/>
              <c:layout>
                <c:manualLayout>
                  <c:x val="-4.4881710925319E-2"/>
                  <c:y val="-6.016023561057084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'Tab5_6_vývoj počtu študentov'!$C$2:$G$2</c:f>
              <c:strCache>
                <c:ptCount val="5"/>
                <c:pt idx="0">
                  <c:v>2010/2011</c:v>
                </c:pt>
                <c:pt idx="1">
                  <c:v>2011/2012</c:v>
                </c:pt>
                <c:pt idx="2">
                  <c:v>2012/2013</c:v>
                </c:pt>
                <c:pt idx="3">
                  <c:v>2013/2014</c:v>
                </c:pt>
                <c:pt idx="4">
                  <c:v>2014/2015</c:v>
                </c:pt>
              </c:strCache>
            </c:strRef>
          </c:cat>
          <c:val>
            <c:numRef>
              <c:f>'Tab5_6_vývoj počtu študentov'!$C$5:$G$5</c:f>
              <c:numCache>
                <c:formatCode>#,##0</c:formatCode>
                <c:ptCount val="5"/>
                <c:pt idx="0">
                  <c:v>1156</c:v>
                </c:pt>
                <c:pt idx="1">
                  <c:v>1198</c:v>
                </c:pt>
                <c:pt idx="2">
                  <c:v>1093</c:v>
                </c:pt>
                <c:pt idx="3">
                  <c:v>957</c:v>
                </c:pt>
                <c:pt idx="4">
                  <c:v>851</c:v>
                </c:pt>
              </c:numCache>
            </c:numRef>
          </c:val>
          <c:smooth val="0"/>
        </c:ser>
        <c:dLbls>
          <c:dLblPos val="t"/>
          <c:showLegendKey val="0"/>
          <c:showVal val="1"/>
          <c:showCatName val="0"/>
          <c:showSerName val="0"/>
          <c:showPercent val="0"/>
          <c:showBubbleSize val="0"/>
        </c:dLbls>
        <c:marker val="1"/>
        <c:smooth val="0"/>
        <c:axId val="130881408"/>
        <c:axId val="130882944"/>
      </c:lineChart>
      <c:catAx>
        <c:axId val="130881408"/>
        <c:scaling>
          <c:orientation val="minMax"/>
        </c:scaling>
        <c:delete val="0"/>
        <c:axPos val="b"/>
        <c:majorTickMark val="out"/>
        <c:minorTickMark val="none"/>
        <c:tickLblPos val="nextTo"/>
        <c:crossAx val="130882944"/>
        <c:crosses val="autoZero"/>
        <c:auto val="1"/>
        <c:lblAlgn val="ctr"/>
        <c:lblOffset val="100"/>
        <c:noMultiLvlLbl val="0"/>
      </c:catAx>
      <c:valAx>
        <c:axId val="130882944"/>
        <c:scaling>
          <c:orientation val="minMax"/>
        </c:scaling>
        <c:delete val="0"/>
        <c:axPos val="l"/>
        <c:majorGridlines/>
        <c:numFmt formatCode="#,##0" sourceLinked="1"/>
        <c:majorTickMark val="out"/>
        <c:minorTickMark val="none"/>
        <c:tickLblPos val="nextTo"/>
        <c:crossAx val="130881408"/>
        <c:crosses val="autoZero"/>
        <c:crossBetween val="between"/>
      </c:valAx>
    </c:plotArea>
    <c:legend>
      <c:legendPos val="b"/>
      <c:overlay val="0"/>
    </c:legend>
    <c:plotVisOnly val="1"/>
    <c:dispBlanksAs val="gap"/>
    <c:showDLblsOverMax val="0"/>
  </c:chart>
  <c:spPr>
    <a:noFill/>
    <a:ln>
      <a:noFill/>
    </a:ln>
  </c:spPr>
  <c:txPr>
    <a:bodyPr/>
    <a:lstStyle/>
    <a:p>
      <a:pPr>
        <a:defRPr sz="1100">
          <a:latin typeface="+mj-lt"/>
        </a:defRPr>
      </a:pPr>
      <a:endParaRPr lang="sk-S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198255147684006E-2"/>
          <c:y val="5.3009227918908323E-2"/>
          <c:w val="0.88411108235883662"/>
          <c:h val="0.71595423121129464"/>
        </c:manualLayout>
      </c:layout>
      <c:lineChart>
        <c:grouping val="standard"/>
        <c:varyColors val="0"/>
        <c:ser>
          <c:idx val="1"/>
          <c:order val="0"/>
          <c:tx>
            <c:strRef>
              <c:f>'Tab5_6_vývoj počtu študentov'!$A$11</c:f>
              <c:strCache>
                <c:ptCount val="1"/>
                <c:pt idx="0">
                  <c:v>I. stupeň</c:v>
                </c:pt>
              </c:strCache>
            </c:strRef>
          </c:tx>
          <c:marker>
            <c:symbol val="none"/>
          </c:marker>
          <c:dLbls>
            <c:dLbl>
              <c:idx val="0"/>
              <c:layout>
                <c:manualLayout>
                  <c:x val="-4.5302501744243995E-2"/>
                  <c:y val="-4.433044167848408E-2"/>
                </c:manualLayout>
              </c:layout>
              <c:dLblPos val="r"/>
              <c:showLegendKey val="0"/>
              <c:showVal val="1"/>
              <c:showCatName val="0"/>
              <c:showSerName val="0"/>
              <c:showPercent val="0"/>
              <c:showBubbleSize val="0"/>
            </c:dLbl>
            <c:dLbl>
              <c:idx val="3"/>
              <c:layout>
                <c:manualLayout>
                  <c:x val="-3.8171589310829819E-2"/>
                  <c:y val="-9.3031727929305669E-2"/>
                </c:manualLayout>
              </c:layout>
              <c:dLblPos val="r"/>
              <c:showLegendKey val="0"/>
              <c:showVal val="1"/>
              <c:showCatName val="0"/>
              <c:showSerName val="0"/>
              <c:showPercent val="0"/>
              <c:showBubbleSize val="0"/>
            </c:dLbl>
            <c:dLbl>
              <c:idx val="4"/>
              <c:layout>
                <c:manualLayout>
                  <c:x val="-2.8227958846916184E-2"/>
                  <c:y val="-8.329185415383624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'Tab5_6_vývoj počtu študentov'!$C$10:$G$10</c:f>
              <c:strCache>
                <c:ptCount val="5"/>
                <c:pt idx="0">
                  <c:v>2010/2011</c:v>
                </c:pt>
                <c:pt idx="1">
                  <c:v>2011/2012</c:v>
                </c:pt>
                <c:pt idx="2">
                  <c:v>2012/2013</c:v>
                </c:pt>
                <c:pt idx="3">
                  <c:v>2013/2014</c:v>
                </c:pt>
                <c:pt idx="4">
                  <c:v>2014/2015</c:v>
                </c:pt>
              </c:strCache>
            </c:strRef>
          </c:cat>
          <c:val>
            <c:numRef>
              <c:f>'Tab5_6_vývoj počtu študentov'!$C$11:$G$11</c:f>
              <c:numCache>
                <c:formatCode>#,##0</c:formatCode>
                <c:ptCount val="5"/>
                <c:pt idx="0">
                  <c:v>467</c:v>
                </c:pt>
                <c:pt idx="1">
                  <c:v>252</c:v>
                </c:pt>
                <c:pt idx="2">
                  <c:v>103</c:v>
                </c:pt>
                <c:pt idx="3">
                  <c:v>37</c:v>
                </c:pt>
                <c:pt idx="4">
                  <c:v>7</c:v>
                </c:pt>
              </c:numCache>
            </c:numRef>
          </c:val>
          <c:smooth val="0"/>
        </c:ser>
        <c:ser>
          <c:idx val="2"/>
          <c:order val="1"/>
          <c:tx>
            <c:strRef>
              <c:f>'Tab5_6_vývoj počtu študentov'!$A$12</c:f>
              <c:strCache>
                <c:ptCount val="1"/>
                <c:pt idx="0">
                  <c:v>II. stupeň</c:v>
                </c:pt>
              </c:strCache>
            </c:strRef>
          </c:tx>
          <c:spPr>
            <a:ln>
              <a:solidFill>
                <a:schemeClr val="accent1">
                  <a:lumMod val="75000"/>
                </a:schemeClr>
              </a:solidFill>
            </a:ln>
          </c:spPr>
          <c:marker>
            <c:symbol val="none"/>
          </c:marker>
          <c:dLbls>
            <c:dLbl>
              <c:idx val="2"/>
              <c:layout>
                <c:manualLayout>
                  <c:x val="-2.9452003431077966E-2"/>
                  <c:y val="-3.9389652564615865E-2"/>
                </c:manualLayout>
              </c:layout>
              <c:dLblPos val="r"/>
              <c:showLegendKey val="0"/>
              <c:showVal val="1"/>
              <c:showCatName val="0"/>
              <c:showSerName val="0"/>
              <c:showPercent val="0"/>
              <c:showBubbleSize val="0"/>
            </c:dLbl>
            <c:dLbl>
              <c:idx val="3"/>
              <c:layout>
                <c:manualLayout>
                  <c:x val="-3.1040982890837277E-2"/>
                  <c:y val="-1.37429600960896E-2"/>
                </c:manualLayout>
              </c:layout>
              <c:dLblPos val="r"/>
              <c:showLegendKey val="0"/>
              <c:showVal val="1"/>
              <c:showCatName val="0"/>
              <c:showSerName val="0"/>
              <c:showPercent val="0"/>
              <c:showBubbleSize val="0"/>
            </c:dLbl>
            <c:dLbl>
              <c:idx val="4"/>
              <c:layout>
                <c:manualLayout>
                  <c:x val="-1.538540559142436E-2"/>
                  <c:y val="-1.23418301525868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'Tab5_6_vývoj počtu študentov'!$C$10:$G$10</c:f>
              <c:strCache>
                <c:ptCount val="5"/>
                <c:pt idx="0">
                  <c:v>2010/2011</c:v>
                </c:pt>
                <c:pt idx="1">
                  <c:v>2011/2012</c:v>
                </c:pt>
                <c:pt idx="2">
                  <c:v>2012/2013</c:v>
                </c:pt>
                <c:pt idx="3">
                  <c:v>2013/2014</c:v>
                </c:pt>
                <c:pt idx="4">
                  <c:v>2014/2015</c:v>
                </c:pt>
              </c:strCache>
            </c:strRef>
          </c:cat>
          <c:val>
            <c:numRef>
              <c:f>'Tab5_6_vývoj počtu študentov'!$C$12:$G$12</c:f>
              <c:numCache>
                <c:formatCode>#,##0</c:formatCode>
                <c:ptCount val="5"/>
                <c:pt idx="0">
                  <c:v>3</c:v>
                </c:pt>
                <c:pt idx="1">
                  <c:v>23</c:v>
                </c:pt>
                <c:pt idx="2">
                  <c:v>0</c:v>
                </c:pt>
                <c:pt idx="3">
                  <c:v>0</c:v>
                </c:pt>
                <c:pt idx="4">
                  <c:v>0</c:v>
                </c:pt>
              </c:numCache>
            </c:numRef>
          </c:val>
          <c:smooth val="0"/>
        </c:ser>
        <c:ser>
          <c:idx val="3"/>
          <c:order val="2"/>
          <c:tx>
            <c:strRef>
              <c:f>'Tab5_6_vývoj počtu študentov'!$A$13</c:f>
              <c:strCache>
                <c:ptCount val="1"/>
                <c:pt idx="0">
                  <c:v>III. stupeň</c:v>
                </c:pt>
              </c:strCache>
            </c:strRef>
          </c:tx>
          <c:spPr>
            <a:ln>
              <a:solidFill>
                <a:srgbClr val="00B050"/>
              </a:solidFill>
            </a:ln>
          </c:spPr>
          <c:marker>
            <c:symbol val="none"/>
          </c:marker>
          <c:cat>
            <c:strRef>
              <c:f>'Tab5_6_vývoj počtu študentov'!$C$10:$G$10</c:f>
              <c:strCache>
                <c:ptCount val="5"/>
                <c:pt idx="0">
                  <c:v>2010/2011</c:v>
                </c:pt>
                <c:pt idx="1">
                  <c:v>2011/2012</c:v>
                </c:pt>
                <c:pt idx="2">
                  <c:v>2012/2013</c:v>
                </c:pt>
                <c:pt idx="3">
                  <c:v>2013/2014</c:v>
                </c:pt>
                <c:pt idx="4">
                  <c:v>2014/2015</c:v>
                </c:pt>
              </c:strCache>
            </c:strRef>
          </c:cat>
          <c:val>
            <c:numRef>
              <c:f>'Tab5_6_vývoj počtu študentov'!$C$13:$G$13</c:f>
              <c:numCache>
                <c:formatCode>#,##0</c:formatCode>
                <c:ptCount val="5"/>
                <c:pt idx="0">
                  <c:v>584</c:v>
                </c:pt>
                <c:pt idx="1">
                  <c:v>493</c:v>
                </c:pt>
                <c:pt idx="2">
                  <c:v>443</c:v>
                </c:pt>
                <c:pt idx="3">
                  <c:v>407</c:v>
                </c:pt>
                <c:pt idx="4">
                  <c:v>377</c:v>
                </c:pt>
              </c:numCache>
            </c:numRef>
          </c:val>
          <c:smooth val="0"/>
        </c:ser>
        <c:dLbls>
          <c:dLblPos val="t"/>
          <c:showLegendKey val="0"/>
          <c:showVal val="1"/>
          <c:showCatName val="0"/>
          <c:showSerName val="0"/>
          <c:showPercent val="0"/>
          <c:showBubbleSize val="0"/>
        </c:dLbls>
        <c:marker val="1"/>
        <c:smooth val="0"/>
        <c:axId val="130939136"/>
        <c:axId val="131137536"/>
      </c:lineChart>
      <c:catAx>
        <c:axId val="130939136"/>
        <c:scaling>
          <c:orientation val="minMax"/>
        </c:scaling>
        <c:delete val="0"/>
        <c:axPos val="b"/>
        <c:majorTickMark val="none"/>
        <c:minorTickMark val="none"/>
        <c:tickLblPos val="nextTo"/>
        <c:crossAx val="131137536"/>
        <c:crosses val="autoZero"/>
        <c:auto val="1"/>
        <c:lblAlgn val="ctr"/>
        <c:lblOffset val="100"/>
        <c:noMultiLvlLbl val="0"/>
      </c:catAx>
      <c:valAx>
        <c:axId val="131137536"/>
        <c:scaling>
          <c:orientation val="minMax"/>
        </c:scaling>
        <c:delete val="0"/>
        <c:axPos val="l"/>
        <c:majorGridlines/>
        <c:numFmt formatCode="#,##0" sourceLinked="1"/>
        <c:majorTickMark val="none"/>
        <c:minorTickMark val="none"/>
        <c:tickLblPos val="nextTo"/>
        <c:crossAx val="130939136"/>
        <c:crosses val="autoZero"/>
        <c:crossBetween val="between"/>
        <c:majorUnit val="200"/>
      </c:valAx>
    </c:plotArea>
    <c:legend>
      <c:legendPos val="b"/>
      <c:layout>
        <c:manualLayout>
          <c:xMode val="edge"/>
          <c:yMode val="edge"/>
          <c:x val="0.20125167466021207"/>
          <c:y val="0.90720841267390595"/>
          <c:w val="0.59749665067957591"/>
          <c:h val="9.2791587326094035E-2"/>
        </c:manualLayout>
      </c:layout>
      <c:overlay val="0"/>
    </c:legend>
    <c:plotVisOnly val="1"/>
    <c:dispBlanksAs val="gap"/>
    <c:showDLblsOverMax val="0"/>
  </c:chart>
  <c:spPr>
    <a:noFill/>
    <a:ln>
      <a:noFill/>
    </a:ln>
  </c:spPr>
  <c:txPr>
    <a:bodyPr/>
    <a:lstStyle/>
    <a:p>
      <a:pPr>
        <a:defRPr sz="1100">
          <a:latin typeface="+mj-lt"/>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'Tab12_zahr '!$A$4</c:f>
              <c:strCache>
                <c:ptCount val="1"/>
                <c:pt idx="0">
                  <c:v>I. stupeň</c:v>
                </c:pt>
              </c:strCache>
            </c:strRef>
          </c:tx>
          <c:spPr>
            <a:ln w="38100"/>
          </c:spPr>
          <c:marker>
            <c:symbol val="none"/>
          </c:marker>
          <c:cat>
            <c:strRef>
              <c:f>'Tab12_zahr '!$C$3:$G$3</c:f>
              <c:strCache>
                <c:ptCount val="5"/>
                <c:pt idx="0">
                  <c:v>2010/2011</c:v>
                </c:pt>
                <c:pt idx="1">
                  <c:v>2011/2012</c:v>
                </c:pt>
                <c:pt idx="2">
                  <c:v>2012/2013</c:v>
                </c:pt>
                <c:pt idx="3">
                  <c:v>2013/2014</c:v>
                </c:pt>
                <c:pt idx="4">
                  <c:v>2014/2015</c:v>
                </c:pt>
              </c:strCache>
            </c:strRef>
          </c:cat>
          <c:val>
            <c:numRef>
              <c:f>'Tab12_zahr '!$C$4:$G$4</c:f>
              <c:numCache>
                <c:formatCode>General</c:formatCode>
                <c:ptCount val="5"/>
                <c:pt idx="0">
                  <c:v>307</c:v>
                </c:pt>
                <c:pt idx="1">
                  <c:v>246</c:v>
                </c:pt>
                <c:pt idx="2">
                  <c:v>205</c:v>
                </c:pt>
                <c:pt idx="3">
                  <c:v>163</c:v>
                </c:pt>
                <c:pt idx="4">
                  <c:v>154</c:v>
                </c:pt>
              </c:numCache>
            </c:numRef>
          </c:val>
          <c:smooth val="0"/>
        </c:ser>
        <c:ser>
          <c:idx val="2"/>
          <c:order val="1"/>
          <c:tx>
            <c:strRef>
              <c:f>'Tab12_zahr '!$A$5</c:f>
              <c:strCache>
                <c:ptCount val="1"/>
                <c:pt idx="0">
                  <c:v>II. stupeň</c:v>
                </c:pt>
              </c:strCache>
            </c:strRef>
          </c:tx>
          <c:spPr>
            <a:ln w="38100"/>
          </c:spPr>
          <c:marker>
            <c:symbol val="none"/>
          </c:marker>
          <c:dLbls>
            <c:dLbl>
              <c:idx val="0"/>
              <c:layout>
                <c:manualLayout>
                  <c:x val="-3.5611111111111114E-2"/>
                  <c:y val="3.050925925925926E-2"/>
                </c:manualLayout>
              </c:layout>
              <c:dLblPos val="r"/>
              <c:showLegendKey val="0"/>
              <c:showVal val="1"/>
              <c:showCatName val="0"/>
              <c:showSerName val="0"/>
              <c:showPercent val="0"/>
              <c:showBubbleSize val="0"/>
            </c:dLbl>
            <c:dLbl>
              <c:idx val="1"/>
              <c:layout>
                <c:manualLayout>
                  <c:x val="-3.8388888888888889E-2"/>
                  <c:y val="3.9768153980752494E-2"/>
                </c:manualLayout>
              </c:layout>
              <c:dLblPos val="r"/>
              <c:showLegendKey val="0"/>
              <c:showVal val="1"/>
              <c:showCatName val="0"/>
              <c:showSerName val="0"/>
              <c:showPercent val="0"/>
              <c:showBubbleSize val="0"/>
            </c:dLbl>
            <c:dLbl>
              <c:idx val="2"/>
              <c:layout>
                <c:manualLayout>
                  <c:x val="-3.213888888888889E-2"/>
                  <c:y val="5.9710557013706617E-2"/>
                </c:manualLayout>
              </c:layout>
              <c:dLblPos val="r"/>
              <c:showLegendKey val="0"/>
              <c:showVal val="1"/>
              <c:showCatName val="0"/>
              <c:showSerName val="0"/>
              <c:showPercent val="0"/>
              <c:showBubbleSize val="0"/>
            </c:dLbl>
            <c:dLbl>
              <c:idx val="3"/>
              <c:layout>
                <c:manualLayout>
                  <c:x val="-3.7694444444444447E-2"/>
                  <c:y val="5.5080927384076987E-2"/>
                </c:manualLayout>
              </c:layout>
              <c:dLblPos val="r"/>
              <c:showLegendKey val="0"/>
              <c:showVal val="1"/>
              <c:showCatName val="0"/>
              <c:showSerName val="0"/>
              <c:showPercent val="0"/>
              <c:showBubbleSize val="0"/>
            </c:dLbl>
            <c:dLbl>
              <c:idx val="4"/>
              <c:layout>
                <c:manualLayout>
                  <c:x val="-3.2138888888888988E-2"/>
                  <c:y val="5.971055701370661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'Tab12_zahr '!$C$3:$G$3</c:f>
              <c:strCache>
                <c:ptCount val="5"/>
                <c:pt idx="0">
                  <c:v>2010/2011</c:v>
                </c:pt>
                <c:pt idx="1">
                  <c:v>2011/2012</c:v>
                </c:pt>
                <c:pt idx="2">
                  <c:v>2012/2013</c:v>
                </c:pt>
                <c:pt idx="3">
                  <c:v>2013/2014</c:v>
                </c:pt>
                <c:pt idx="4">
                  <c:v>2014/2015</c:v>
                </c:pt>
              </c:strCache>
            </c:strRef>
          </c:cat>
          <c:val>
            <c:numRef>
              <c:f>'Tab12_zahr '!$C$5:$G$5</c:f>
              <c:numCache>
                <c:formatCode>General</c:formatCode>
                <c:ptCount val="5"/>
                <c:pt idx="0">
                  <c:v>44</c:v>
                </c:pt>
                <c:pt idx="1">
                  <c:v>34</c:v>
                </c:pt>
                <c:pt idx="2">
                  <c:v>49</c:v>
                </c:pt>
                <c:pt idx="3">
                  <c:v>54</c:v>
                </c:pt>
                <c:pt idx="4">
                  <c:v>69</c:v>
                </c:pt>
              </c:numCache>
            </c:numRef>
          </c:val>
          <c:smooth val="0"/>
        </c:ser>
        <c:ser>
          <c:idx val="3"/>
          <c:order val="2"/>
          <c:tx>
            <c:strRef>
              <c:f>'Tab12_zahr '!$A$6</c:f>
              <c:strCache>
                <c:ptCount val="1"/>
                <c:pt idx="0">
                  <c:v>III. stupeň</c:v>
                </c:pt>
              </c:strCache>
            </c:strRef>
          </c:tx>
          <c:marker>
            <c:symbol val="none"/>
          </c:marker>
          <c:dLbls>
            <c:dLbl>
              <c:idx val="4"/>
              <c:layout>
                <c:manualLayout>
                  <c:x val="-3.4916666666666769E-2"/>
                  <c:y val="-5.140055409740448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'Tab12_zahr '!$C$3:$G$3</c:f>
              <c:strCache>
                <c:ptCount val="5"/>
                <c:pt idx="0">
                  <c:v>2010/2011</c:v>
                </c:pt>
                <c:pt idx="1">
                  <c:v>2011/2012</c:v>
                </c:pt>
                <c:pt idx="2">
                  <c:v>2012/2013</c:v>
                </c:pt>
                <c:pt idx="3">
                  <c:v>2013/2014</c:v>
                </c:pt>
                <c:pt idx="4">
                  <c:v>2014/2015</c:v>
                </c:pt>
              </c:strCache>
            </c:strRef>
          </c:cat>
          <c:val>
            <c:numRef>
              <c:f>'Tab12_zahr '!$C$6:$G$6</c:f>
              <c:numCache>
                <c:formatCode>General</c:formatCode>
                <c:ptCount val="5"/>
                <c:pt idx="0">
                  <c:v>95</c:v>
                </c:pt>
                <c:pt idx="1">
                  <c:v>101</c:v>
                </c:pt>
                <c:pt idx="2">
                  <c:v>87</c:v>
                </c:pt>
                <c:pt idx="3">
                  <c:v>81</c:v>
                </c:pt>
                <c:pt idx="4">
                  <c:v>73</c:v>
                </c:pt>
              </c:numCache>
            </c:numRef>
          </c:val>
          <c:smooth val="0"/>
        </c:ser>
        <c:dLbls>
          <c:dLblPos val="t"/>
          <c:showLegendKey val="0"/>
          <c:showVal val="1"/>
          <c:showCatName val="0"/>
          <c:showSerName val="0"/>
          <c:showPercent val="0"/>
          <c:showBubbleSize val="0"/>
        </c:dLbls>
        <c:marker val="1"/>
        <c:smooth val="0"/>
        <c:axId val="131152128"/>
        <c:axId val="131162112"/>
      </c:lineChart>
      <c:catAx>
        <c:axId val="131152128"/>
        <c:scaling>
          <c:orientation val="minMax"/>
        </c:scaling>
        <c:delete val="0"/>
        <c:axPos val="b"/>
        <c:majorTickMark val="out"/>
        <c:minorTickMark val="none"/>
        <c:tickLblPos val="nextTo"/>
        <c:crossAx val="131162112"/>
        <c:crosses val="autoZero"/>
        <c:auto val="1"/>
        <c:lblAlgn val="ctr"/>
        <c:lblOffset val="100"/>
        <c:noMultiLvlLbl val="0"/>
      </c:catAx>
      <c:valAx>
        <c:axId val="131162112"/>
        <c:scaling>
          <c:orientation val="minMax"/>
        </c:scaling>
        <c:delete val="0"/>
        <c:axPos val="l"/>
        <c:majorGridlines/>
        <c:numFmt formatCode="General" sourceLinked="1"/>
        <c:majorTickMark val="out"/>
        <c:minorTickMark val="none"/>
        <c:tickLblPos val="nextTo"/>
        <c:crossAx val="131152128"/>
        <c:crosses val="autoZero"/>
        <c:crossBetween val="between"/>
      </c:valAx>
    </c:plotArea>
    <c:legend>
      <c:legendPos val="b"/>
      <c:overlay val="0"/>
    </c:legend>
    <c:plotVisOnly val="1"/>
    <c:dispBlanksAs val="gap"/>
    <c:showDLblsOverMax val="0"/>
  </c:chart>
  <c:spPr>
    <a:ln>
      <a:noFill/>
    </a:ln>
  </c:spPr>
  <c:txPr>
    <a:bodyPr/>
    <a:lstStyle/>
    <a:p>
      <a:pPr>
        <a:defRPr sz="1050">
          <a:latin typeface="+mj-lt"/>
        </a:defRPr>
      </a:pPr>
      <a:endParaRPr lang="sk-S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40"/>
      <c:rAngAx val="0"/>
      <c:perspective val="30"/>
    </c:view3D>
    <c:floor>
      <c:thickness val="0"/>
    </c:floor>
    <c:sideWall>
      <c:thickness val="0"/>
    </c:sideWall>
    <c:backWall>
      <c:thickness val="0"/>
    </c:backWall>
    <c:plotArea>
      <c:layout>
        <c:manualLayout>
          <c:layoutTarget val="inner"/>
          <c:xMode val="edge"/>
          <c:yMode val="edge"/>
          <c:x val="0"/>
          <c:y val="2.4645480466020911E-3"/>
          <c:w val="0.87742842768210572"/>
          <c:h val="0.96049812118808886"/>
        </c:manualLayout>
      </c:layout>
      <c:pie3DChart>
        <c:varyColors val="1"/>
        <c:ser>
          <c:idx val="0"/>
          <c:order val="0"/>
          <c:spPr>
            <a:effectLst>
              <a:outerShdw blurRad="50800" dist="38100" dir="5400000" algn="t" rotWithShape="0">
                <a:prstClr val="black">
                  <a:alpha val="40000"/>
                </a:prstClr>
              </a:outerShdw>
            </a:effectLst>
          </c:spPr>
          <c:explosion val="23"/>
          <c:dPt>
            <c:idx val="1"/>
            <c:bubble3D val="0"/>
          </c:dPt>
          <c:dLbls>
            <c:dLbl>
              <c:idx val="0"/>
              <c:tx>
                <c:rich>
                  <a:bodyPr/>
                  <a:lstStyle/>
                  <a:p>
                    <a:r>
                      <a:rPr lang="en-US" sz="1050"/>
                      <a:t>63</a:t>
                    </a:r>
                    <a:r>
                      <a:rPr lang="sk-SK" sz="1050"/>
                      <a:t>; 21 %</a:t>
                    </a:r>
                    <a:endParaRPr lang="en-US"/>
                  </a:p>
                </c:rich>
              </c:tx>
              <c:dLblPos val="outEnd"/>
              <c:showLegendKey val="0"/>
              <c:showVal val="1"/>
              <c:showCatName val="0"/>
              <c:showSerName val="0"/>
              <c:showPercent val="0"/>
              <c:showBubbleSize val="0"/>
            </c:dLbl>
            <c:dLbl>
              <c:idx val="1"/>
              <c:layout>
                <c:manualLayout>
                  <c:x val="5.2347959969207082E-2"/>
                  <c:y val="0.20623501199040767"/>
                </c:manualLayout>
              </c:layout>
              <c:tx>
                <c:rich>
                  <a:bodyPr/>
                  <a:lstStyle/>
                  <a:p>
                    <a:r>
                      <a:rPr lang="en-US" sz="1050"/>
                      <a:t>215</a:t>
                    </a:r>
                    <a:r>
                      <a:rPr lang="sk-SK" sz="1050"/>
                      <a:t>; 70</a:t>
                    </a:r>
                    <a:r>
                      <a:rPr lang="sk-SK" sz="1050" baseline="0"/>
                      <a:t> %</a:t>
                    </a:r>
                    <a:endParaRPr lang="en-US"/>
                  </a:p>
                </c:rich>
              </c:tx>
              <c:dLblPos val="bestFit"/>
              <c:showLegendKey val="0"/>
              <c:showVal val="1"/>
              <c:showCatName val="0"/>
              <c:showSerName val="0"/>
              <c:showPercent val="0"/>
              <c:showBubbleSize val="0"/>
            </c:dLbl>
            <c:dLbl>
              <c:idx val="2"/>
              <c:tx>
                <c:rich>
                  <a:bodyPr/>
                  <a:lstStyle/>
                  <a:p>
                    <a:r>
                      <a:rPr lang="en-US" sz="1050"/>
                      <a:t>27</a:t>
                    </a:r>
                    <a:r>
                      <a:rPr lang="sk-SK" sz="1050"/>
                      <a:t>; 9 %</a:t>
                    </a:r>
                    <a:endParaRPr lang="en-US"/>
                  </a:p>
                </c:rich>
              </c:tx>
              <c:dLblPos val="outEnd"/>
              <c:showLegendKey val="0"/>
              <c:showVal val="1"/>
              <c:showCatName val="0"/>
              <c:showSerName val="0"/>
              <c:showPercent val="0"/>
              <c:showBubbleSize val="0"/>
            </c:dLbl>
            <c:txPr>
              <a:bodyPr/>
              <a:lstStyle/>
              <a:p>
                <a:pPr>
                  <a:defRPr sz="1050"/>
                </a:pPr>
                <a:endParaRPr lang="sk-SK"/>
              </a:p>
            </c:txPr>
            <c:dLblPos val="outEnd"/>
            <c:showLegendKey val="0"/>
            <c:showVal val="1"/>
            <c:showCatName val="0"/>
            <c:showSerName val="0"/>
            <c:showPercent val="0"/>
            <c:showBubbleSize val="0"/>
            <c:showLeaderLines val="0"/>
          </c:dLbls>
          <c:cat>
            <c:strRef>
              <c:f>Tab13_14_15_Graf_7_8_9_mobility!$A$17:$A$19</c:f>
              <c:strCache>
                <c:ptCount val="3"/>
                <c:pt idx="0">
                  <c:v>Bc. </c:v>
                </c:pt>
                <c:pt idx="1">
                  <c:v>Ing.</c:v>
                </c:pt>
                <c:pt idx="2">
                  <c:v>PhD. </c:v>
                </c:pt>
              </c:strCache>
            </c:strRef>
          </c:cat>
          <c:val>
            <c:numRef>
              <c:f>Tab13_14_15_Graf_7_8_9_mobility!$B$17:$B$19</c:f>
              <c:numCache>
                <c:formatCode>General</c:formatCode>
                <c:ptCount val="3"/>
                <c:pt idx="0">
                  <c:v>63</c:v>
                </c:pt>
                <c:pt idx="1">
                  <c:v>215</c:v>
                </c:pt>
                <c:pt idx="2">
                  <c:v>27</c:v>
                </c:pt>
              </c:numCache>
            </c:numRef>
          </c:val>
        </c:ser>
        <c:ser>
          <c:idx val="1"/>
          <c:order val="1"/>
          <c:explosion val="25"/>
          <c:cat>
            <c:strRef>
              <c:f>Tab13_14_15_Graf_7_8_9_mobility!$A$17:$A$19</c:f>
              <c:strCache>
                <c:ptCount val="3"/>
                <c:pt idx="0">
                  <c:v>Bc. </c:v>
                </c:pt>
                <c:pt idx="1">
                  <c:v>Ing.</c:v>
                </c:pt>
                <c:pt idx="2">
                  <c:v>PhD. </c:v>
                </c:pt>
              </c:strCache>
            </c:strRef>
          </c:cat>
          <c:val>
            <c:numRef>
              <c:f>Tab13_14_15_Graf_7_8_9_mobility!$C$17:$C$19</c:f>
              <c:numCache>
                <c:formatCode>0.00%</c:formatCode>
                <c:ptCount val="3"/>
                <c:pt idx="0">
                  <c:v>0.20655737704918034</c:v>
                </c:pt>
                <c:pt idx="1">
                  <c:v>0.70491803278688525</c:v>
                </c:pt>
                <c:pt idx="2">
                  <c:v>8.8524590163934422E-2</c:v>
                </c:pt>
              </c:numCache>
            </c:numRef>
          </c:val>
        </c:ser>
        <c:dLbls>
          <c:dLblPos val="outEnd"/>
          <c:showLegendKey val="0"/>
          <c:showVal val="1"/>
          <c:showCatName val="0"/>
          <c:showSerName val="0"/>
          <c:showPercent val="0"/>
          <c:showBubbleSize val="0"/>
          <c:showLeaderLines val="0"/>
        </c:dLbls>
      </c:pie3DChart>
    </c:plotArea>
    <c:legend>
      <c:legendPos val="r"/>
      <c:layout>
        <c:manualLayout>
          <c:xMode val="edge"/>
          <c:yMode val="edge"/>
          <c:x val="0.66924260333509122"/>
          <c:y val="0.66808927661020778"/>
          <c:w val="0.29072660374727988"/>
          <c:h val="0.26799540682414696"/>
        </c:manualLayout>
      </c:layout>
      <c:overlay val="1"/>
      <c:spPr>
        <a:effectLst>
          <a:outerShdw blurRad="50800" dist="38100" dir="5400000" algn="t" rotWithShape="0">
            <a:schemeClr val="bg1">
              <a:lumMod val="50000"/>
              <a:alpha val="40000"/>
            </a:schemeClr>
          </a:outerShdw>
        </a:effectLst>
      </c:spPr>
      <c:txPr>
        <a:bodyPr/>
        <a:lstStyle/>
        <a:p>
          <a:pPr>
            <a:defRPr sz="1050" b="1"/>
          </a:pPr>
          <a:endParaRPr lang="sk-SK"/>
        </a:p>
      </c:txPr>
    </c:legend>
    <c:plotVisOnly val="1"/>
    <c:dispBlanksAs val="gap"/>
    <c:showDLblsOverMax val="0"/>
  </c:chart>
  <c:spPr>
    <a:ln>
      <a:noFill/>
    </a:ln>
  </c:spPr>
  <c:txPr>
    <a:bodyPr/>
    <a:lstStyle/>
    <a:p>
      <a:pPr>
        <a:defRPr>
          <a:latin typeface="+mj-lt"/>
        </a:defRPr>
      </a:pPr>
      <a:endParaRPr lang="sk-S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a:noFill/>
        </a:ln>
      </c:spPr>
    </c:sideWall>
    <c:backWall>
      <c:thickness val="0"/>
      <c:spPr>
        <a:noFill/>
        <a:ln>
          <a:noFill/>
        </a:ln>
      </c:spPr>
    </c:backWall>
    <c:plotArea>
      <c:layout/>
      <c:bar3DChart>
        <c:barDir val="col"/>
        <c:grouping val="clustered"/>
        <c:varyColors val="0"/>
        <c:ser>
          <c:idx val="0"/>
          <c:order val="0"/>
          <c:tx>
            <c:strRef>
              <c:f>Tab13_14_15_Graf_7_8_9_mobility!$B$36:$B$37</c:f>
              <c:strCache>
                <c:ptCount val="1"/>
                <c:pt idx="0">
                  <c:v>Erasmus+ vyslania</c:v>
                </c:pt>
              </c:strCache>
            </c:strRef>
          </c:tx>
          <c:spPr>
            <a:scene3d>
              <a:camera prst="orthographicFront"/>
              <a:lightRig rig="threePt" dir="t"/>
            </a:scene3d>
            <a:sp3d>
              <a:bevelT/>
            </a:sp3d>
          </c:spPr>
          <c:invertIfNegative val="0"/>
          <c:cat>
            <c:strRef>
              <c:f>Tab13_14_15_Graf_7_8_9_mobility!$A$38:$A$62</c:f>
              <c:strCache>
                <c:ptCount val="25"/>
                <c:pt idx="0">
                  <c:v>AT</c:v>
                </c:pt>
                <c:pt idx="1">
                  <c:v>BE</c:v>
                </c:pt>
                <c:pt idx="2">
                  <c:v>BG</c:v>
                </c:pt>
                <c:pt idx="3">
                  <c:v>CZ</c:v>
                </c:pt>
                <c:pt idx="4">
                  <c:v>DE</c:v>
                </c:pt>
                <c:pt idx="5">
                  <c:v>DK</c:v>
                </c:pt>
                <c:pt idx="6">
                  <c:v>EE</c:v>
                </c:pt>
                <c:pt idx="7">
                  <c:v>EL</c:v>
                </c:pt>
                <c:pt idx="8">
                  <c:v>ES</c:v>
                </c:pt>
                <c:pt idx="9">
                  <c:v>FI</c:v>
                </c:pt>
                <c:pt idx="10">
                  <c:v>FR</c:v>
                </c:pt>
                <c:pt idx="11">
                  <c:v>HR</c:v>
                </c:pt>
                <c:pt idx="12">
                  <c:v>HU</c:v>
                </c:pt>
                <c:pt idx="13">
                  <c:v>IE</c:v>
                </c:pt>
                <c:pt idx="14">
                  <c:v>IT</c:v>
                </c:pt>
                <c:pt idx="15">
                  <c:v>LT </c:v>
                </c:pt>
                <c:pt idx="16">
                  <c:v>NL</c:v>
                </c:pt>
                <c:pt idx="17">
                  <c:v>NO</c:v>
                </c:pt>
                <c:pt idx="18">
                  <c:v>PL</c:v>
                </c:pt>
                <c:pt idx="19">
                  <c:v>PT</c:v>
                </c:pt>
                <c:pt idx="20">
                  <c:v>RO</c:v>
                </c:pt>
                <c:pt idx="21">
                  <c:v>SE</c:v>
                </c:pt>
                <c:pt idx="22">
                  <c:v>SI</c:v>
                </c:pt>
                <c:pt idx="23">
                  <c:v>TR</c:v>
                </c:pt>
                <c:pt idx="24">
                  <c:v>UK</c:v>
                </c:pt>
              </c:strCache>
            </c:strRef>
          </c:cat>
          <c:val>
            <c:numRef>
              <c:f>Tab13_14_15_Graf_7_8_9_mobility!$B$38:$B$62</c:f>
              <c:numCache>
                <c:formatCode>General</c:formatCode>
                <c:ptCount val="25"/>
                <c:pt idx="0">
                  <c:v>21</c:v>
                </c:pt>
                <c:pt idx="1">
                  <c:v>22</c:v>
                </c:pt>
                <c:pt idx="2">
                  <c:v>2</c:v>
                </c:pt>
                <c:pt idx="3">
                  <c:v>55</c:v>
                </c:pt>
                <c:pt idx="4">
                  <c:v>51</c:v>
                </c:pt>
                <c:pt idx="5">
                  <c:v>13</c:v>
                </c:pt>
                <c:pt idx="6">
                  <c:v>12</c:v>
                </c:pt>
                <c:pt idx="7">
                  <c:v>2</c:v>
                </c:pt>
                <c:pt idx="8">
                  <c:v>30</c:v>
                </c:pt>
                <c:pt idx="9">
                  <c:v>7</c:v>
                </c:pt>
                <c:pt idx="10">
                  <c:v>9</c:v>
                </c:pt>
                <c:pt idx="11">
                  <c:v>3</c:v>
                </c:pt>
                <c:pt idx="12">
                  <c:v>2</c:v>
                </c:pt>
                <c:pt idx="13">
                  <c:v>3</c:v>
                </c:pt>
                <c:pt idx="14">
                  <c:v>14</c:v>
                </c:pt>
                <c:pt idx="15">
                  <c:v>3</c:v>
                </c:pt>
                <c:pt idx="16">
                  <c:v>3</c:v>
                </c:pt>
                <c:pt idx="17">
                  <c:v>3</c:v>
                </c:pt>
                <c:pt idx="18">
                  <c:v>12</c:v>
                </c:pt>
                <c:pt idx="19">
                  <c:v>15</c:v>
                </c:pt>
                <c:pt idx="20">
                  <c:v>0</c:v>
                </c:pt>
                <c:pt idx="21">
                  <c:v>7</c:v>
                </c:pt>
                <c:pt idx="22">
                  <c:v>1</c:v>
                </c:pt>
                <c:pt idx="23">
                  <c:v>5</c:v>
                </c:pt>
                <c:pt idx="24">
                  <c:v>10</c:v>
                </c:pt>
              </c:numCache>
            </c:numRef>
          </c:val>
        </c:ser>
        <c:ser>
          <c:idx val="1"/>
          <c:order val="1"/>
          <c:tx>
            <c:strRef>
              <c:f>Tab13_14_15_Graf_7_8_9_mobility!$C$36:$C$37</c:f>
              <c:strCache>
                <c:ptCount val="1"/>
                <c:pt idx="0">
                  <c:v>Erasmus+ prijatia</c:v>
                </c:pt>
              </c:strCache>
            </c:strRef>
          </c:tx>
          <c:spPr>
            <a:scene3d>
              <a:camera prst="orthographicFront"/>
              <a:lightRig rig="threePt" dir="t"/>
            </a:scene3d>
            <a:sp3d>
              <a:bevelT/>
            </a:sp3d>
          </c:spPr>
          <c:invertIfNegative val="0"/>
          <c:cat>
            <c:strRef>
              <c:f>Tab13_14_15_Graf_7_8_9_mobility!$A$38:$A$62</c:f>
              <c:strCache>
                <c:ptCount val="25"/>
                <c:pt idx="0">
                  <c:v>AT</c:v>
                </c:pt>
                <c:pt idx="1">
                  <c:v>BE</c:v>
                </c:pt>
                <c:pt idx="2">
                  <c:v>BG</c:v>
                </c:pt>
                <c:pt idx="3">
                  <c:v>CZ</c:v>
                </c:pt>
                <c:pt idx="4">
                  <c:v>DE</c:v>
                </c:pt>
                <c:pt idx="5">
                  <c:v>DK</c:v>
                </c:pt>
                <c:pt idx="6">
                  <c:v>EE</c:v>
                </c:pt>
                <c:pt idx="7">
                  <c:v>EL</c:v>
                </c:pt>
                <c:pt idx="8">
                  <c:v>ES</c:v>
                </c:pt>
                <c:pt idx="9">
                  <c:v>FI</c:v>
                </c:pt>
                <c:pt idx="10">
                  <c:v>FR</c:v>
                </c:pt>
                <c:pt idx="11">
                  <c:v>HR</c:v>
                </c:pt>
                <c:pt idx="12">
                  <c:v>HU</c:v>
                </c:pt>
                <c:pt idx="13">
                  <c:v>IE</c:v>
                </c:pt>
                <c:pt idx="14">
                  <c:v>IT</c:v>
                </c:pt>
                <c:pt idx="15">
                  <c:v>LT </c:v>
                </c:pt>
                <c:pt idx="16">
                  <c:v>NL</c:v>
                </c:pt>
                <c:pt idx="17">
                  <c:v>NO</c:v>
                </c:pt>
                <c:pt idx="18">
                  <c:v>PL</c:v>
                </c:pt>
                <c:pt idx="19">
                  <c:v>PT</c:v>
                </c:pt>
                <c:pt idx="20">
                  <c:v>RO</c:v>
                </c:pt>
                <c:pt idx="21">
                  <c:v>SE</c:v>
                </c:pt>
                <c:pt idx="22">
                  <c:v>SI</c:v>
                </c:pt>
                <c:pt idx="23">
                  <c:v>TR</c:v>
                </c:pt>
                <c:pt idx="24">
                  <c:v>UK</c:v>
                </c:pt>
              </c:strCache>
            </c:strRef>
          </c:cat>
          <c:val>
            <c:numRef>
              <c:f>Tab13_14_15_Graf_7_8_9_mobility!$C$38:$C$62</c:f>
              <c:numCache>
                <c:formatCode>General</c:formatCode>
                <c:ptCount val="25"/>
                <c:pt idx="0">
                  <c:v>1</c:v>
                </c:pt>
                <c:pt idx="2">
                  <c:v>2</c:v>
                </c:pt>
                <c:pt idx="4">
                  <c:v>9</c:v>
                </c:pt>
                <c:pt idx="7">
                  <c:v>4</c:v>
                </c:pt>
                <c:pt idx="8">
                  <c:v>34</c:v>
                </c:pt>
                <c:pt idx="10">
                  <c:v>9</c:v>
                </c:pt>
                <c:pt idx="11">
                  <c:v>6</c:v>
                </c:pt>
                <c:pt idx="14">
                  <c:v>5</c:v>
                </c:pt>
                <c:pt idx="15">
                  <c:v>4</c:v>
                </c:pt>
                <c:pt idx="18">
                  <c:v>11</c:v>
                </c:pt>
                <c:pt idx="19">
                  <c:v>8</c:v>
                </c:pt>
                <c:pt idx="20">
                  <c:v>3</c:v>
                </c:pt>
                <c:pt idx="22">
                  <c:v>2</c:v>
                </c:pt>
                <c:pt idx="23">
                  <c:v>2</c:v>
                </c:pt>
              </c:numCache>
            </c:numRef>
          </c:val>
        </c:ser>
        <c:dLbls>
          <c:showLegendKey val="0"/>
          <c:showVal val="0"/>
          <c:showCatName val="0"/>
          <c:showSerName val="0"/>
          <c:showPercent val="0"/>
          <c:showBubbleSize val="0"/>
        </c:dLbls>
        <c:gapWidth val="150"/>
        <c:shape val="box"/>
        <c:axId val="131215360"/>
        <c:axId val="131216896"/>
        <c:axId val="0"/>
      </c:bar3DChart>
      <c:catAx>
        <c:axId val="131215360"/>
        <c:scaling>
          <c:orientation val="minMax"/>
        </c:scaling>
        <c:delete val="0"/>
        <c:axPos val="b"/>
        <c:numFmt formatCode="General" sourceLinked="1"/>
        <c:majorTickMark val="out"/>
        <c:minorTickMark val="none"/>
        <c:tickLblPos val="nextTo"/>
        <c:crossAx val="131216896"/>
        <c:crosses val="autoZero"/>
        <c:auto val="1"/>
        <c:lblAlgn val="ctr"/>
        <c:lblOffset val="100"/>
        <c:noMultiLvlLbl val="0"/>
      </c:catAx>
      <c:valAx>
        <c:axId val="131216896"/>
        <c:scaling>
          <c:orientation val="minMax"/>
        </c:scaling>
        <c:delete val="0"/>
        <c:axPos val="l"/>
        <c:majorGridlines/>
        <c:numFmt formatCode="General" sourceLinked="1"/>
        <c:majorTickMark val="out"/>
        <c:minorTickMark val="none"/>
        <c:tickLblPos val="nextTo"/>
        <c:crossAx val="131215360"/>
        <c:crosses val="autoZero"/>
        <c:crossBetween val="between"/>
      </c:valAx>
    </c:plotArea>
    <c:legend>
      <c:legendPos val="t"/>
      <c:layout>
        <c:manualLayout>
          <c:xMode val="edge"/>
          <c:yMode val="edge"/>
          <c:x val="0.42630129065192163"/>
          <c:y val="0.10296633336057909"/>
          <c:w val="0.50010277773394562"/>
          <c:h val="6.5879818912987664E-2"/>
        </c:manualLayout>
      </c:layout>
      <c:overlay val="1"/>
    </c:legend>
    <c:plotVisOnly val="1"/>
    <c:dispBlanksAs val="gap"/>
    <c:showDLblsOverMax val="0"/>
  </c:chart>
  <c:spPr>
    <a:ln>
      <a:noFill/>
    </a:ln>
  </c:spPr>
  <c:txPr>
    <a:bodyPr/>
    <a:lstStyle/>
    <a:p>
      <a:pPr>
        <a:defRPr sz="1050">
          <a:latin typeface="+mj-lt"/>
        </a:defRPr>
      </a:pPr>
      <a:endParaRPr lang="sk-S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182852143482065E-2"/>
          <c:y val="6.528944298629337E-2"/>
          <c:w val="0.879428258967629"/>
          <c:h val="0.68447142023913676"/>
        </c:manualLayout>
      </c:layout>
      <c:lineChart>
        <c:grouping val="standard"/>
        <c:varyColors val="0"/>
        <c:ser>
          <c:idx val="0"/>
          <c:order val="0"/>
          <c:tx>
            <c:strRef>
              <c:f>Tab13_14_15_Graf_7_8_9_mobility!$B$66</c:f>
              <c:strCache>
                <c:ptCount val="1"/>
                <c:pt idx="0">
                  <c:v>vyslaní</c:v>
                </c:pt>
              </c:strCache>
            </c:strRef>
          </c:tx>
          <c:marker>
            <c:symbol val="none"/>
          </c:marker>
          <c:dLbls>
            <c:dLbl>
              <c:idx val="0"/>
              <c:layout>
                <c:manualLayout>
                  <c:x val="-5.1333333333333335E-2"/>
                  <c:y val="-8.9861111111111114E-2"/>
                </c:manualLayout>
              </c:layout>
              <c:dLblPos val="r"/>
              <c:showLegendKey val="0"/>
              <c:showVal val="1"/>
              <c:showCatName val="0"/>
              <c:showSerName val="0"/>
              <c:showPercent val="0"/>
              <c:showBubbleSize val="0"/>
            </c:dLbl>
            <c:dLbl>
              <c:idx val="1"/>
              <c:layout>
                <c:manualLayout>
                  <c:x val="-4.8555555555555553E-2"/>
                  <c:y val="-7.5972222222222219E-2"/>
                </c:manualLayout>
              </c:layout>
              <c:dLblPos val="r"/>
              <c:showLegendKey val="0"/>
              <c:showVal val="1"/>
              <c:showCatName val="0"/>
              <c:showSerName val="0"/>
              <c:showPercent val="0"/>
              <c:showBubbleSize val="0"/>
            </c:dLbl>
            <c:dLbl>
              <c:idx val="4"/>
              <c:layout>
                <c:manualLayout>
                  <c:x val="-6.1402887139107715E-2"/>
                  <c:y val="-2.719889180519101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Tab13_14_15_Graf_7_8_9_mobility!$A$69:$A$73</c:f>
              <c:strCache>
                <c:ptCount val="5"/>
                <c:pt idx="0">
                  <c:v>2010/11</c:v>
                </c:pt>
                <c:pt idx="1">
                  <c:v>2011/12</c:v>
                </c:pt>
                <c:pt idx="2">
                  <c:v>2012/13</c:v>
                </c:pt>
                <c:pt idx="3">
                  <c:v>2013/14</c:v>
                </c:pt>
                <c:pt idx="4">
                  <c:v>2014/15</c:v>
                </c:pt>
              </c:strCache>
            </c:strRef>
          </c:cat>
          <c:val>
            <c:numRef>
              <c:f>Tab13_14_15_Graf_7_8_9_mobility!$F$69:$F$73</c:f>
              <c:numCache>
                <c:formatCode>General</c:formatCode>
                <c:ptCount val="5"/>
                <c:pt idx="0">
                  <c:v>155</c:v>
                </c:pt>
                <c:pt idx="1">
                  <c:v>263</c:v>
                </c:pt>
                <c:pt idx="2">
                  <c:v>214</c:v>
                </c:pt>
                <c:pt idx="3">
                  <c:v>332</c:v>
                </c:pt>
                <c:pt idx="4">
                  <c:v>417</c:v>
                </c:pt>
              </c:numCache>
            </c:numRef>
          </c:val>
          <c:smooth val="0"/>
        </c:ser>
        <c:ser>
          <c:idx val="1"/>
          <c:order val="1"/>
          <c:tx>
            <c:strRef>
              <c:f>Tab13_14_15_Graf_7_8_9_mobility!$G$66</c:f>
              <c:strCache>
                <c:ptCount val="1"/>
                <c:pt idx="0">
                  <c:v>prijatí</c:v>
                </c:pt>
              </c:strCache>
            </c:strRef>
          </c:tx>
          <c:marker>
            <c:symbol val="none"/>
          </c:marker>
          <c:dLbls>
            <c:dLbl>
              <c:idx val="3"/>
              <c:layout>
                <c:manualLayout>
                  <c:x val="-4.0222222222222326E-2"/>
                  <c:y val="-8.060185185185185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Tab13_14_15_Graf_7_8_9_mobility!$A$69:$A$73</c:f>
              <c:strCache>
                <c:ptCount val="5"/>
                <c:pt idx="0">
                  <c:v>2010/11</c:v>
                </c:pt>
                <c:pt idx="1">
                  <c:v>2011/12</c:v>
                </c:pt>
                <c:pt idx="2">
                  <c:v>2012/13</c:v>
                </c:pt>
                <c:pt idx="3">
                  <c:v>2013/14</c:v>
                </c:pt>
                <c:pt idx="4">
                  <c:v>2014/15</c:v>
                </c:pt>
              </c:strCache>
            </c:strRef>
          </c:cat>
          <c:val>
            <c:numRef>
              <c:f>Tab13_14_15_Graf_7_8_9_mobility!$K$69:$K$73</c:f>
              <c:numCache>
                <c:formatCode>General</c:formatCode>
                <c:ptCount val="5"/>
                <c:pt idx="0">
                  <c:v>81</c:v>
                </c:pt>
                <c:pt idx="1">
                  <c:v>86</c:v>
                </c:pt>
                <c:pt idx="2">
                  <c:v>112</c:v>
                </c:pt>
                <c:pt idx="3">
                  <c:v>166</c:v>
                </c:pt>
                <c:pt idx="4">
                  <c:v>177</c:v>
                </c:pt>
              </c:numCache>
            </c:numRef>
          </c:val>
          <c:smooth val="0"/>
        </c:ser>
        <c:dLbls>
          <c:dLblPos val="t"/>
          <c:showLegendKey val="0"/>
          <c:showVal val="1"/>
          <c:showCatName val="0"/>
          <c:showSerName val="0"/>
          <c:showPercent val="0"/>
          <c:showBubbleSize val="0"/>
        </c:dLbls>
        <c:marker val="1"/>
        <c:smooth val="0"/>
        <c:axId val="131250816"/>
        <c:axId val="131268992"/>
      </c:lineChart>
      <c:catAx>
        <c:axId val="131250816"/>
        <c:scaling>
          <c:orientation val="minMax"/>
        </c:scaling>
        <c:delete val="0"/>
        <c:axPos val="b"/>
        <c:majorTickMark val="out"/>
        <c:minorTickMark val="none"/>
        <c:tickLblPos val="nextTo"/>
        <c:crossAx val="131268992"/>
        <c:crosses val="autoZero"/>
        <c:auto val="1"/>
        <c:lblAlgn val="ctr"/>
        <c:lblOffset val="100"/>
        <c:noMultiLvlLbl val="0"/>
      </c:catAx>
      <c:valAx>
        <c:axId val="131268992"/>
        <c:scaling>
          <c:orientation val="minMax"/>
        </c:scaling>
        <c:delete val="0"/>
        <c:axPos val="l"/>
        <c:majorGridlines>
          <c:spPr>
            <a:ln>
              <a:solidFill>
                <a:schemeClr val="bg1">
                  <a:lumMod val="65000"/>
                </a:schemeClr>
              </a:solidFill>
            </a:ln>
          </c:spPr>
        </c:majorGridlines>
        <c:numFmt formatCode="General" sourceLinked="1"/>
        <c:majorTickMark val="out"/>
        <c:minorTickMark val="none"/>
        <c:tickLblPos val="nextTo"/>
        <c:crossAx val="131250816"/>
        <c:crosses val="autoZero"/>
        <c:crossBetween val="between"/>
      </c:valAx>
    </c:plotArea>
    <c:legend>
      <c:legendPos val="b"/>
      <c:overlay val="0"/>
    </c:legend>
    <c:plotVisOnly val="1"/>
    <c:dispBlanksAs val="gap"/>
    <c:showDLblsOverMax val="0"/>
  </c:chart>
  <c:spPr>
    <a:ln>
      <a:noFill/>
    </a:ln>
  </c:spPr>
  <c:txPr>
    <a:bodyPr/>
    <a:lstStyle/>
    <a:p>
      <a:pPr>
        <a:defRPr sz="1050">
          <a:latin typeface="+mj-lt"/>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108A-A105-4038-99E2-26A3464E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109</Pages>
  <Words>30397</Words>
  <Characters>173263</Characters>
  <Application>Microsoft Office Word</Application>
  <DocSecurity>0</DocSecurity>
  <Lines>1443</Lines>
  <Paragraphs>406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Sajbidorova</dc:creator>
  <cp:lastModifiedBy>jevcakova</cp:lastModifiedBy>
  <cp:revision>3</cp:revision>
  <cp:lastPrinted>2016-04-12T08:26:00Z</cp:lastPrinted>
  <dcterms:created xsi:type="dcterms:W3CDTF">2016-04-13T10:43:00Z</dcterms:created>
  <dcterms:modified xsi:type="dcterms:W3CDTF">2016-04-13T10:46:00Z</dcterms:modified>
</cp:coreProperties>
</file>