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30006A" w:rsidRPr="00AF7046" w:rsidRDefault="006F616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Default="006F616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10.</w:t>
      </w:r>
      <w:r w:rsidR="00512F8A">
        <w:rPr>
          <w:rFonts w:asciiTheme="majorHAnsi" w:hAnsiTheme="majorHAnsi"/>
          <w:sz w:val="36"/>
          <w:szCs w:val="36"/>
          <w:lang w:val="sk-SK"/>
        </w:rPr>
        <w:t>04</w:t>
      </w:r>
      <w:r w:rsidR="00D437F0">
        <w:rPr>
          <w:rFonts w:asciiTheme="majorHAnsi" w:hAnsiTheme="majorHAnsi"/>
          <w:sz w:val="36"/>
          <w:szCs w:val="36"/>
          <w:lang w:val="sk-SK"/>
        </w:rPr>
        <w:t>.2017</w:t>
      </w:r>
    </w:p>
    <w:p w:rsidR="004E261A" w:rsidRDefault="004E261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F43991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4311D4" w:rsidRDefault="000F0EDE" w:rsidP="004311D4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Zámer p</w:t>
      </w:r>
      <w:r w:rsidR="004311D4">
        <w:rPr>
          <w:rFonts w:asciiTheme="majorHAnsi" w:hAnsiTheme="majorHAnsi"/>
          <w:b/>
          <w:sz w:val="36"/>
          <w:szCs w:val="36"/>
          <w:lang w:val="sk-SK"/>
        </w:rPr>
        <w:t>redaj</w:t>
      </w:r>
      <w:r>
        <w:rPr>
          <w:rFonts w:asciiTheme="majorHAnsi" w:hAnsiTheme="majorHAnsi"/>
          <w:b/>
          <w:sz w:val="36"/>
          <w:szCs w:val="36"/>
          <w:lang w:val="sk-SK"/>
        </w:rPr>
        <w:t>a</w:t>
      </w:r>
      <w:r w:rsidR="004311D4">
        <w:rPr>
          <w:rFonts w:asciiTheme="majorHAnsi" w:hAnsiTheme="majorHAnsi"/>
          <w:b/>
          <w:sz w:val="36"/>
          <w:szCs w:val="36"/>
          <w:lang w:val="sk-SK"/>
        </w:rPr>
        <w:t xml:space="preserve"> nehnuteľností vo vlastníctve </w:t>
      </w:r>
    </w:p>
    <w:p w:rsidR="004311D4" w:rsidRDefault="004311D4" w:rsidP="004311D4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Slovenskej technickej univerzity v Bratislave </w:t>
      </w:r>
    </w:p>
    <w:p w:rsidR="00006C9B" w:rsidRPr="006F6160" w:rsidRDefault="00907FDB" w:rsidP="006F6160">
      <w:pPr>
        <w:pStyle w:val="Odsekzoznamu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areál </w:t>
      </w:r>
      <w:r w:rsidR="00B30097" w:rsidRPr="00907FDB">
        <w:rPr>
          <w:rFonts w:asciiTheme="majorHAnsi" w:hAnsiTheme="majorHAnsi"/>
          <w:b/>
          <w:sz w:val="36"/>
          <w:szCs w:val="36"/>
        </w:rPr>
        <w:t>Gabčíkov</w:t>
      </w:r>
      <w:r>
        <w:rPr>
          <w:rFonts w:asciiTheme="majorHAnsi" w:hAnsiTheme="majorHAnsi"/>
          <w:b/>
          <w:sz w:val="36"/>
          <w:szCs w:val="36"/>
        </w:rPr>
        <w:t>o</w:t>
      </w:r>
      <w:r w:rsidR="00AE41BF" w:rsidRPr="00907FDB">
        <w:rPr>
          <w:rFonts w:asciiTheme="majorHAnsi" w:hAnsiTheme="majorHAnsi"/>
          <w:b/>
          <w:sz w:val="36"/>
          <w:szCs w:val="36"/>
        </w:rPr>
        <w:t xml:space="preserve"> </w:t>
      </w:r>
    </w:p>
    <w:p w:rsidR="000F0EDE" w:rsidRDefault="000F0ED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F6160" w:rsidRPr="006F6160">
        <w:rPr>
          <w:rFonts w:asciiTheme="majorHAnsi" w:hAnsiTheme="majorHAnsi"/>
          <w:b/>
          <w:lang w:val="sk-SK"/>
        </w:rPr>
        <w:t>prof.</w:t>
      </w:r>
      <w:r w:rsidR="006F6160">
        <w:rPr>
          <w:rFonts w:asciiTheme="majorHAnsi" w:hAnsiTheme="majorHAnsi"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proofErr w:type="spellStart"/>
      <w:r w:rsidR="006F6160">
        <w:rPr>
          <w:rFonts w:asciiTheme="majorHAnsi" w:hAnsiTheme="majorHAnsi"/>
          <w:b/>
          <w:lang w:val="sk-SK"/>
        </w:rPr>
        <w:t>Robert</w:t>
      </w:r>
      <w:proofErr w:type="spellEnd"/>
      <w:r w:rsidR="006F6160">
        <w:rPr>
          <w:rFonts w:asciiTheme="majorHAnsi" w:hAnsiTheme="majorHAnsi"/>
          <w:b/>
          <w:lang w:val="sk-SK"/>
        </w:rPr>
        <w:t xml:space="preserve"> </w:t>
      </w:r>
      <w:proofErr w:type="spellStart"/>
      <w:r w:rsidR="006F6160">
        <w:rPr>
          <w:rFonts w:asciiTheme="majorHAnsi" w:hAnsiTheme="majorHAnsi"/>
          <w:b/>
          <w:lang w:val="sk-SK"/>
        </w:rPr>
        <w:t>Redhammer</w:t>
      </w:r>
      <w:proofErr w:type="spellEnd"/>
      <w:r w:rsidR="006F6160">
        <w:rPr>
          <w:rFonts w:asciiTheme="majorHAnsi" w:hAnsiTheme="majorHAnsi"/>
          <w:b/>
          <w:lang w:val="sk-SK"/>
        </w:rPr>
        <w:t xml:space="preserve">, </w:t>
      </w:r>
      <w:r w:rsidR="00D36BF6" w:rsidRPr="000A6D3A">
        <w:rPr>
          <w:rFonts w:asciiTheme="majorHAnsi" w:hAnsiTheme="majorHAnsi"/>
          <w:b/>
          <w:lang w:val="sk-SK"/>
        </w:rPr>
        <w:t>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F6160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311D4">
        <w:rPr>
          <w:rFonts w:asciiTheme="majorHAnsi" w:hAnsiTheme="majorHAnsi"/>
          <w:lang w:val="sk-SK"/>
        </w:rPr>
        <w:t>a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 xml:space="preserve">JUDr. Marcela </w:t>
      </w:r>
      <w:proofErr w:type="spellStart"/>
      <w:r w:rsidR="00D36BF6" w:rsidRPr="000A6D3A">
        <w:rPr>
          <w:rFonts w:asciiTheme="majorHAnsi" w:hAnsiTheme="majorHAnsi"/>
          <w:b/>
          <w:lang w:val="sk-SK"/>
        </w:rPr>
        <w:t>Haladejová</w:t>
      </w:r>
      <w:proofErr w:type="spellEnd"/>
    </w:p>
    <w:p w:rsidR="005169FD" w:rsidRDefault="005169FD" w:rsidP="005169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9A34D6">
        <w:rPr>
          <w:rFonts w:asciiTheme="majorHAnsi" w:hAnsiTheme="majorHAnsi"/>
          <w:lang w:val="sk-SK"/>
        </w:rPr>
        <w:t>p</w:t>
      </w:r>
      <w:r>
        <w:rPr>
          <w:rFonts w:asciiTheme="majorHAnsi" w:hAnsiTheme="majorHAnsi"/>
          <w:lang w:val="sk-SK"/>
        </w:rPr>
        <w:t>rávny a organizačný útvar</w:t>
      </w:r>
    </w:p>
    <w:p w:rsidR="001E0586" w:rsidRPr="005169FD" w:rsidRDefault="001E0586" w:rsidP="005169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 xml:space="preserve">z podkladov </w:t>
      </w:r>
      <w:r w:rsidRPr="001E0586">
        <w:rPr>
          <w:rFonts w:asciiTheme="majorHAnsi" w:hAnsiTheme="majorHAnsi"/>
          <w:b/>
          <w:lang w:val="sk-SK"/>
        </w:rPr>
        <w:t xml:space="preserve">JUDr. </w:t>
      </w:r>
      <w:proofErr w:type="spellStart"/>
      <w:r w:rsidRPr="001E0586">
        <w:rPr>
          <w:rFonts w:asciiTheme="majorHAnsi" w:hAnsiTheme="majorHAnsi"/>
          <w:b/>
          <w:lang w:val="sk-SK"/>
        </w:rPr>
        <w:t>Jaroša</w:t>
      </w:r>
      <w:proofErr w:type="spellEnd"/>
      <w:r w:rsidRPr="001E0586">
        <w:rPr>
          <w:rFonts w:asciiTheme="majorHAnsi" w:hAnsiTheme="majorHAnsi"/>
          <w:b/>
          <w:lang w:val="sk-SK"/>
        </w:rPr>
        <w:t xml:space="preserve"> a Ing. </w:t>
      </w:r>
      <w:proofErr w:type="spellStart"/>
      <w:r w:rsidRPr="001E0586">
        <w:rPr>
          <w:rFonts w:asciiTheme="majorHAnsi" w:hAnsiTheme="majorHAnsi"/>
          <w:b/>
          <w:lang w:val="sk-SK"/>
        </w:rPr>
        <w:t>Fančovičovej</w:t>
      </w:r>
      <w:proofErr w:type="spellEnd"/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B30097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ab/>
      </w:r>
      <w:r w:rsidR="004311D4">
        <w:rPr>
          <w:rFonts w:asciiTheme="majorHAnsi" w:hAnsiTheme="majorHAnsi"/>
          <w:lang w:val="sk-SK"/>
        </w:rPr>
        <w:t xml:space="preserve">Postup v zmysle § </w:t>
      </w:r>
      <w:r w:rsidR="006F6160">
        <w:rPr>
          <w:rFonts w:asciiTheme="majorHAnsi" w:hAnsiTheme="majorHAnsi"/>
          <w:lang w:val="sk-SK"/>
        </w:rPr>
        <w:t xml:space="preserve">13 ods. 1 písm. d) </w:t>
      </w:r>
      <w:r w:rsidR="004311D4">
        <w:rPr>
          <w:rFonts w:asciiTheme="majorHAnsi" w:hAnsiTheme="majorHAnsi"/>
          <w:lang w:val="sk-SK"/>
        </w:rPr>
        <w:t xml:space="preserve">zákona č. 176/2004 Z. z. o nakladaní s majetkom verejnoprávnych inštitúcií </w:t>
      </w:r>
      <w:r w:rsidR="006F6160">
        <w:rPr>
          <w:rFonts w:asciiTheme="majorHAnsi" w:hAnsiTheme="majorHAnsi"/>
          <w:lang w:val="sk-SK"/>
        </w:rPr>
        <w:t>a o zmene zákona Národnej rady Slovenskej republiky č. 259/1993 Z. z. o Slovenskej lesníckej komore v znení zákona č. 464/2002 Z. z. v znení neskorších predpisov</w:t>
      </w:r>
      <w:r w:rsidR="004311D4">
        <w:rPr>
          <w:rFonts w:asciiTheme="majorHAnsi" w:hAnsiTheme="majorHAnsi"/>
          <w:lang w:val="sk-SK"/>
        </w:rPr>
        <w:t xml:space="preserve"> a smernice rektora č. </w:t>
      </w:r>
      <w:r w:rsidR="00E23544">
        <w:rPr>
          <w:rFonts w:asciiTheme="majorHAnsi" w:hAnsiTheme="majorHAnsi"/>
          <w:lang w:val="sk-SK"/>
        </w:rPr>
        <w:t xml:space="preserve">3/2015-SR Nakladanie s nepotrebným majetkom Slovenskej technickej univerzity v Bratislave. </w:t>
      </w:r>
      <w:r w:rsidR="00A00F2C">
        <w:rPr>
          <w:rFonts w:asciiTheme="majorHAnsi" w:hAnsiTheme="majorHAnsi"/>
          <w:lang w:val="sk-SK"/>
        </w:rPr>
        <w:t xml:space="preserve"> </w:t>
      </w:r>
      <w:r w:rsidR="00927B5B">
        <w:rPr>
          <w:rFonts w:asciiTheme="majorHAnsi" w:hAnsiTheme="majorHAnsi"/>
          <w:lang w:val="sk-SK"/>
        </w:rPr>
        <w:t xml:space="preserve">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30097" w:rsidRDefault="0030006A" w:rsidP="00E2354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F6160">
        <w:rPr>
          <w:rFonts w:asciiTheme="majorHAnsi" w:hAnsiTheme="majorHAnsi"/>
          <w:lang w:val="sk-SK"/>
        </w:rPr>
        <w:t xml:space="preserve">Akademický senát STU </w:t>
      </w:r>
      <w:r w:rsidR="00D36BF6">
        <w:rPr>
          <w:rFonts w:asciiTheme="majorHAnsi" w:hAnsiTheme="majorHAnsi"/>
          <w:lang w:val="sk-SK"/>
        </w:rPr>
        <w:t xml:space="preserve">prerokoval </w:t>
      </w:r>
      <w:r w:rsidR="00B30097">
        <w:rPr>
          <w:rFonts w:asciiTheme="majorHAnsi" w:hAnsiTheme="majorHAnsi"/>
          <w:lang w:val="sk-SK"/>
        </w:rPr>
        <w:t xml:space="preserve">zámer </w:t>
      </w:r>
      <w:r w:rsidR="00E23544">
        <w:rPr>
          <w:rFonts w:asciiTheme="majorHAnsi" w:hAnsiTheme="majorHAnsi"/>
          <w:lang w:val="sk-SK"/>
        </w:rPr>
        <w:t xml:space="preserve">predaja nehnuteľností </w:t>
      </w:r>
    </w:p>
    <w:p w:rsidR="004B22A1" w:rsidRDefault="00B30097" w:rsidP="005248FA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E23544">
        <w:rPr>
          <w:rFonts w:asciiTheme="majorHAnsi" w:hAnsiTheme="majorHAnsi"/>
          <w:lang w:val="sk-SK"/>
        </w:rPr>
        <w:t xml:space="preserve">vo vlastníctve </w:t>
      </w:r>
      <w:r w:rsidR="009A2DAB">
        <w:rPr>
          <w:rFonts w:asciiTheme="majorHAnsi" w:hAnsiTheme="majorHAnsi"/>
          <w:lang w:val="sk-SK"/>
        </w:rPr>
        <w:t xml:space="preserve">Slovenskej technickej univerzity </w:t>
      </w:r>
      <w:r w:rsidR="00610A86">
        <w:rPr>
          <w:rFonts w:asciiTheme="majorHAnsi" w:hAnsiTheme="majorHAnsi"/>
          <w:lang w:val="sk-SK"/>
        </w:rPr>
        <w:t xml:space="preserve">v Bratislave </w:t>
      </w:r>
      <w:r w:rsidR="005248FA">
        <w:rPr>
          <w:rFonts w:asciiTheme="majorHAnsi" w:hAnsiTheme="majorHAnsi"/>
          <w:lang w:val="sk-SK"/>
        </w:rPr>
        <w:t>zapísaných na LV 2109, okres Dunajská Streda, obec Gabčíkovo, k.</w:t>
      </w:r>
      <w:r w:rsidR="0038239D">
        <w:rPr>
          <w:rFonts w:asciiTheme="majorHAnsi" w:hAnsiTheme="majorHAnsi"/>
          <w:lang w:val="sk-SK"/>
        </w:rPr>
        <w:t xml:space="preserve"> </w:t>
      </w:r>
      <w:r w:rsidR="005248FA">
        <w:rPr>
          <w:rFonts w:asciiTheme="majorHAnsi" w:hAnsiTheme="majorHAnsi"/>
          <w:lang w:val="sk-SK"/>
        </w:rPr>
        <w:t>ú.</w:t>
      </w:r>
      <w:r w:rsidR="00CF1B8F">
        <w:rPr>
          <w:rFonts w:asciiTheme="majorHAnsi" w:hAnsiTheme="majorHAnsi"/>
          <w:lang w:val="sk-SK"/>
        </w:rPr>
        <w:t xml:space="preserve"> </w:t>
      </w:r>
      <w:r w:rsidR="005248FA">
        <w:rPr>
          <w:rFonts w:asciiTheme="majorHAnsi" w:hAnsiTheme="majorHAnsi"/>
          <w:lang w:val="sk-SK"/>
        </w:rPr>
        <w:t xml:space="preserve">Gabčíkovo (ďalej len </w:t>
      </w:r>
      <w:r w:rsidR="00CF1B8F">
        <w:rPr>
          <w:rFonts w:asciiTheme="majorHAnsi" w:hAnsiTheme="majorHAnsi"/>
          <w:lang w:val="sk-SK"/>
        </w:rPr>
        <w:t>,,</w:t>
      </w:r>
      <w:r w:rsidR="005248FA">
        <w:rPr>
          <w:rFonts w:asciiTheme="majorHAnsi" w:hAnsiTheme="majorHAnsi"/>
          <w:lang w:val="sk-SK"/>
        </w:rPr>
        <w:t>zámer predaja nehnuteľností v Gabčíkove“)</w:t>
      </w:r>
      <w:r w:rsidR="004B22A1">
        <w:rPr>
          <w:rFonts w:asciiTheme="majorHAnsi" w:hAnsiTheme="majorHAnsi"/>
          <w:lang w:val="sk-SK"/>
        </w:rPr>
        <w:tab/>
      </w:r>
    </w:p>
    <w:p w:rsidR="004B22A1" w:rsidRDefault="004B22A1" w:rsidP="004B22A1">
      <w:pPr>
        <w:pStyle w:val="Default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5248FA" w:rsidRPr="006F6160" w:rsidRDefault="004B22A1" w:rsidP="006F6160">
      <w:pPr>
        <w:pStyle w:val="Default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</w:t>
      </w:r>
    </w:p>
    <w:p w:rsidR="006F4AFD" w:rsidRPr="00E23544" w:rsidRDefault="005248FA" w:rsidP="005248FA">
      <w:pPr>
        <w:pStyle w:val="Default"/>
        <w:tabs>
          <w:tab w:val="left" w:pos="1985"/>
        </w:tabs>
        <w:ind w:left="1973"/>
        <w:rPr>
          <w:rFonts w:asciiTheme="majorHAnsi" w:hAnsiTheme="majorHAnsi"/>
          <w:lang w:val="sk-SK"/>
        </w:rPr>
        <w:sectPr w:rsidR="006F4AFD" w:rsidRPr="00E2354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a odporúča zámer predaja nehnuteľností v Gabčíkove predložiť na vyjadrenie predchádzajúceho písomného súhlasu </w:t>
      </w:r>
      <w:r w:rsidR="006F6160">
        <w:rPr>
          <w:rFonts w:asciiTheme="majorHAnsi" w:hAnsiTheme="majorHAnsi"/>
          <w:lang w:val="sk-SK"/>
        </w:rPr>
        <w:t xml:space="preserve">Správnej rady </w:t>
      </w:r>
      <w:r>
        <w:rPr>
          <w:rFonts w:asciiTheme="majorHAnsi" w:hAnsiTheme="majorHAnsi"/>
          <w:lang w:val="sk-SK"/>
        </w:rPr>
        <w:t>STU.</w:t>
      </w:r>
    </w:p>
    <w:p w:rsidR="005248FA" w:rsidRDefault="005248FA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sz w:val="22"/>
          <w:szCs w:val="22"/>
          <w:lang w:val="sk-SK"/>
        </w:rPr>
        <w:lastRenderedPageBreak/>
        <w:t>PRVÁ ČASŤ</w:t>
      </w:r>
    </w:p>
    <w:p w:rsidR="00E23544" w:rsidRDefault="004A7D08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sz w:val="22"/>
          <w:szCs w:val="22"/>
          <w:lang w:val="sk-SK"/>
        </w:rPr>
        <w:t xml:space="preserve">Skutkový stav </w:t>
      </w:r>
    </w:p>
    <w:p w:rsidR="00DB6960" w:rsidRPr="00D50949" w:rsidRDefault="00DB6960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</w:p>
    <w:p w:rsidR="00627193" w:rsidRDefault="00627193" w:rsidP="00DB6960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Účelové zariadenie STU v Gabčíkove (ďalej tiež „areál Gabčíkovo“) pozostáva z nehnuteľností uvedených na </w:t>
      </w:r>
      <w:r w:rsidR="007A2655">
        <w:rPr>
          <w:rFonts w:asciiTheme="majorHAnsi" w:hAnsiTheme="majorHAnsi" w:cs="Times New Roman"/>
          <w:sz w:val="22"/>
          <w:szCs w:val="22"/>
          <w:lang w:val="sk-SK"/>
        </w:rPr>
        <w:t xml:space="preserve">priloženom </w:t>
      </w:r>
      <w:r w:rsidRPr="007A265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LV </w:t>
      </w:r>
      <w:r w:rsidR="007A2655" w:rsidRPr="007A2655">
        <w:rPr>
          <w:rFonts w:asciiTheme="majorHAnsi" w:hAnsiTheme="majorHAnsi" w:cs="Times New Roman"/>
          <w:sz w:val="22"/>
          <w:szCs w:val="22"/>
          <w:u w:val="single"/>
          <w:lang w:val="sk-SK"/>
        </w:rPr>
        <w:t>2109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2628F2">
        <w:rPr>
          <w:rFonts w:asciiTheme="majorHAnsi" w:hAnsiTheme="majorHAnsi" w:cs="Times New Roman"/>
          <w:sz w:val="22"/>
          <w:szCs w:val="22"/>
          <w:lang w:val="sk-SK"/>
        </w:rPr>
        <w:t>(okres: Dunajská Streda, obec: Gabčíkovo, k. ú.: Gabčíkovo)</w:t>
      </w:r>
    </w:p>
    <w:p w:rsidR="0041580C" w:rsidRDefault="00DB6960" w:rsidP="00DB6960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Účelové zariadenie </w:t>
      </w:r>
      <w:r w:rsidR="0041580C">
        <w:rPr>
          <w:rFonts w:asciiTheme="majorHAnsi" w:hAnsiTheme="majorHAnsi" w:cs="Times New Roman"/>
          <w:sz w:val="22"/>
          <w:szCs w:val="22"/>
          <w:lang w:val="sk-SK"/>
        </w:rPr>
        <w:t xml:space="preserve">STU v Gabčíkove má k dnešnému dňu </w:t>
      </w:r>
      <w:r w:rsidR="0041580C" w:rsidRPr="0041580C">
        <w:rPr>
          <w:rFonts w:asciiTheme="majorHAnsi" w:hAnsiTheme="majorHAnsi" w:cs="Times New Roman"/>
          <w:sz w:val="22"/>
          <w:szCs w:val="22"/>
          <w:u w:val="single"/>
          <w:lang w:val="sk-SK"/>
        </w:rPr>
        <w:t>43 zamestnancov</w:t>
      </w:r>
      <w:r w:rsidR="0041580C">
        <w:rPr>
          <w:rFonts w:asciiTheme="majorHAnsi" w:hAnsiTheme="majorHAnsi" w:cs="Times New Roman"/>
          <w:sz w:val="22"/>
          <w:szCs w:val="22"/>
          <w:lang w:val="sk-SK"/>
        </w:rPr>
        <w:t xml:space="preserve">. </w:t>
      </w:r>
    </w:p>
    <w:p w:rsidR="00BF3510" w:rsidRDefault="00BF3510" w:rsidP="00DB6960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S cieľom zachovať čo najvyššiu hodnotu areálu Gabčíkovo potrebné je investovať do opravy a rekonštrukcie objektu číslo 5 (najmä oprava strechy, výmena podlahy, maľovanie, výmena vykurovacích telies, výmena nábytku, ktorý bol zakúpený v roku 1977). </w:t>
      </w:r>
    </w:p>
    <w:p w:rsidR="00BF3510" w:rsidRPr="00BF3510" w:rsidRDefault="00BF3510" w:rsidP="0041580C">
      <w:pPr>
        <w:pStyle w:val="Default"/>
        <w:ind w:left="-142" w:firstLine="360"/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  <w:r w:rsidRPr="00BF3510">
        <w:rPr>
          <w:rFonts w:asciiTheme="majorHAnsi" w:hAnsiTheme="majorHAnsi" w:cs="Times New Roman"/>
          <w:sz w:val="22"/>
          <w:szCs w:val="22"/>
          <w:u w:val="single"/>
          <w:lang w:val="sk-SK"/>
        </w:rPr>
        <w:t>Odhadované náklady: 180 tis. €.</w:t>
      </w:r>
    </w:p>
    <w:p w:rsidR="00BF3510" w:rsidRDefault="00BF3510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</w:p>
    <w:p w:rsidR="00BF3510" w:rsidRDefault="00BF3510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</w:p>
    <w:p w:rsidR="004A7D08" w:rsidRDefault="004A7D08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sz w:val="22"/>
          <w:szCs w:val="22"/>
          <w:lang w:val="sk-SK"/>
        </w:rPr>
        <w:t>DRUHÁ ČASŤ</w:t>
      </w:r>
    </w:p>
    <w:p w:rsidR="00E72F51" w:rsidRDefault="004A7D08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sz w:val="22"/>
          <w:szCs w:val="22"/>
          <w:lang w:val="sk-SK"/>
        </w:rPr>
        <w:t>Právny stav</w:t>
      </w:r>
      <w:r w:rsidR="00354880">
        <w:rPr>
          <w:rFonts w:asciiTheme="majorHAnsi" w:hAnsiTheme="majorHAnsi" w:cs="Times New Roman"/>
          <w:b/>
          <w:sz w:val="22"/>
          <w:szCs w:val="22"/>
          <w:lang w:val="sk-SK"/>
        </w:rPr>
        <w:t xml:space="preserve">  </w:t>
      </w:r>
    </w:p>
    <w:p w:rsidR="004A7D08" w:rsidRDefault="00E72F51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  <w:r>
        <w:rPr>
          <w:rFonts w:asciiTheme="majorHAnsi" w:hAnsiTheme="majorHAnsi" w:cs="Times New Roman"/>
          <w:b/>
          <w:sz w:val="22"/>
          <w:szCs w:val="22"/>
          <w:lang w:val="sk-SK"/>
        </w:rPr>
        <w:t>súvisiaci s predajom areálu Gabčíkovo</w:t>
      </w:r>
    </w:p>
    <w:p w:rsidR="004A7D08" w:rsidRPr="00D50949" w:rsidRDefault="004A7D08" w:rsidP="00E23544">
      <w:pPr>
        <w:pStyle w:val="Default"/>
        <w:ind w:left="-142"/>
        <w:jc w:val="both"/>
        <w:rPr>
          <w:rFonts w:asciiTheme="majorHAnsi" w:hAnsiTheme="majorHAnsi" w:cs="Times New Roman"/>
          <w:b/>
          <w:sz w:val="22"/>
          <w:szCs w:val="22"/>
          <w:lang w:val="sk-SK"/>
        </w:rPr>
      </w:pPr>
    </w:p>
    <w:p w:rsidR="00FF2261" w:rsidRPr="00D50949" w:rsidRDefault="00E23544" w:rsidP="002321AF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D50949">
        <w:rPr>
          <w:rFonts w:asciiTheme="majorHAnsi" w:hAnsiTheme="majorHAnsi" w:cs="Times New Roman"/>
          <w:sz w:val="22"/>
          <w:szCs w:val="22"/>
          <w:lang w:val="sk-SK"/>
        </w:rPr>
        <w:t>V rokoch 2012 a 2013 boli opakovane</w:t>
      </w:r>
      <w:r w:rsidR="00FF2261"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vyhlásené 3 obchodné verejné súťaže na časť nehnuteľností v užívaní Účelového zariadenia </w:t>
      </w:r>
      <w:r w:rsidR="00FF2261" w:rsidRPr="00D50949">
        <w:rPr>
          <w:rFonts w:asciiTheme="majorHAnsi" w:hAnsiTheme="majorHAnsi" w:cs="Times New Roman"/>
          <w:sz w:val="22"/>
          <w:szCs w:val="22"/>
          <w:lang w:val="sk-SK"/>
        </w:rPr>
        <w:t>STU v</w:t>
      </w:r>
      <w:r w:rsidR="00E72F51">
        <w:rPr>
          <w:rFonts w:asciiTheme="majorHAnsi" w:hAnsiTheme="majorHAnsi" w:cs="Times New Roman"/>
          <w:sz w:val="22"/>
          <w:szCs w:val="22"/>
          <w:lang w:val="sk-SK"/>
        </w:rPr>
        <w:t> </w:t>
      </w:r>
      <w:r w:rsidR="00FF2261" w:rsidRPr="00D50949">
        <w:rPr>
          <w:rFonts w:asciiTheme="majorHAnsi" w:hAnsiTheme="majorHAnsi" w:cs="Times New Roman"/>
          <w:sz w:val="22"/>
          <w:szCs w:val="22"/>
          <w:lang w:val="sk-SK"/>
        </w:rPr>
        <w:t>Gabčíkove</w:t>
      </w:r>
      <w:r w:rsidR="00E72F51">
        <w:rPr>
          <w:rFonts w:asciiTheme="majorHAnsi" w:hAnsiTheme="majorHAnsi" w:cs="Times New Roman"/>
          <w:sz w:val="22"/>
          <w:szCs w:val="22"/>
          <w:lang w:val="sk-SK"/>
        </w:rPr>
        <w:t xml:space="preserve"> (ÚZ Gabčíkovo). </w:t>
      </w:r>
      <w:r w:rsidR="00FF2261"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O kúpu predmetných nehnuteľností </w:t>
      </w:r>
      <w:r w:rsidR="00FF2261" w:rsidRPr="00D50949">
        <w:rPr>
          <w:rFonts w:asciiTheme="majorHAnsi" w:hAnsiTheme="majorHAnsi" w:cs="Times New Roman"/>
          <w:sz w:val="22"/>
          <w:szCs w:val="22"/>
          <w:u w:val="single"/>
          <w:lang w:val="sk-SK"/>
        </w:rPr>
        <w:t>neprejavil záujem nikto</w:t>
      </w:r>
      <w:r w:rsidR="00FF2261" w:rsidRPr="00D50949">
        <w:rPr>
          <w:rFonts w:asciiTheme="majorHAnsi" w:hAnsiTheme="majorHAnsi" w:cs="Times New Roman"/>
          <w:sz w:val="22"/>
          <w:szCs w:val="22"/>
          <w:lang w:val="sk-SK"/>
        </w:rPr>
        <w:t>.</w:t>
      </w:r>
    </w:p>
    <w:p w:rsidR="004B356C" w:rsidRPr="00D50949" w:rsidRDefault="00FF2261" w:rsidP="002321AF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Na predaj bola určená </w:t>
      </w:r>
      <w:r w:rsidR="00242520" w:rsidRPr="00D50949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len </w:t>
      </w:r>
      <w:r w:rsidRPr="00D50949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tá časť nehnuteľností (pozemkov a stavieb) </w:t>
      </w:r>
      <w:r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vo vlastníctve STU </w:t>
      </w:r>
      <w:r w:rsidR="00AE41BF">
        <w:rPr>
          <w:rFonts w:asciiTheme="majorHAnsi" w:hAnsiTheme="majorHAnsi" w:cs="Times New Roman"/>
          <w:sz w:val="22"/>
          <w:szCs w:val="22"/>
          <w:lang w:val="sk-SK"/>
        </w:rPr>
        <w:t xml:space="preserve">v užívaní ÚZ Gabčíkovo, </w:t>
      </w:r>
      <w:r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ktoré neboli dotknuté právami a povinnosťami STU </w:t>
      </w:r>
      <w:r w:rsidR="00242520"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v rámci nižšie uvedených </w:t>
      </w:r>
      <w:r w:rsidR="004B356C" w:rsidRPr="00D50949">
        <w:rPr>
          <w:rFonts w:asciiTheme="majorHAnsi" w:hAnsiTheme="majorHAnsi" w:cs="Times New Roman"/>
          <w:sz w:val="22"/>
          <w:szCs w:val="22"/>
          <w:lang w:val="sk-SK"/>
        </w:rPr>
        <w:t xml:space="preserve">projektov </w:t>
      </w:r>
      <w:r w:rsidR="00242520" w:rsidRPr="00D50949">
        <w:rPr>
          <w:rFonts w:asciiTheme="majorHAnsi" w:hAnsiTheme="majorHAnsi" w:cs="Times New Roman"/>
          <w:sz w:val="22"/>
          <w:szCs w:val="22"/>
          <w:lang w:val="sk-SK"/>
        </w:rPr>
        <w:t>určených na zlepšenie infraštruktúry ST</w:t>
      </w:r>
      <w:r w:rsidR="004B356C" w:rsidRPr="00D50949">
        <w:rPr>
          <w:rFonts w:asciiTheme="majorHAnsi" w:hAnsiTheme="majorHAnsi" w:cs="Times New Roman"/>
          <w:sz w:val="22"/>
          <w:szCs w:val="22"/>
          <w:lang w:val="sk-SK"/>
        </w:rPr>
        <w:t>U</w:t>
      </w:r>
      <w:r w:rsidR="00454036">
        <w:rPr>
          <w:rFonts w:asciiTheme="majorHAnsi" w:hAnsiTheme="majorHAnsi" w:cs="Times New Roman"/>
          <w:sz w:val="22"/>
          <w:szCs w:val="22"/>
          <w:lang w:val="sk-SK"/>
        </w:rPr>
        <w:t xml:space="preserve"> (</w:t>
      </w:r>
      <w:r w:rsidR="00E72F51">
        <w:rPr>
          <w:rFonts w:asciiTheme="majorHAnsi" w:hAnsiTheme="majorHAnsi" w:cs="Times New Roman"/>
          <w:sz w:val="22"/>
          <w:szCs w:val="22"/>
          <w:lang w:val="sk-SK"/>
        </w:rPr>
        <w:t>viď tretiu časť tohto materiálu)</w:t>
      </w:r>
      <w:r w:rsidR="004B356C" w:rsidRPr="00D50949">
        <w:rPr>
          <w:rFonts w:asciiTheme="majorHAnsi" w:hAnsiTheme="majorHAnsi" w:cs="Times New Roman"/>
          <w:sz w:val="22"/>
          <w:szCs w:val="22"/>
          <w:lang w:val="sk-SK"/>
        </w:rPr>
        <w:t>.</w:t>
      </w:r>
    </w:p>
    <w:p w:rsidR="00D50949" w:rsidRPr="00E72F51" w:rsidRDefault="00D50949" w:rsidP="002321AF">
      <w:pPr>
        <w:pStyle w:val="Odsekzoznamu"/>
        <w:numPr>
          <w:ilvl w:val="0"/>
          <w:numId w:val="2"/>
        </w:numPr>
        <w:spacing w:after="0" w:line="240" w:lineRule="atLeast"/>
        <w:ind w:left="215" w:hanging="357"/>
        <w:jc w:val="both"/>
        <w:rPr>
          <w:rFonts w:asciiTheme="majorHAnsi" w:hAnsiTheme="majorHAnsi"/>
          <w:bCs/>
        </w:rPr>
      </w:pPr>
      <w:r w:rsidRPr="00E72F51">
        <w:rPr>
          <w:rFonts w:asciiTheme="majorHAnsi" w:hAnsiTheme="majorHAnsi"/>
          <w:bCs/>
        </w:rPr>
        <w:t>S účinnosťou od 1. decembra 2014 bol novelizovaný zákon č. 176/2004 Z. z. o nakladaní s majetkom verejnoprávnych inštitúcií (...)</w:t>
      </w:r>
      <w:r w:rsidR="00944FE4" w:rsidRPr="00E72F51">
        <w:rPr>
          <w:rFonts w:asciiTheme="majorHAnsi" w:hAnsiTheme="majorHAnsi"/>
          <w:bCs/>
        </w:rPr>
        <w:t xml:space="preserve"> – ďalej len „zákon“</w:t>
      </w:r>
      <w:r w:rsidR="008E3FB9" w:rsidRPr="00E72F51">
        <w:rPr>
          <w:rFonts w:asciiTheme="majorHAnsi" w:hAnsiTheme="majorHAnsi"/>
          <w:bCs/>
        </w:rPr>
        <w:t xml:space="preserve">, ktorým sa  </w:t>
      </w:r>
      <w:r w:rsidR="008E3FB9" w:rsidRPr="00E72F51">
        <w:rPr>
          <w:rFonts w:asciiTheme="majorHAnsi" w:hAnsiTheme="majorHAnsi"/>
          <w:bCs/>
          <w:u w:val="single"/>
        </w:rPr>
        <w:t>pozitívnym spôsobom upravili podmienky predaja nehnuteľného majetku</w:t>
      </w:r>
      <w:r w:rsidR="008E3FB9" w:rsidRPr="00E72F51">
        <w:rPr>
          <w:rFonts w:asciiTheme="majorHAnsi" w:hAnsiTheme="majorHAnsi"/>
          <w:bCs/>
        </w:rPr>
        <w:t xml:space="preserve">  verejnoprávnych inštitúcií (</w:t>
      </w:r>
      <w:r w:rsidR="00454036" w:rsidRPr="00E72F51">
        <w:rPr>
          <w:rFonts w:asciiTheme="majorHAnsi" w:hAnsiTheme="majorHAnsi"/>
          <w:bCs/>
        </w:rPr>
        <w:t xml:space="preserve">napr. </w:t>
      </w:r>
      <w:r w:rsidR="008E3FB9" w:rsidRPr="00E72F51">
        <w:rPr>
          <w:rFonts w:asciiTheme="majorHAnsi" w:hAnsiTheme="majorHAnsi"/>
          <w:bCs/>
        </w:rPr>
        <w:t xml:space="preserve">ak sa predáva stavba aj s pozemkom je možné tieto nehnuteľnosti v opakovaných obchodných verejných súťažiach predať za primeranú cenu pozemku zníženú o 50 %). </w:t>
      </w:r>
    </w:p>
    <w:p w:rsidR="00454036" w:rsidRDefault="00D437F0" w:rsidP="002321AF">
      <w:pPr>
        <w:pStyle w:val="Odsekzoznamu"/>
        <w:numPr>
          <w:ilvl w:val="0"/>
          <w:numId w:val="2"/>
        </w:numPr>
        <w:spacing w:after="0" w:line="240" w:lineRule="atLeast"/>
        <w:ind w:left="215" w:hanging="3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Je možné predpokladať, že b</w:t>
      </w:r>
      <w:r w:rsidR="008E3FB9">
        <w:rPr>
          <w:rFonts w:asciiTheme="majorHAnsi" w:hAnsiTheme="majorHAnsi"/>
          <w:bCs/>
        </w:rPr>
        <w:t xml:space="preserve">ezúspešnosť predaja </w:t>
      </w:r>
      <w:r w:rsidR="00E72F51">
        <w:rPr>
          <w:rFonts w:asciiTheme="majorHAnsi" w:hAnsiTheme="majorHAnsi"/>
          <w:bCs/>
        </w:rPr>
        <w:t xml:space="preserve">časti ÚZ Gabčíkovo </w:t>
      </w:r>
      <w:r w:rsidR="008E3FB9">
        <w:rPr>
          <w:rFonts w:asciiTheme="majorHAnsi" w:hAnsiTheme="majorHAnsi"/>
          <w:bCs/>
        </w:rPr>
        <w:t xml:space="preserve">bola daná pre trh </w:t>
      </w:r>
      <w:r w:rsidR="00D50949">
        <w:rPr>
          <w:rFonts w:asciiTheme="majorHAnsi" w:hAnsiTheme="majorHAnsi"/>
          <w:bCs/>
        </w:rPr>
        <w:t>neprijateľn</w:t>
      </w:r>
      <w:r w:rsidR="008E3FB9">
        <w:rPr>
          <w:rFonts w:asciiTheme="majorHAnsi" w:hAnsiTheme="majorHAnsi"/>
          <w:bCs/>
        </w:rPr>
        <w:t>ou</w:t>
      </w:r>
      <w:r w:rsidR="00454036">
        <w:rPr>
          <w:rFonts w:asciiTheme="majorHAnsi" w:hAnsiTheme="majorHAnsi"/>
          <w:bCs/>
        </w:rPr>
        <w:t>, vysokou</w:t>
      </w:r>
      <w:r w:rsidR="008E3FB9">
        <w:rPr>
          <w:rFonts w:asciiTheme="majorHAnsi" w:hAnsiTheme="majorHAnsi"/>
          <w:bCs/>
        </w:rPr>
        <w:t xml:space="preserve"> cenou ponúkaných nehnuteľností</w:t>
      </w:r>
      <w:r>
        <w:rPr>
          <w:rFonts w:asciiTheme="majorHAnsi" w:hAnsiTheme="majorHAnsi"/>
          <w:bCs/>
        </w:rPr>
        <w:t xml:space="preserve"> a tiež </w:t>
      </w:r>
      <w:r w:rsidR="00454036">
        <w:rPr>
          <w:rFonts w:asciiTheme="majorHAnsi" w:hAnsiTheme="majorHAnsi"/>
          <w:bCs/>
        </w:rPr>
        <w:t xml:space="preserve">aj z dôvodu </w:t>
      </w:r>
      <w:r w:rsidR="00D50949">
        <w:rPr>
          <w:rFonts w:asciiTheme="majorHAnsi" w:hAnsiTheme="majorHAnsi"/>
          <w:bCs/>
        </w:rPr>
        <w:t>rozdelenia uceleného areálu ÚZ Gabčíkovo na dve samostatné časti</w:t>
      </w:r>
      <w:r w:rsidR="00454036">
        <w:rPr>
          <w:rFonts w:asciiTheme="majorHAnsi" w:hAnsiTheme="majorHAnsi"/>
          <w:bCs/>
        </w:rPr>
        <w:t xml:space="preserve">, čo môže negatívne zasahovať do budúcich podnikateľských aktivít </w:t>
      </w:r>
      <w:r>
        <w:rPr>
          <w:rFonts w:asciiTheme="majorHAnsi" w:hAnsiTheme="majorHAnsi"/>
          <w:bCs/>
        </w:rPr>
        <w:t>kupujúceho</w:t>
      </w:r>
      <w:r w:rsidR="00454036">
        <w:rPr>
          <w:rFonts w:asciiTheme="majorHAnsi" w:hAnsiTheme="majorHAnsi"/>
          <w:bCs/>
        </w:rPr>
        <w:t>.</w:t>
      </w:r>
    </w:p>
    <w:p w:rsidR="004A7D08" w:rsidRPr="004E261A" w:rsidRDefault="004A7D08" w:rsidP="00354880">
      <w:pPr>
        <w:spacing w:line="240" w:lineRule="atLeast"/>
        <w:jc w:val="both"/>
        <w:rPr>
          <w:rFonts w:asciiTheme="majorHAnsi" w:hAnsiTheme="majorHAnsi"/>
          <w:b/>
          <w:bCs/>
          <w:lang w:val="sk-SK"/>
        </w:rPr>
      </w:pPr>
    </w:p>
    <w:p w:rsidR="00454036" w:rsidRDefault="004A7D08" w:rsidP="00E72F51">
      <w:pPr>
        <w:pStyle w:val="Odsekzoznamu"/>
        <w:spacing w:after="0" w:line="240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TRETIA </w:t>
      </w:r>
      <w:r w:rsidR="00454036">
        <w:rPr>
          <w:rFonts w:asciiTheme="majorHAnsi" w:hAnsiTheme="majorHAnsi"/>
          <w:b/>
          <w:bCs/>
        </w:rPr>
        <w:t>ČASŤ</w:t>
      </w:r>
    </w:p>
    <w:p w:rsidR="004A7D08" w:rsidRDefault="004A7D08" w:rsidP="00E72F51">
      <w:pPr>
        <w:pStyle w:val="Odsekzoznamu"/>
        <w:spacing w:after="0" w:line="240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Projekty zo ŠF v areáli ÚZ Gabčíkovo</w:t>
      </w:r>
    </w:p>
    <w:p w:rsidR="00E72F51" w:rsidRDefault="00E72F51" w:rsidP="00E72F51">
      <w:pPr>
        <w:pStyle w:val="Odsekzoznamu"/>
        <w:spacing w:after="0" w:line="240" w:lineRule="atLeast"/>
        <w:ind w:left="0"/>
        <w:jc w:val="both"/>
        <w:rPr>
          <w:rFonts w:asciiTheme="majorHAnsi" w:hAnsiTheme="majorHAnsi"/>
          <w:b/>
          <w:bCs/>
        </w:rPr>
      </w:pPr>
    </w:p>
    <w:p w:rsidR="00354880" w:rsidRDefault="00E72F51" w:rsidP="002321AF">
      <w:pPr>
        <w:pStyle w:val="Odsekzoznamu"/>
        <w:numPr>
          <w:ilvl w:val="0"/>
          <w:numId w:val="9"/>
        </w:numPr>
        <w:spacing w:line="240" w:lineRule="atLeast"/>
        <w:ind w:left="284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Ide o </w:t>
      </w:r>
      <w:r w:rsidRPr="00E72F51">
        <w:rPr>
          <w:rFonts w:asciiTheme="majorHAnsi" w:hAnsiTheme="majorHAnsi" w:cs="Times New Roman"/>
          <w:u w:val="single"/>
        </w:rPr>
        <w:t>d</w:t>
      </w:r>
      <w:r w:rsidR="00354880" w:rsidRPr="00E72F51">
        <w:rPr>
          <w:rFonts w:asciiTheme="majorHAnsi" w:hAnsiTheme="majorHAnsi" w:cs="Times New Roman"/>
          <w:u w:val="single"/>
        </w:rPr>
        <w:t>va infraštruktúrne projekty</w:t>
      </w:r>
      <w:r w:rsidR="00354880" w:rsidRPr="00E72F51">
        <w:rPr>
          <w:rFonts w:asciiTheme="majorHAnsi" w:hAnsiTheme="majorHAnsi" w:cs="Times New Roman"/>
        </w:rPr>
        <w:t xml:space="preserve"> zamerané na stavebné práce a nákup informačných a komunikačných technológií pracovísk STU</w:t>
      </w:r>
      <w:r>
        <w:rPr>
          <w:rFonts w:asciiTheme="majorHAnsi" w:hAnsiTheme="majorHAnsi" w:cs="Times New Roman"/>
        </w:rPr>
        <w:t xml:space="preserve"> mimo územia Bratislavy, ktoré boli </w:t>
      </w:r>
      <w:r w:rsidR="00354880" w:rsidRPr="00E72F51">
        <w:rPr>
          <w:rFonts w:asciiTheme="majorHAnsi" w:hAnsiTheme="majorHAnsi" w:cs="Times New Roman"/>
        </w:rPr>
        <w:t xml:space="preserve"> financované cez štrukturálne fondy</w:t>
      </w:r>
      <w:r>
        <w:rPr>
          <w:rFonts w:asciiTheme="majorHAnsi" w:hAnsiTheme="majorHAnsi" w:cs="Times New Roman"/>
        </w:rPr>
        <w:t xml:space="preserve"> a </w:t>
      </w:r>
      <w:r w:rsidR="00354880" w:rsidRPr="00E72F51">
        <w:rPr>
          <w:rFonts w:asciiTheme="majorHAnsi" w:hAnsiTheme="majorHAnsi" w:cs="Times New Roman"/>
        </w:rPr>
        <w:t>boli administrované z </w:t>
      </w:r>
      <w:r w:rsidRPr="00E72F51">
        <w:rPr>
          <w:rFonts w:asciiTheme="majorHAnsi" w:hAnsiTheme="majorHAnsi" w:cs="Times New Roman"/>
        </w:rPr>
        <w:t>R</w:t>
      </w:r>
      <w:r w:rsidR="00354880" w:rsidRPr="00E72F51">
        <w:rPr>
          <w:rFonts w:asciiTheme="majorHAnsi" w:hAnsiTheme="majorHAnsi" w:cs="Times New Roman"/>
        </w:rPr>
        <w:t>ektorátu STU.</w:t>
      </w:r>
    </w:p>
    <w:p w:rsidR="0073606B" w:rsidRPr="00E72F51" w:rsidRDefault="0073606B" w:rsidP="0073606B">
      <w:pPr>
        <w:pStyle w:val="Odsekzoznamu"/>
        <w:spacing w:line="240" w:lineRule="atLeast"/>
        <w:ind w:left="284"/>
        <w:jc w:val="both"/>
        <w:rPr>
          <w:rFonts w:asciiTheme="majorHAnsi" w:hAnsiTheme="majorHAnsi" w:cs="Times New Roman"/>
        </w:rPr>
      </w:pPr>
    </w:p>
    <w:p w:rsidR="00354880" w:rsidRPr="00E72F51" w:rsidRDefault="00354880" w:rsidP="002321AF">
      <w:pPr>
        <w:pStyle w:val="Odsekzoznamu"/>
        <w:numPr>
          <w:ilvl w:val="0"/>
          <w:numId w:val="7"/>
        </w:numPr>
        <w:spacing w:after="0" w:line="240" w:lineRule="atLeast"/>
        <w:ind w:left="567" w:hanging="283"/>
        <w:jc w:val="both"/>
        <w:rPr>
          <w:rFonts w:asciiTheme="majorHAnsi" w:hAnsiTheme="majorHAnsi" w:cs="Times New Roman"/>
          <w:b/>
        </w:rPr>
      </w:pPr>
      <w:r w:rsidRPr="00E72F51">
        <w:rPr>
          <w:rFonts w:asciiTheme="majorHAnsi" w:hAnsiTheme="majorHAnsi" w:cs="Times New Roman"/>
          <w:b/>
        </w:rPr>
        <w:t>Projekt – doba realizácie – celkový rozpočet</w:t>
      </w:r>
    </w:p>
    <w:p w:rsidR="007E49E3" w:rsidRDefault="00354880" w:rsidP="0073606B">
      <w:pPr>
        <w:spacing w:line="240" w:lineRule="atLeast"/>
        <w:ind w:left="567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Prvý projekt (akronym </w:t>
      </w:r>
      <w:proofErr w:type="spellStart"/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>Infra</w:t>
      </w:r>
      <w:proofErr w:type="spellEnd"/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I)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s názvom „Zlepšenie a modernizácia vzdelávacej technickej a informačno-komunikačnej infraštruktúry pracovísk STU“ s kódom ITMS 26250120019, s číslom zmluvy 019/2009/5.1/OPVaV zo dňa 15.6.20109, bol realizovaný/implementovaný v období 7/2009 – 9/2011. Celková výška nenávratného finančného príspevku (NFP) bola 4 527 474,90 € (vrátane 5 % spoluúčasti STU). Finančne bol projekt </w:t>
      </w:r>
      <w:proofErr w:type="spellStart"/>
      <w:r w:rsidRPr="00E72F51">
        <w:rPr>
          <w:rFonts w:asciiTheme="majorHAnsi" w:hAnsiTheme="majorHAnsi" w:cs="Times New Roman"/>
          <w:sz w:val="22"/>
          <w:szCs w:val="22"/>
          <w:lang w:val="sk-SK"/>
        </w:rPr>
        <w:t>vysporiadaný</w:t>
      </w:r>
      <w:proofErr w:type="spellEnd"/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12/2012 – odvtedy sa počíta 5-ročné následné monitorovacie obdobie. </w:t>
      </w:r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>Dňa 30. novembra 2017 bude toto obdobie ukončené.</w:t>
      </w:r>
    </w:p>
    <w:p w:rsidR="00354880" w:rsidRDefault="00354880" w:rsidP="007E49E3">
      <w:pPr>
        <w:spacing w:line="240" w:lineRule="atLeast"/>
        <w:ind w:left="567"/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lastRenderedPageBreak/>
        <w:t xml:space="preserve">Druhý projekt (akronym </w:t>
      </w:r>
      <w:proofErr w:type="spellStart"/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>Infra</w:t>
      </w:r>
      <w:proofErr w:type="spellEnd"/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II)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s názvom „II. etapa komplexnej modernizácie vzdelávacej hmotnej a informačno-komunikačnej infraštruktúry pracovísk STU“ s kódom ITMS 26250120045, s číslom zmluvy 045/2010/5.1/OPVaV zo dňa 31.5.2010, bol realizovaný/implementovaný v období  6/2010 – 11/2013. Celková výška NFP bola 5 716 933,65 € (vrátane 5 % spoluúčasti STU). Finančne bol projekt </w:t>
      </w:r>
      <w:proofErr w:type="spellStart"/>
      <w:r w:rsidRPr="00E72F51">
        <w:rPr>
          <w:rFonts w:asciiTheme="majorHAnsi" w:hAnsiTheme="majorHAnsi" w:cs="Times New Roman"/>
          <w:sz w:val="22"/>
          <w:szCs w:val="22"/>
          <w:lang w:val="sk-SK"/>
        </w:rPr>
        <w:t>vysporiadaný</w:t>
      </w:r>
      <w:proofErr w:type="spellEnd"/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10/2015. </w:t>
      </w:r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Dňa 31. </w:t>
      </w:r>
      <w:r w:rsidRPr="009667A6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septembra </w:t>
      </w:r>
      <w:r w:rsidR="00EE4974" w:rsidRPr="009667A6">
        <w:rPr>
          <w:rFonts w:asciiTheme="majorHAnsi" w:hAnsiTheme="majorHAnsi" w:cs="Times New Roman"/>
          <w:sz w:val="22"/>
          <w:szCs w:val="22"/>
          <w:u w:val="single"/>
          <w:lang w:val="sk-SK"/>
        </w:rPr>
        <w:t>2020</w:t>
      </w:r>
      <w:r w:rsid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</w:t>
      </w:r>
      <w:r w:rsidRPr="007E49E3">
        <w:rPr>
          <w:rFonts w:asciiTheme="majorHAnsi" w:hAnsiTheme="majorHAnsi" w:cs="Times New Roman"/>
          <w:sz w:val="22"/>
          <w:szCs w:val="22"/>
          <w:u w:val="single"/>
          <w:lang w:val="sk-SK"/>
        </w:rPr>
        <w:t>bude ukončené 5-ročné následné monitorovacie obdobie.</w:t>
      </w:r>
    </w:p>
    <w:p w:rsidR="0073606B" w:rsidRDefault="0073606B" w:rsidP="007E49E3">
      <w:pPr>
        <w:spacing w:line="240" w:lineRule="atLeast"/>
        <w:ind w:left="567"/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</w:p>
    <w:p w:rsidR="0073606B" w:rsidRPr="007E49E3" w:rsidRDefault="0073606B" w:rsidP="007E49E3">
      <w:pPr>
        <w:spacing w:line="240" w:lineRule="atLeast"/>
        <w:ind w:left="567"/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</w:p>
    <w:p w:rsidR="00354880" w:rsidRPr="00E72F51" w:rsidRDefault="00E72F51" w:rsidP="00EE4974">
      <w:pPr>
        <w:pStyle w:val="Odsekzoznamu"/>
        <w:spacing w:after="0" w:line="240" w:lineRule="atLeast"/>
        <w:ind w:left="567" w:hanging="283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b) </w:t>
      </w:r>
      <w:r w:rsidR="00354880" w:rsidRPr="00E72F51">
        <w:rPr>
          <w:rFonts w:asciiTheme="majorHAnsi" w:hAnsiTheme="majorHAnsi" w:cs="Times New Roman"/>
          <w:b/>
        </w:rPr>
        <w:t>Miesta realizácie</w:t>
      </w:r>
    </w:p>
    <w:p w:rsidR="00354880" w:rsidRPr="00E72F51" w:rsidRDefault="00354880" w:rsidP="00EE4974">
      <w:pPr>
        <w:spacing w:line="240" w:lineRule="atLeast"/>
        <w:ind w:left="851" w:hanging="284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>Prvý projekt (</w:t>
      </w:r>
      <w:proofErr w:type="spellStart"/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>Infra</w:t>
      </w:r>
      <w:proofErr w:type="spellEnd"/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I)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má nasledovné miesta realizácie: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Paulínska 16, 917 24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Botanická 49, 917 08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Jána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25, 917 24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Jána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23, 917 24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Jána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21, 917 24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Rázusova 2, 917 01  Trnava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Gabčíkovo 3, 930 05  Gabčíkovo</w:t>
      </w:r>
    </w:p>
    <w:p w:rsidR="00354880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Radničné námestie 2, 969 24 Banská Štiavnica</w:t>
      </w:r>
    </w:p>
    <w:p w:rsidR="00EE4974" w:rsidRPr="00EE4974" w:rsidRDefault="00354880" w:rsidP="002321AF">
      <w:pPr>
        <w:pStyle w:val="Odsekzoznamu"/>
        <w:numPr>
          <w:ilvl w:val="0"/>
          <w:numId w:val="10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Radničné námestie 3, 969 24 Banská Štiavnica</w:t>
      </w:r>
    </w:p>
    <w:p w:rsidR="00EE4974" w:rsidRDefault="00EE4974" w:rsidP="009667A6">
      <w:pPr>
        <w:pStyle w:val="Odsekzoznamu"/>
        <w:spacing w:line="240" w:lineRule="atLeast"/>
        <w:ind w:left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Poznámka:</w:t>
      </w:r>
    </w:p>
    <w:p w:rsidR="00354880" w:rsidRPr="00EE4974" w:rsidRDefault="00354880" w:rsidP="009667A6">
      <w:pPr>
        <w:pStyle w:val="Odsekzoznamu"/>
        <w:spacing w:after="0" w:line="240" w:lineRule="atLeast"/>
        <w:ind w:left="567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V súčasnosti je podaná Žiadosť o zmenu zmluvy </w:t>
      </w:r>
      <w:r w:rsidR="009667A6">
        <w:rPr>
          <w:rFonts w:asciiTheme="majorHAnsi" w:hAnsiTheme="majorHAnsi" w:cs="Times New Roman"/>
        </w:rPr>
        <w:t xml:space="preserve">na zjednotenie miest realizácie </w:t>
      </w:r>
      <w:r w:rsidRPr="00EE4974">
        <w:rPr>
          <w:rFonts w:asciiTheme="majorHAnsi" w:hAnsiTheme="majorHAnsi" w:cs="Times New Roman"/>
        </w:rPr>
        <w:t>v Trnave (zrušenie miest Paulínka 16 a Rázusova 2).</w:t>
      </w:r>
    </w:p>
    <w:p w:rsidR="009667A6" w:rsidRDefault="009667A6" w:rsidP="0073606B">
      <w:pPr>
        <w:spacing w:line="240" w:lineRule="atLeast"/>
        <w:ind w:firstLine="567"/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</w:p>
    <w:p w:rsidR="00354880" w:rsidRPr="00E72F51" w:rsidRDefault="00354880" w:rsidP="0073606B">
      <w:pPr>
        <w:spacing w:line="240" w:lineRule="atLeast"/>
        <w:ind w:firstLine="567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>Druhý projekt (</w:t>
      </w:r>
      <w:proofErr w:type="spellStart"/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>Infra</w:t>
      </w:r>
      <w:proofErr w:type="spellEnd"/>
      <w:r w:rsidRPr="00EE4974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II)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má </w:t>
      </w:r>
      <w:r w:rsidR="006D6A05">
        <w:rPr>
          <w:rFonts w:asciiTheme="majorHAnsi" w:hAnsiTheme="majorHAnsi" w:cs="Times New Roman"/>
          <w:sz w:val="22"/>
          <w:szCs w:val="22"/>
          <w:lang w:val="sk-SK"/>
        </w:rPr>
        <w:t xml:space="preserve">nasledovné 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>miesta realizácie: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Radničné námestie 2, 961 01  Banská Štiavnica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Radničné námestie 3, 961 01  Banská Štiavnica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J.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21, 917 01  Trnava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J.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23, 917 01  Trnava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 xml:space="preserve">J. </w:t>
      </w:r>
      <w:proofErr w:type="spellStart"/>
      <w:r w:rsidRPr="00EE4974">
        <w:rPr>
          <w:rFonts w:asciiTheme="majorHAnsi" w:hAnsiTheme="majorHAnsi" w:cs="Times New Roman"/>
        </w:rPr>
        <w:t>Bottu</w:t>
      </w:r>
      <w:proofErr w:type="spellEnd"/>
      <w:r w:rsidRPr="00EE4974">
        <w:rPr>
          <w:rFonts w:asciiTheme="majorHAnsi" w:hAnsiTheme="majorHAnsi" w:cs="Times New Roman"/>
        </w:rPr>
        <w:t xml:space="preserve"> 25, 917 01  Trnava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Paulínska 16, 917 01  Trnava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Dunajská 1346/79, 930 05  Gabčíkovo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Vyhne 56, 966 02 Vyhne</w:t>
      </w:r>
    </w:p>
    <w:p w:rsidR="00354880" w:rsidRPr="00EE4974" w:rsidRDefault="00354880" w:rsidP="002321AF">
      <w:pPr>
        <w:pStyle w:val="Odsekzoznamu"/>
        <w:numPr>
          <w:ilvl w:val="0"/>
          <w:numId w:val="11"/>
        </w:numPr>
        <w:spacing w:after="0" w:line="240" w:lineRule="atLeast"/>
        <w:ind w:left="851" w:hanging="284"/>
        <w:jc w:val="both"/>
        <w:rPr>
          <w:rFonts w:asciiTheme="majorHAnsi" w:hAnsiTheme="majorHAnsi" w:cs="Times New Roman"/>
        </w:rPr>
      </w:pPr>
      <w:r w:rsidRPr="00EE4974">
        <w:rPr>
          <w:rFonts w:asciiTheme="majorHAnsi" w:hAnsiTheme="majorHAnsi" w:cs="Times New Roman"/>
        </w:rPr>
        <w:t>Kočovce 1, 916 31 Kočovce</w:t>
      </w:r>
    </w:p>
    <w:p w:rsidR="0073606B" w:rsidRDefault="00354880" w:rsidP="0073606B">
      <w:pPr>
        <w:spacing w:line="240" w:lineRule="atLeast"/>
        <w:ind w:left="567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Na obidvoch projektoch bola predložená informácia na Výskumnú agentúru o zmene sídla dekanátu </w:t>
      </w:r>
      <w:proofErr w:type="spellStart"/>
      <w:r w:rsidRPr="00E72F51">
        <w:rPr>
          <w:rFonts w:asciiTheme="majorHAnsi" w:hAnsiTheme="majorHAnsi" w:cs="Times New Roman"/>
          <w:sz w:val="22"/>
          <w:szCs w:val="22"/>
          <w:lang w:val="sk-SK"/>
        </w:rPr>
        <w:t>MtF</w:t>
      </w:r>
      <w:proofErr w:type="spellEnd"/>
      <w:r w:rsidRPr="00E72F51">
        <w:rPr>
          <w:rFonts w:asciiTheme="majorHAnsi" w:hAnsiTheme="majorHAnsi" w:cs="Times New Roman"/>
          <w:sz w:val="22"/>
          <w:szCs w:val="22"/>
          <w:lang w:val="sk-SK"/>
        </w:rPr>
        <w:t>. Zmena bola akceptovaná zo strany Výskumnej agentúry.</w:t>
      </w:r>
    </w:p>
    <w:p w:rsidR="0073606B" w:rsidRPr="0073606B" w:rsidRDefault="0073606B" w:rsidP="0073606B">
      <w:pPr>
        <w:spacing w:line="240" w:lineRule="atLeast"/>
        <w:ind w:left="567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54880" w:rsidRPr="00E72F51" w:rsidRDefault="00E72F51" w:rsidP="0073606B">
      <w:pPr>
        <w:pStyle w:val="Odsekzoznamu"/>
        <w:spacing w:after="0" w:line="240" w:lineRule="atLeast"/>
        <w:ind w:left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c) </w:t>
      </w:r>
      <w:r w:rsidR="0073606B">
        <w:rPr>
          <w:rFonts w:asciiTheme="majorHAnsi" w:hAnsiTheme="majorHAnsi" w:cs="Times New Roman"/>
          <w:b/>
        </w:rPr>
        <w:t xml:space="preserve"> </w:t>
      </w:r>
      <w:r w:rsidR="00354880" w:rsidRPr="00E72F51">
        <w:rPr>
          <w:rFonts w:asciiTheme="majorHAnsi" w:hAnsiTheme="majorHAnsi" w:cs="Times New Roman"/>
          <w:b/>
        </w:rPr>
        <w:t>Čerpanie projektov</w:t>
      </w:r>
    </w:p>
    <w:p w:rsidR="00354880" w:rsidRDefault="00354880" w:rsidP="0073606B">
      <w:pPr>
        <w:tabs>
          <w:tab w:val="left" w:pos="2790"/>
        </w:tabs>
        <w:spacing w:line="240" w:lineRule="atLeast"/>
        <w:ind w:firstLine="567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Čerpanie fin. prostriedkov </w:t>
      </w:r>
      <w:r w:rsidRPr="0073606B">
        <w:rPr>
          <w:rFonts w:asciiTheme="majorHAnsi" w:hAnsiTheme="majorHAnsi" w:cs="Times New Roman"/>
          <w:sz w:val="22"/>
          <w:szCs w:val="22"/>
          <w:u w:val="single"/>
          <w:lang w:val="sk-SK"/>
        </w:rPr>
        <w:t>na prvom projekte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(</w:t>
      </w:r>
      <w:proofErr w:type="spellStart"/>
      <w:r w:rsidRPr="00E72F51">
        <w:rPr>
          <w:rFonts w:asciiTheme="majorHAnsi" w:hAnsiTheme="majorHAnsi" w:cs="Times New Roman"/>
          <w:sz w:val="22"/>
          <w:szCs w:val="22"/>
          <w:lang w:val="sk-SK"/>
        </w:rPr>
        <w:t>Infra</w:t>
      </w:r>
      <w:proofErr w:type="spellEnd"/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I: ITMS 26250120019):</w:t>
      </w:r>
    </w:p>
    <w:p w:rsidR="0073606B" w:rsidRPr="00E72F51" w:rsidRDefault="0073606B" w:rsidP="00E72F51">
      <w:pPr>
        <w:tabs>
          <w:tab w:val="left" w:pos="2790"/>
        </w:tabs>
        <w:spacing w:line="240" w:lineRule="atLeast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54880" w:rsidRPr="00E72F51" w:rsidRDefault="00354880" w:rsidP="00E72F51">
      <w:pPr>
        <w:tabs>
          <w:tab w:val="left" w:pos="2790"/>
        </w:tabs>
        <w:spacing w:line="240" w:lineRule="atLeast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/>
          <w:noProof/>
          <w:sz w:val="22"/>
          <w:szCs w:val="22"/>
          <w:lang w:val="sk-SK" w:eastAsia="sk-SK"/>
        </w:rPr>
        <w:drawing>
          <wp:inline distT="0" distB="0" distL="0" distR="0" wp14:anchorId="027B07A3" wp14:editId="44E0B714">
            <wp:extent cx="5760720" cy="118102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80" w:rsidRPr="00E72F51" w:rsidRDefault="00354880" w:rsidP="00E72F51">
      <w:pPr>
        <w:tabs>
          <w:tab w:val="left" w:pos="2790"/>
        </w:tabs>
        <w:spacing w:line="240" w:lineRule="atLeast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54880" w:rsidRPr="00E72F51" w:rsidRDefault="00354880" w:rsidP="0073606B">
      <w:pPr>
        <w:tabs>
          <w:tab w:val="left" w:pos="2790"/>
        </w:tabs>
        <w:spacing w:line="240" w:lineRule="atLeast"/>
        <w:ind w:left="567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 w:cs="Times New Roman"/>
          <w:sz w:val="22"/>
          <w:szCs w:val="22"/>
          <w:lang w:val="sk-SK"/>
        </w:rPr>
        <w:lastRenderedPageBreak/>
        <w:t>Celkový objem čerpaných finančných prostriedkov v prvom projekte sa delí na </w:t>
      </w:r>
      <w:r w:rsidRPr="00E72F51">
        <w:rPr>
          <w:rFonts w:asciiTheme="majorHAnsi" w:hAnsiTheme="majorHAnsi" w:cs="Times New Roman"/>
          <w:sz w:val="22"/>
          <w:szCs w:val="22"/>
          <w:u w:val="single"/>
          <w:lang w:val="sk-SK"/>
        </w:rPr>
        <w:t>stavebné práce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- rekonštrukcie (aktivita 1, presnejšie 1.1, 1.2 a 1.3) a </w:t>
      </w:r>
      <w:r w:rsidRPr="00E72F51">
        <w:rPr>
          <w:rFonts w:asciiTheme="majorHAnsi" w:hAnsiTheme="majorHAnsi" w:cs="Times New Roman"/>
          <w:sz w:val="22"/>
          <w:szCs w:val="22"/>
          <w:u w:val="single"/>
          <w:lang w:val="sk-SK"/>
        </w:rPr>
        <w:t>nákup IKT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(aktivita 2, presnejšie 2.1, 2.2 a 2,3). Z názvu aktivít sú zrejmé miesta realizácie.</w:t>
      </w:r>
    </w:p>
    <w:p w:rsidR="00354880" w:rsidRPr="00E72F51" w:rsidRDefault="00354880" w:rsidP="002321AF">
      <w:pPr>
        <w:pStyle w:val="Odsekzoznamu"/>
        <w:numPr>
          <w:ilvl w:val="0"/>
          <w:numId w:val="12"/>
        </w:numPr>
        <w:tabs>
          <w:tab w:val="left" w:pos="2790"/>
        </w:tabs>
        <w:spacing w:after="0" w:line="240" w:lineRule="atLeast"/>
        <w:ind w:left="993" w:hanging="426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  <w:u w:val="single"/>
        </w:rPr>
        <w:t>Stavebné práce</w:t>
      </w:r>
      <w:r w:rsidRPr="00E72F51">
        <w:rPr>
          <w:rFonts w:asciiTheme="majorHAnsi" w:hAnsiTheme="majorHAnsi" w:cs="Times New Roman"/>
        </w:rPr>
        <w:t xml:space="preserve"> v Gabčíkove boli realizované ako  zmluva o dielo:</w:t>
      </w:r>
    </w:p>
    <w:p w:rsidR="00354880" w:rsidRPr="00E72F51" w:rsidRDefault="00354880" w:rsidP="0073606B">
      <w:pPr>
        <w:pStyle w:val="Odsekzoznamu"/>
        <w:tabs>
          <w:tab w:val="left" w:pos="2790"/>
          <w:tab w:val="right" w:pos="9072"/>
        </w:tabs>
        <w:spacing w:after="0" w:line="240" w:lineRule="atLeast"/>
        <w:ind w:left="993"/>
        <w:jc w:val="both"/>
        <w:rPr>
          <w:rFonts w:asciiTheme="majorHAnsi" w:hAnsiTheme="majorHAnsi" w:cs="Times New Roman"/>
        </w:rPr>
      </w:pPr>
      <w:proofErr w:type="spellStart"/>
      <w:r w:rsidRPr="00E72F51">
        <w:rPr>
          <w:rFonts w:asciiTheme="majorHAnsi" w:hAnsiTheme="majorHAnsi" w:cs="Times New Roman"/>
        </w:rPr>
        <w:t>ZoD</w:t>
      </w:r>
      <w:proofErr w:type="spellEnd"/>
      <w:r w:rsidRPr="00E72F51">
        <w:rPr>
          <w:rFonts w:asciiTheme="majorHAnsi" w:hAnsiTheme="majorHAnsi" w:cs="Times New Roman"/>
        </w:rPr>
        <w:t xml:space="preserve"> č. 60/26250120019/2010 (TITAN AT, s.r.o.) </w:t>
      </w:r>
      <w:r w:rsidR="0073606B">
        <w:rPr>
          <w:rFonts w:asciiTheme="majorHAnsi" w:hAnsiTheme="majorHAnsi" w:cs="Times New Roman"/>
        </w:rPr>
        <w:t xml:space="preserve">                                     </w:t>
      </w:r>
      <w:r w:rsidRPr="00E72F51">
        <w:rPr>
          <w:rFonts w:asciiTheme="majorHAnsi" w:hAnsiTheme="majorHAnsi" w:cs="Times New Roman"/>
          <w:b/>
        </w:rPr>
        <w:t>372 309,28 €</w:t>
      </w:r>
    </w:p>
    <w:p w:rsidR="00354880" w:rsidRPr="00E72F51" w:rsidRDefault="00354880" w:rsidP="0073606B">
      <w:pPr>
        <w:pStyle w:val="Odsekzoznamu"/>
        <w:tabs>
          <w:tab w:val="left" w:pos="1418"/>
        </w:tabs>
        <w:spacing w:after="0" w:line="240" w:lineRule="atLeast"/>
        <w:ind w:left="567" w:firstLine="426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</w:rPr>
        <w:t>(LLF 9001/1301/10)</w:t>
      </w:r>
    </w:p>
    <w:p w:rsidR="00354880" w:rsidRPr="00E72F51" w:rsidRDefault="00354880" w:rsidP="0073606B">
      <w:pPr>
        <w:pStyle w:val="Odsekzoznamu"/>
        <w:tabs>
          <w:tab w:val="left" w:pos="2790"/>
          <w:tab w:val="right" w:pos="9072"/>
        </w:tabs>
        <w:spacing w:after="0" w:line="240" w:lineRule="atLeast"/>
        <w:ind w:left="993"/>
        <w:jc w:val="both"/>
        <w:rPr>
          <w:rFonts w:asciiTheme="majorHAnsi" w:hAnsiTheme="majorHAnsi" w:cs="Times New Roman"/>
        </w:rPr>
      </w:pPr>
      <w:proofErr w:type="spellStart"/>
      <w:r w:rsidRPr="00E72F51">
        <w:rPr>
          <w:rFonts w:asciiTheme="majorHAnsi" w:hAnsiTheme="majorHAnsi" w:cs="Times New Roman"/>
        </w:rPr>
        <w:t>ZoD</w:t>
      </w:r>
      <w:proofErr w:type="spellEnd"/>
      <w:r w:rsidRPr="00E72F51">
        <w:rPr>
          <w:rFonts w:asciiTheme="majorHAnsi" w:hAnsiTheme="majorHAnsi" w:cs="Times New Roman"/>
        </w:rPr>
        <w:t xml:space="preserve"> č. 83/26250120019/2010 (</w:t>
      </w:r>
      <w:proofErr w:type="spellStart"/>
      <w:r w:rsidR="0073606B">
        <w:rPr>
          <w:rFonts w:asciiTheme="majorHAnsi" w:hAnsiTheme="majorHAnsi" w:cs="Times New Roman"/>
        </w:rPr>
        <w:t>Eiffage</w:t>
      </w:r>
      <w:proofErr w:type="spellEnd"/>
      <w:r w:rsidR="0073606B">
        <w:rPr>
          <w:rFonts w:asciiTheme="majorHAnsi" w:hAnsiTheme="majorHAnsi" w:cs="Times New Roman"/>
        </w:rPr>
        <w:t xml:space="preserve"> </w:t>
      </w:r>
      <w:proofErr w:type="spellStart"/>
      <w:r w:rsidR="0073606B">
        <w:rPr>
          <w:rFonts w:asciiTheme="majorHAnsi" w:hAnsiTheme="majorHAnsi" w:cs="Times New Roman"/>
        </w:rPr>
        <w:t>Construction</w:t>
      </w:r>
      <w:proofErr w:type="spellEnd"/>
      <w:r w:rsidR="0073606B">
        <w:rPr>
          <w:rFonts w:asciiTheme="majorHAnsi" w:hAnsiTheme="majorHAnsi" w:cs="Times New Roman"/>
        </w:rPr>
        <w:t xml:space="preserve"> </w:t>
      </w:r>
      <w:proofErr w:type="spellStart"/>
      <w:r w:rsidR="0073606B">
        <w:rPr>
          <w:rFonts w:asciiTheme="majorHAnsi" w:hAnsiTheme="majorHAnsi" w:cs="Times New Roman"/>
        </w:rPr>
        <w:t>Slov.rep</w:t>
      </w:r>
      <w:proofErr w:type="spellEnd"/>
      <w:r w:rsidR="0073606B">
        <w:rPr>
          <w:rFonts w:asciiTheme="majorHAnsi" w:hAnsiTheme="majorHAnsi" w:cs="Times New Roman"/>
        </w:rPr>
        <w:t xml:space="preserve">.)             </w:t>
      </w:r>
      <w:r w:rsidRPr="00E72F51">
        <w:rPr>
          <w:rFonts w:asciiTheme="majorHAnsi" w:hAnsiTheme="majorHAnsi" w:cs="Times New Roman"/>
          <w:b/>
        </w:rPr>
        <w:t>659 793,10 €</w:t>
      </w:r>
    </w:p>
    <w:p w:rsidR="00354880" w:rsidRPr="00E72F51" w:rsidRDefault="00354880" w:rsidP="0073606B">
      <w:pPr>
        <w:pStyle w:val="Odsekzoznamu"/>
        <w:tabs>
          <w:tab w:val="left" w:pos="1418"/>
        </w:tabs>
        <w:spacing w:after="0" w:line="240" w:lineRule="atLeast"/>
        <w:ind w:left="567" w:firstLine="426"/>
        <w:contextualSpacing w:val="0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</w:rPr>
        <w:t>(LLF 9001/0959/11)</w:t>
      </w:r>
    </w:p>
    <w:p w:rsidR="00354880" w:rsidRPr="0073606B" w:rsidRDefault="00354880" w:rsidP="002321AF">
      <w:pPr>
        <w:pStyle w:val="Odsekzoznamu"/>
        <w:numPr>
          <w:ilvl w:val="0"/>
          <w:numId w:val="12"/>
        </w:numPr>
        <w:tabs>
          <w:tab w:val="left" w:pos="2790"/>
          <w:tab w:val="right" w:pos="9072"/>
        </w:tabs>
        <w:spacing w:after="0" w:line="240" w:lineRule="atLeast"/>
        <w:ind w:left="993" w:hanging="426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  <w:u w:val="single"/>
        </w:rPr>
        <w:t>Dodávka IKT</w:t>
      </w:r>
      <w:r w:rsidRPr="00E72F51">
        <w:rPr>
          <w:rFonts w:asciiTheme="majorHAnsi" w:hAnsiTheme="majorHAnsi" w:cs="Times New Roman"/>
        </w:rPr>
        <w:t xml:space="preserve"> bola realizovaná na základe zmluvy na zabezpečenie dodávok tovaru č. 58/26250120019/2010 (CORINEX GROUP, a.s.) v celkovom objeme 2 529 837,12 € (LLF 9001/2501/10) pre všetky tri miesta realizácie</w:t>
      </w:r>
      <w:r w:rsidR="0073606B">
        <w:rPr>
          <w:rFonts w:asciiTheme="majorHAnsi" w:hAnsiTheme="majorHAnsi" w:cs="Times New Roman"/>
        </w:rPr>
        <w:t xml:space="preserve">, z toho pre Gabčíkovo v objeme                                                                                </w:t>
      </w:r>
      <w:r w:rsidRPr="00E72F51">
        <w:rPr>
          <w:rFonts w:asciiTheme="majorHAnsi" w:hAnsiTheme="majorHAnsi" w:cs="Times New Roman"/>
          <w:b/>
        </w:rPr>
        <w:t>326 447,34 €</w:t>
      </w:r>
    </w:p>
    <w:p w:rsidR="0073606B" w:rsidRPr="0073606B" w:rsidRDefault="0073606B" w:rsidP="0073606B">
      <w:pPr>
        <w:pStyle w:val="Odsekzoznamu"/>
        <w:tabs>
          <w:tab w:val="left" w:pos="2790"/>
          <w:tab w:val="right" w:pos="9072"/>
        </w:tabs>
        <w:spacing w:after="0" w:line="240" w:lineRule="atLeast"/>
        <w:ind w:left="993"/>
        <w:jc w:val="both"/>
        <w:rPr>
          <w:rFonts w:asciiTheme="majorHAnsi" w:hAnsiTheme="majorHAnsi" w:cs="Times New Roman"/>
        </w:rPr>
      </w:pPr>
    </w:p>
    <w:p w:rsidR="00354880" w:rsidRDefault="00354880" w:rsidP="00E72F51">
      <w:pPr>
        <w:tabs>
          <w:tab w:val="left" w:pos="2790"/>
        </w:tabs>
        <w:spacing w:line="240" w:lineRule="atLeast"/>
        <w:ind w:firstLine="851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Čerpanie fin. prostriedkov </w:t>
      </w:r>
      <w:r w:rsidRPr="009667A6">
        <w:rPr>
          <w:rFonts w:asciiTheme="majorHAnsi" w:hAnsiTheme="majorHAnsi" w:cs="Times New Roman"/>
          <w:sz w:val="22"/>
          <w:szCs w:val="22"/>
          <w:u w:val="single"/>
          <w:lang w:val="sk-SK"/>
        </w:rPr>
        <w:t>na druhom projekte (</w:t>
      </w:r>
      <w:proofErr w:type="spellStart"/>
      <w:r w:rsidRPr="009667A6">
        <w:rPr>
          <w:rFonts w:asciiTheme="majorHAnsi" w:hAnsiTheme="majorHAnsi" w:cs="Times New Roman"/>
          <w:sz w:val="22"/>
          <w:szCs w:val="22"/>
          <w:u w:val="single"/>
          <w:lang w:val="sk-SK"/>
        </w:rPr>
        <w:t>Infra</w:t>
      </w:r>
      <w:proofErr w:type="spellEnd"/>
      <w:r w:rsidRPr="009667A6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II: ITMS 26250120045)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>:</w:t>
      </w:r>
    </w:p>
    <w:p w:rsidR="0073606B" w:rsidRPr="00E72F51" w:rsidRDefault="0073606B" w:rsidP="00E72F51">
      <w:pPr>
        <w:tabs>
          <w:tab w:val="left" w:pos="2790"/>
        </w:tabs>
        <w:spacing w:line="240" w:lineRule="atLeast"/>
        <w:ind w:firstLine="851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54880" w:rsidRPr="00E72F51" w:rsidRDefault="00354880" w:rsidP="00E72F51">
      <w:pPr>
        <w:tabs>
          <w:tab w:val="left" w:pos="2790"/>
        </w:tabs>
        <w:spacing w:line="240" w:lineRule="atLeast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/>
          <w:noProof/>
          <w:sz w:val="22"/>
          <w:szCs w:val="22"/>
          <w:lang w:val="sk-SK" w:eastAsia="sk-SK"/>
        </w:rPr>
        <w:drawing>
          <wp:inline distT="0" distB="0" distL="0" distR="0" wp14:anchorId="7BDC6350" wp14:editId="50DAFE3B">
            <wp:extent cx="5760720" cy="198975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80" w:rsidRPr="00E72F51" w:rsidRDefault="00354880" w:rsidP="00E72F51">
      <w:pPr>
        <w:tabs>
          <w:tab w:val="left" w:pos="2790"/>
        </w:tabs>
        <w:spacing w:line="240" w:lineRule="atLeast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54880" w:rsidRPr="00E72F51" w:rsidRDefault="00354880" w:rsidP="009667A6">
      <w:pPr>
        <w:tabs>
          <w:tab w:val="left" w:pos="2790"/>
        </w:tabs>
        <w:spacing w:line="240" w:lineRule="atLeast"/>
        <w:ind w:left="426"/>
        <w:contextualSpacing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E72F51">
        <w:rPr>
          <w:rFonts w:asciiTheme="majorHAnsi" w:hAnsiTheme="majorHAnsi" w:cs="Times New Roman"/>
          <w:sz w:val="22"/>
          <w:szCs w:val="22"/>
          <w:lang w:val="sk-SK"/>
        </w:rPr>
        <w:t>Celkový objem čerpaných finančných prostriedkov v druhom projekte sa delí na </w:t>
      </w:r>
      <w:r w:rsidRPr="00E72F51">
        <w:rPr>
          <w:rFonts w:asciiTheme="majorHAnsi" w:hAnsiTheme="majorHAnsi" w:cs="Times New Roman"/>
          <w:sz w:val="22"/>
          <w:szCs w:val="22"/>
          <w:u w:val="single"/>
          <w:lang w:val="sk-SK"/>
        </w:rPr>
        <w:t>stavebné práce - rekonštrukcie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(aktivita 1, presnejšie 1.1 až 1.5), stavebné práce – nová stavba (aktivita 2, resp. 2.1) a </w:t>
      </w:r>
      <w:r w:rsidRPr="00E72F51">
        <w:rPr>
          <w:rFonts w:asciiTheme="majorHAnsi" w:hAnsiTheme="majorHAnsi" w:cs="Times New Roman"/>
          <w:sz w:val="22"/>
          <w:szCs w:val="22"/>
          <w:u w:val="single"/>
          <w:lang w:val="sk-SK"/>
        </w:rPr>
        <w:t>nákup IKT</w:t>
      </w:r>
      <w:r w:rsidRPr="00E72F51">
        <w:rPr>
          <w:rFonts w:asciiTheme="majorHAnsi" w:hAnsiTheme="majorHAnsi" w:cs="Times New Roman"/>
          <w:sz w:val="22"/>
          <w:szCs w:val="22"/>
          <w:lang w:val="sk-SK"/>
        </w:rPr>
        <w:t xml:space="preserve"> (aktivita 3, presnejšie 3.1 až 3.5). Z názvu aktivít sú zrejmé miesta realizácie.</w:t>
      </w:r>
    </w:p>
    <w:p w:rsidR="00354880" w:rsidRPr="00E72F51" w:rsidRDefault="00354880" w:rsidP="002321AF">
      <w:pPr>
        <w:pStyle w:val="Odsekzoznamu"/>
        <w:numPr>
          <w:ilvl w:val="0"/>
          <w:numId w:val="5"/>
        </w:numPr>
        <w:tabs>
          <w:tab w:val="left" w:pos="2790"/>
        </w:tabs>
        <w:spacing w:after="0" w:line="240" w:lineRule="atLeast"/>
        <w:ind w:left="709" w:hanging="283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  <w:u w:val="single"/>
        </w:rPr>
        <w:t>Stavebné práce</w:t>
      </w:r>
      <w:r w:rsidRPr="00E72F51">
        <w:rPr>
          <w:rFonts w:asciiTheme="majorHAnsi" w:hAnsiTheme="majorHAnsi" w:cs="Times New Roman"/>
        </w:rPr>
        <w:t xml:space="preserve"> v Gabčíkove boli realizované zmluva o dielo:</w:t>
      </w:r>
    </w:p>
    <w:p w:rsidR="00354880" w:rsidRPr="009667A6" w:rsidRDefault="009667A6" w:rsidP="009667A6">
      <w:pPr>
        <w:tabs>
          <w:tab w:val="right" w:pos="9072"/>
        </w:tabs>
        <w:spacing w:line="240" w:lineRule="atLeast"/>
        <w:jc w:val="both"/>
        <w:rPr>
          <w:rFonts w:asciiTheme="majorHAnsi" w:hAnsiTheme="majorHAnsi" w:cs="Times New Roman"/>
          <w:sz w:val="22"/>
          <w:szCs w:val="22"/>
        </w:rPr>
      </w:pPr>
      <w:r w:rsidRPr="004E261A">
        <w:rPr>
          <w:rFonts w:asciiTheme="majorHAnsi" w:hAnsiTheme="majorHAnsi" w:cs="Times New Roman"/>
          <w:sz w:val="22"/>
          <w:szCs w:val="22"/>
          <w:lang w:val="it-IT"/>
        </w:rPr>
        <w:t xml:space="preserve">             </w:t>
      </w:r>
      <w:r w:rsidR="00354880" w:rsidRPr="004E261A">
        <w:rPr>
          <w:rFonts w:asciiTheme="majorHAnsi" w:hAnsiTheme="majorHAnsi" w:cs="Times New Roman"/>
          <w:sz w:val="22"/>
          <w:szCs w:val="22"/>
          <w:lang w:val="it-IT"/>
        </w:rPr>
        <w:t>ZoD č. 4/2625012</w:t>
      </w:r>
      <w:r w:rsidRPr="004E261A">
        <w:rPr>
          <w:rFonts w:asciiTheme="majorHAnsi" w:hAnsiTheme="majorHAnsi" w:cs="Times New Roman"/>
          <w:sz w:val="22"/>
          <w:szCs w:val="22"/>
          <w:lang w:val="it-IT"/>
        </w:rPr>
        <w:t xml:space="preserve">0045/2011 (UNICOBAU, s. r. o.)                                          </w:t>
      </w:r>
      <w:r w:rsidR="00354880" w:rsidRPr="009667A6">
        <w:rPr>
          <w:rFonts w:asciiTheme="majorHAnsi" w:hAnsiTheme="majorHAnsi" w:cs="Times New Roman"/>
          <w:b/>
          <w:sz w:val="22"/>
          <w:szCs w:val="22"/>
        </w:rPr>
        <w:t>241 473</w:t>
      </w:r>
      <w:proofErr w:type="gramStart"/>
      <w:r w:rsidR="00354880" w:rsidRPr="009667A6">
        <w:rPr>
          <w:rFonts w:asciiTheme="majorHAnsi" w:hAnsiTheme="majorHAnsi" w:cs="Times New Roman"/>
          <w:b/>
          <w:sz w:val="22"/>
          <w:szCs w:val="22"/>
        </w:rPr>
        <w:t>,08</w:t>
      </w:r>
      <w:proofErr w:type="gramEnd"/>
      <w:r w:rsidR="00354880" w:rsidRPr="009667A6">
        <w:rPr>
          <w:rFonts w:asciiTheme="majorHAnsi" w:hAnsiTheme="majorHAnsi" w:cs="Times New Roman"/>
          <w:b/>
          <w:sz w:val="22"/>
          <w:szCs w:val="22"/>
        </w:rPr>
        <w:t xml:space="preserve"> €</w:t>
      </w:r>
    </w:p>
    <w:p w:rsidR="00354880" w:rsidRPr="009667A6" w:rsidRDefault="009667A6" w:rsidP="009667A6">
      <w:pPr>
        <w:tabs>
          <w:tab w:val="left" w:pos="1418"/>
        </w:tabs>
        <w:spacing w:line="240" w:lineRule="atLeast"/>
        <w:jc w:val="both"/>
        <w:rPr>
          <w:rFonts w:asciiTheme="majorHAnsi" w:hAnsiTheme="majorHAnsi" w:cs="Times New Roman"/>
          <w:sz w:val="22"/>
          <w:szCs w:val="22"/>
        </w:rPr>
      </w:pPr>
      <w:r w:rsidRPr="009667A6">
        <w:rPr>
          <w:rFonts w:asciiTheme="majorHAnsi" w:hAnsiTheme="majorHAnsi" w:cs="Times New Roman"/>
          <w:sz w:val="22"/>
          <w:szCs w:val="22"/>
        </w:rPr>
        <w:t xml:space="preserve">             </w:t>
      </w:r>
      <w:r w:rsidR="00354880" w:rsidRPr="009667A6">
        <w:rPr>
          <w:rFonts w:asciiTheme="majorHAnsi" w:hAnsiTheme="majorHAnsi" w:cs="Times New Roman"/>
          <w:sz w:val="22"/>
          <w:szCs w:val="22"/>
        </w:rPr>
        <w:t>LLF 9001/1033</w:t>
      </w:r>
      <w:proofErr w:type="gramStart"/>
      <w:r w:rsidR="00354880" w:rsidRPr="009667A6">
        <w:rPr>
          <w:rFonts w:asciiTheme="majorHAnsi" w:hAnsiTheme="majorHAnsi" w:cs="Times New Roman"/>
          <w:sz w:val="22"/>
          <w:szCs w:val="22"/>
        </w:rPr>
        <w:t>,1034,1048</w:t>
      </w:r>
      <w:proofErr w:type="gramEnd"/>
      <w:r w:rsidR="00354880" w:rsidRPr="009667A6">
        <w:rPr>
          <w:rFonts w:asciiTheme="majorHAnsi" w:hAnsiTheme="majorHAnsi" w:cs="Times New Roman"/>
          <w:sz w:val="22"/>
          <w:szCs w:val="22"/>
        </w:rPr>
        <w:t xml:space="preserve"> a 1201/11)</w:t>
      </w:r>
    </w:p>
    <w:p w:rsidR="00354880" w:rsidRPr="009667A6" w:rsidRDefault="00354880" w:rsidP="002321AF">
      <w:pPr>
        <w:pStyle w:val="Odsekzoznamu"/>
        <w:numPr>
          <w:ilvl w:val="0"/>
          <w:numId w:val="5"/>
        </w:numPr>
        <w:tabs>
          <w:tab w:val="left" w:pos="2790"/>
          <w:tab w:val="right" w:pos="9072"/>
        </w:tabs>
        <w:spacing w:after="0" w:line="240" w:lineRule="atLeast"/>
        <w:ind w:left="709" w:hanging="283"/>
        <w:jc w:val="both"/>
        <w:rPr>
          <w:rFonts w:asciiTheme="majorHAnsi" w:hAnsiTheme="majorHAnsi" w:cs="Times New Roman"/>
        </w:rPr>
      </w:pPr>
      <w:r w:rsidRPr="009667A6">
        <w:rPr>
          <w:rFonts w:asciiTheme="majorHAnsi" w:hAnsiTheme="majorHAnsi" w:cs="Times New Roman"/>
          <w:u w:val="single"/>
        </w:rPr>
        <w:t>Dodávka IKT</w:t>
      </w:r>
      <w:r w:rsidRPr="009667A6">
        <w:rPr>
          <w:rFonts w:asciiTheme="majorHAnsi" w:hAnsiTheme="majorHAnsi" w:cs="Times New Roman"/>
        </w:rPr>
        <w:t xml:space="preserve"> bola realizovaná na základe Kúpnej zmluvy č. 38/26250120045/2011 (TEMPEST, a.s.) v celkovom objeme 2 962 426,76 € (LLF 9001/2176/11, 9001/1046,1672,1794,2092/12 a 9001/1665/13) pre všetkých päť miest realizácie, z toho pre Gabčí</w:t>
      </w:r>
      <w:r w:rsidR="009667A6" w:rsidRPr="009667A6">
        <w:rPr>
          <w:rFonts w:asciiTheme="majorHAnsi" w:hAnsiTheme="majorHAnsi" w:cs="Times New Roman"/>
        </w:rPr>
        <w:t xml:space="preserve">kovo v objeme                                                                        </w:t>
      </w:r>
      <w:r w:rsidR="00C52FC4">
        <w:rPr>
          <w:rFonts w:asciiTheme="majorHAnsi" w:hAnsiTheme="majorHAnsi" w:cs="Times New Roman"/>
        </w:rPr>
        <w:t xml:space="preserve"> </w:t>
      </w:r>
      <w:r w:rsidR="006F6160" w:rsidRPr="00C52FC4">
        <w:rPr>
          <w:rFonts w:asciiTheme="majorHAnsi" w:hAnsiTheme="majorHAnsi" w:cs="Times New Roman"/>
          <w:b/>
        </w:rPr>
        <w:t>288 477,33 €</w:t>
      </w:r>
      <w:r w:rsidR="009667A6" w:rsidRPr="00C52FC4">
        <w:rPr>
          <w:rFonts w:asciiTheme="majorHAnsi" w:hAnsiTheme="majorHAnsi" w:cs="Times New Roman"/>
          <w:b/>
        </w:rPr>
        <w:t xml:space="preserve"> </w:t>
      </w:r>
    </w:p>
    <w:p w:rsidR="00354880" w:rsidRPr="00E72F51" w:rsidRDefault="00354880" w:rsidP="009667A6">
      <w:pPr>
        <w:pStyle w:val="Odsekzoznamu"/>
        <w:tabs>
          <w:tab w:val="left" w:pos="2790"/>
          <w:tab w:val="right" w:pos="9072"/>
        </w:tabs>
        <w:spacing w:after="0" w:line="240" w:lineRule="atLeast"/>
        <w:ind w:left="709"/>
        <w:jc w:val="both"/>
        <w:rPr>
          <w:rFonts w:asciiTheme="majorHAnsi" w:hAnsiTheme="majorHAnsi" w:cs="Times New Roman"/>
          <w:u w:val="single"/>
        </w:rPr>
      </w:pPr>
    </w:p>
    <w:p w:rsidR="00354880" w:rsidRPr="00E72F51" w:rsidRDefault="00354880" w:rsidP="002321AF">
      <w:pPr>
        <w:pStyle w:val="Odsekzoznamu"/>
        <w:numPr>
          <w:ilvl w:val="0"/>
          <w:numId w:val="8"/>
        </w:numPr>
        <w:spacing w:after="0" w:line="240" w:lineRule="atLeast"/>
        <w:ind w:left="426" w:hanging="426"/>
        <w:contextualSpacing w:val="0"/>
        <w:jc w:val="both"/>
        <w:rPr>
          <w:rFonts w:asciiTheme="majorHAnsi" w:hAnsiTheme="majorHAnsi" w:cs="Times New Roman"/>
          <w:b/>
        </w:rPr>
      </w:pPr>
      <w:r w:rsidRPr="00E72F51">
        <w:rPr>
          <w:rFonts w:asciiTheme="majorHAnsi" w:hAnsiTheme="majorHAnsi" w:cs="Times New Roman"/>
          <w:b/>
        </w:rPr>
        <w:t>Dopady predaja nehnuteľnost</w:t>
      </w:r>
      <w:r w:rsidR="009667A6">
        <w:rPr>
          <w:rFonts w:asciiTheme="majorHAnsi" w:hAnsiTheme="majorHAnsi" w:cs="Times New Roman"/>
          <w:b/>
        </w:rPr>
        <w:t>í</w:t>
      </w:r>
      <w:r w:rsidRPr="00E72F51">
        <w:rPr>
          <w:rFonts w:asciiTheme="majorHAnsi" w:hAnsiTheme="majorHAnsi" w:cs="Times New Roman"/>
          <w:b/>
        </w:rPr>
        <w:t xml:space="preserve"> v</w:t>
      </w:r>
      <w:r w:rsidR="006E4DB9">
        <w:rPr>
          <w:rFonts w:asciiTheme="majorHAnsi" w:hAnsiTheme="majorHAnsi" w:cs="Times New Roman"/>
          <w:b/>
        </w:rPr>
        <w:t> </w:t>
      </w:r>
      <w:r w:rsidRPr="00E72F51">
        <w:rPr>
          <w:rFonts w:asciiTheme="majorHAnsi" w:hAnsiTheme="majorHAnsi" w:cs="Times New Roman"/>
          <w:b/>
        </w:rPr>
        <w:t>Gabčíkove</w:t>
      </w:r>
      <w:r w:rsidR="006E4DB9">
        <w:rPr>
          <w:rFonts w:asciiTheme="majorHAnsi" w:hAnsiTheme="majorHAnsi" w:cs="Times New Roman"/>
          <w:b/>
        </w:rPr>
        <w:t xml:space="preserve"> z pohľadu ŠF</w:t>
      </w:r>
    </w:p>
    <w:p w:rsidR="00354880" w:rsidRDefault="00354880" w:rsidP="002321AF">
      <w:pPr>
        <w:pStyle w:val="Odsekzoznamu"/>
        <w:numPr>
          <w:ilvl w:val="0"/>
          <w:numId w:val="6"/>
        </w:numPr>
        <w:spacing w:after="0" w:line="240" w:lineRule="atLeast"/>
        <w:ind w:left="709" w:hanging="283"/>
        <w:contextualSpacing w:val="0"/>
        <w:jc w:val="both"/>
        <w:rPr>
          <w:rFonts w:asciiTheme="majorHAnsi" w:hAnsiTheme="majorHAnsi" w:cs="Times New Roman"/>
        </w:rPr>
      </w:pPr>
      <w:r w:rsidRPr="00E72F51">
        <w:rPr>
          <w:rFonts w:asciiTheme="majorHAnsi" w:hAnsiTheme="majorHAnsi" w:cs="Times New Roman"/>
        </w:rPr>
        <w:t xml:space="preserve">Predaj majetku </w:t>
      </w:r>
      <w:r w:rsidR="009667A6">
        <w:rPr>
          <w:rFonts w:asciiTheme="majorHAnsi" w:hAnsiTheme="majorHAnsi" w:cs="Times New Roman"/>
        </w:rPr>
        <w:t xml:space="preserve">z </w:t>
      </w:r>
      <w:r w:rsidRPr="009667A6">
        <w:rPr>
          <w:rFonts w:asciiTheme="majorHAnsi" w:hAnsiTheme="majorHAnsi" w:cs="Times New Roman"/>
          <w:u w:val="single"/>
        </w:rPr>
        <w:t>INFRA I</w:t>
      </w:r>
      <w:r w:rsidRPr="00E72F51">
        <w:rPr>
          <w:rFonts w:asciiTheme="majorHAnsi" w:hAnsiTheme="majorHAnsi" w:cs="Times New Roman"/>
        </w:rPr>
        <w:t xml:space="preserve"> sa uskutoční pravdepodobne </w:t>
      </w:r>
      <w:r w:rsidRPr="009667A6">
        <w:rPr>
          <w:rFonts w:asciiTheme="majorHAnsi" w:hAnsiTheme="majorHAnsi" w:cs="Times New Roman"/>
          <w:u w:val="single"/>
        </w:rPr>
        <w:t>po ukončení 5-ročného obdobia</w:t>
      </w:r>
      <w:r w:rsidRPr="00E72F51">
        <w:rPr>
          <w:rFonts w:asciiTheme="majorHAnsi" w:hAnsiTheme="majorHAnsi" w:cs="Times New Roman"/>
        </w:rPr>
        <w:t xml:space="preserve"> následného monitorovania. </w:t>
      </w:r>
    </w:p>
    <w:p w:rsidR="004A7D08" w:rsidRPr="009C42A3" w:rsidRDefault="00354880" w:rsidP="009C42A3">
      <w:pPr>
        <w:pStyle w:val="Odsekzoznamu"/>
        <w:numPr>
          <w:ilvl w:val="0"/>
          <w:numId w:val="6"/>
        </w:numPr>
        <w:spacing w:after="0" w:line="240" w:lineRule="atLeast"/>
        <w:ind w:left="709" w:hanging="283"/>
        <w:contextualSpacing w:val="0"/>
        <w:jc w:val="both"/>
        <w:rPr>
          <w:rFonts w:asciiTheme="majorHAnsi" w:hAnsiTheme="majorHAnsi"/>
          <w:b/>
          <w:bCs/>
        </w:rPr>
      </w:pPr>
      <w:r w:rsidRPr="009C42A3">
        <w:rPr>
          <w:rFonts w:asciiTheme="majorHAnsi" w:hAnsiTheme="majorHAnsi" w:cs="Times New Roman"/>
        </w:rPr>
        <w:t>Predaj majetku z </w:t>
      </w:r>
      <w:r w:rsidRPr="009C42A3">
        <w:rPr>
          <w:rFonts w:asciiTheme="majorHAnsi" w:hAnsiTheme="majorHAnsi" w:cs="Times New Roman"/>
          <w:u w:val="single"/>
        </w:rPr>
        <w:t>INFRA II</w:t>
      </w:r>
      <w:r w:rsidRPr="009C42A3">
        <w:rPr>
          <w:rFonts w:asciiTheme="majorHAnsi" w:hAnsiTheme="majorHAnsi" w:cs="Times New Roman"/>
        </w:rPr>
        <w:t xml:space="preserve"> sa uskutoční odhadom v</w:t>
      </w:r>
      <w:r w:rsidR="009667A6" w:rsidRPr="009C42A3">
        <w:rPr>
          <w:rFonts w:asciiTheme="majorHAnsi" w:hAnsiTheme="majorHAnsi" w:cs="Times New Roman"/>
        </w:rPr>
        <w:t> </w:t>
      </w:r>
      <w:r w:rsidRPr="009C42A3">
        <w:rPr>
          <w:rFonts w:asciiTheme="majorHAnsi" w:hAnsiTheme="majorHAnsi" w:cs="Times New Roman"/>
        </w:rPr>
        <w:t>pol</w:t>
      </w:r>
      <w:r w:rsidR="009667A6" w:rsidRPr="009C42A3">
        <w:rPr>
          <w:rFonts w:asciiTheme="majorHAnsi" w:hAnsiTheme="majorHAnsi" w:cs="Times New Roman"/>
        </w:rPr>
        <w:t xml:space="preserve">ovici </w:t>
      </w:r>
      <w:r w:rsidRPr="009C42A3">
        <w:rPr>
          <w:rFonts w:asciiTheme="majorHAnsi" w:hAnsiTheme="majorHAnsi" w:cs="Times New Roman"/>
        </w:rPr>
        <w:t xml:space="preserve">obdobia následného monitorovania. </w:t>
      </w:r>
    </w:p>
    <w:p w:rsidR="009C42A3" w:rsidRPr="004E261A" w:rsidRDefault="009C42A3" w:rsidP="009C42A3">
      <w:pPr>
        <w:spacing w:line="240" w:lineRule="atLeast"/>
        <w:jc w:val="both"/>
        <w:rPr>
          <w:rFonts w:asciiTheme="majorHAnsi" w:hAnsiTheme="majorHAnsi"/>
          <w:b/>
          <w:bCs/>
          <w:lang w:val="sk-SK"/>
        </w:rPr>
      </w:pPr>
    </w:p>
    <w:p w:rsidR="00AF749E" w:rsidRPr="004E261A" w:rsidRDefault="00AF749E" w:rsidP="009C42A3">
      <w:pPr>
        <w:spacing w:line="240" w:lineRule="atLeast"/>
        <w:jc w:val="both"/>
        <w:rPr>
          <w:rFonts w:asciiTheme="majorHAnsi" w:hAnsiTheme="majorHAnsi"/>
          <w:b/>
          <w:bCs/>
          <w:lang w:val="sk-SK"/>
        </w:rPr>
      </w:pPr>
    </w:p>
    <w:p w:rsidR="0041580C" w:rsidRDefault="0041580C" w:rsidP="00454036">
      <w:pPr>
        <w:pStyle w:val="Odsekzoznamu"/>
        <w:spacing w:after="0" w:line="240" w:lineRule="atLeast"/>
        <w:ind w:left="215"/>
        <w:jc w:val="both"/>
        <w:rPr>
          <w:rFonts w:asciiTheme="majorHAnsi" w:hAnsiTheme="majorHAnsi"/>
          <w:b/>
          <w:bCs/>
        </w:rPr>
      </w:pPr>
    </w:p>
    <w:p w:rsidR="0041580C" w:rsidRDefault="0041580C" w:rsidP="00454036">
      <w:pPr>
        <w:pStyle w:val="Odsekzoznamu"/>
        <w:spacing w:after="0" w:line="240" w:lineRule="atLeast"/>
        <w:ind w:left="215"/>
        <w:jc w:val="both"/>
        <w:rPr>
          <w:rFonts w:asciiTheme="majorHAnsi" w:hAnsiTheme="majorHAnsi"/>
          <w:b/>
          <w:bCs/>
        </w:rPr>
      </w:pPr>
    </w:p>
    <w:p w:rsidR="00516F8C" w:rsidRDefault="00516F8C" w:rsidP="00454036">
      <w:pPr>
        <w:pStyle w:val="Odsekzoznamu"/>
        <w:spacing w:after="0" w:line="240" w:lineRule="atLeast"/>
        <w:ind w:left="215"/>
        <w:jc w:val="both"/>
        <w:rPr>
          <w:rFonts w:asciiTheme="majorHAnsi" w:hAnsiTheme="majorHAnsi"/>
          <w:b/>
          <w:bCs/>
        </w:rPr>
      </w:pPr>
    </w:p>
    <w:p w:rsidR="004A7D08" w:rsidRDefault="004A7D08" w:rsidP="00454036">
      <w:pPr>
        <w:pStyle w:val="Odsekzoznamu"/>
        <w:spacing w:after="0" w:line="240" w:lineRule="atLeast"/>
        <w:ind w:left="215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ŠTVRTÁ ČASŤ</w:t>
      </w:r>
    </w:p>
    <w:p w:rsidR="00454036" w:rsidRPr="00454036" w:rsidRDefault="00454036" w:rsidP="00454036">
      <w:pPr>
        <w:pStyle w:val="Odsekzoznamu"/>
        <w:spacing w:after="0" w:line="240" w:lineRule="atLeast"/>
        <w:ind w:left="215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Administratívne postupy spojené s predajom</w:t>
      </w:r>
    </w:p>
    <w:p w:rsidR="004B356C" w:rsidRDefault="00D50949" w:rsidP="00454036">
      <w:pPr>
        <w:pStyle w:val="Odsekzoznamu"/>
        <w:ind w:left="218"/>
        <w:jc w:val="both"/>
        <w:rPr>
          <w:rFonts w:asciiTheme="majorHAnsi" w:hAnsiTheme="majorHAnsi"/>
          <w:bCs/>
        </w:rPr>
      </w:pPr>
      <w:r w:rsidRPr="00D50949">
        <w:rPr>
          <w:rFonts w:asciiTheme="majorHAnsi" w:hAnsiTheme="majorHAnsi"/>
          <w:bCs/>
        </w:rPr>
        <w:t xml:space="preserve"> </w:t>
      </w:r>
      <w:r w:rsidR="00242520" w:rsidRPr="00D50949">
        <w:rPr>
          <w:rFonts w:asciiTheme="majorHAnsi" w:hAnsiTheme="majorHAnsi"/>
          <w:bCs/>
        </w:rPr>
        <w:t xml:space="preserve"> </w:t>
      </w:r>
    </w:p>
    <w:p w:rsidR="00C1018F" w:rsidRDefault="00944FE4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Ponukové konanie v zmysle článku 2 bod 4 smernice rektora č. 3/2015-SR Nakladanie s nepotrebným majetkom Slovenskej technickej univerzity v Bratislave (ďalej len </w:t>
      </w:r>
      <w:r w:rsidR="00AE41BF">
        <w:rPr>
          <w:rFonts w:asciiTheme="majorHAnsi" w:hAnsiTheme="majorHAnsi"/>
          <w:bCs/>
        </w:rPr>
        <w:t>„</w:t>
      </w:r>
      <w:r>
        <w:rPr>
          <w:rFonts w:asciiTheme="majorHAnsi" w:hAnsiTheme="majorHAnsi"/>
          <w:bCs/>
        </w:rPr>
        <w:t>smernica č</w:t>
      </w:r>
      <w:r w:rsidR="00AE41BF"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</w:rPr>
        <w:t>3/2015-SR“)</w:t>
      </w:r>
      <w:r w:rsidR="00C1018F">
        <w:rPr>
          <w:rFonts w:asciiTheme="majorHAnsi" w:hAnsiTheme="majorHAnsi"/>
          <w:bCs/>
        </w:rPr>
        <w:t>.</w:t>
      </w:r>
    </w:p>
    <w:p w:rsidR="00944FE4" w:rsidRDefault="00C1018F" w:rsidP="00C1018F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  <w:u w:val="single"/>
        </w:rPr>
        <w:t>Zodpovedný</w:t>
      </w:r>
      <w:r>
        <w:rPr>
          <w:rFonts w:asciiTheme="majorHAnsi" w:hAnsiTheme="majorHAnsi"/>
          <w:bCs/>
          <w:u w:val="single"/>
        </w:rPr>
        <w:t>:</w:t>
      </w:r>
      <w:r w:rsidRPr="00C1018F">
        <w:rPr>
          <w:rFonts w:asciiTheme="majorHAnsi" w:hAnsiTheme="majorHAnsi"/>
          <w:bCs/>
          <w:u w:val="single"/>
        </w:rPr>
        <w:t xml:space="preserve"> právny a org</w:t>
      </w:r>
      <w:r>
        <w:rPr>
          <w:rFonts w:asciiTheme="majorHAnsi" w:hAnsiTheme="majorHAnsi"/>
          <w:bCs/>
          <w:u w:val="single"/>
        </w:rPr>
        <w:t>a</w:t>
      </w:r>
      <w:r w:rsidRPr="00C1018F">
        <w:rPr>
          <w:rFonts w:asciiTheme="majorHAnsi" w:hAnsiTheme="majorHAnsi"/>
          <w:bCs/>
          <w:u w:val="single"/>
        </w:rPr>
        <w:t>nizačný útvar</w:t>
      </w:r>
      <w:r w:rsidR="00944FE4">
        <w:rPr>
          <w:rFonts w:asciiTheme="majorHAnsi" w:hAnsiTheme="majorHAnsi"/>
          <w:bCs/>
        </w:rPr>
        <w:t xml:space="preserve"> </w:t>
      </w:r>
    </w:p>
    <w:p w:rsidR="00C1018F" w:rsidRDefault="00C1018F" w:rsidP="00C1018F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</w:rPr>
      </w:pPr>
    </w:p>
    <w:p w:rsidR="00C1018F" w:rsidRDefault="00944FE4" w:rsidP="002321AF">
      <w:pPr>
        <w:pStyle w:val="Odsekzoznamu"/>
        <w:numPr>
          <w:ilvl w:val="0"/>
          <w:numId w:val="3"/>
        </w:numPr>
        <w:spacing w:after="0" w:line="240" w:lineRule="atLeast"/>
        <w:ind w:left="284" w:hanging="284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Výber znalca na určenie všeobecnej hodnoty nehnuteľností znaleckým posudkom</w:t>
      </w:r>
      <w:r w:rsidR="00C1018F">
        <w:rPr>
          <w:rFonts w:asciiTheme="majorHAnsi" w:hAnsiTheme="majorHAnsi"/>
          <w:bCs/>
        </w:rPr>
        <w:t xml:space="preserve">. </w:t>
      </w:r>
    </w:p>
    <w:p w:rsidR="00944FE4" w:rsidRDefault="00C1018F" w:rsidP="00C1018F">
      <w:pPr>
        <w:pStyle w:val="Odsekzoznamu"/>
        <w:spacing w:after="0" w:line="240" w:lineRule="atLeast"/>
        <w:ind w:left="5324"/>
        <w:jc w:val="right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  <w:u w:val="single"/>
        </w:rPr>
        <w:t>Z</w:t>
      </w:r>
      <w:r>
        <w:rPr>
          <w:rFonts w:asciiTheme="majorHAnsi" w:hAnsiTheme="majorHAnsi"/>
          <w:bCs/>
          <w:u w:val="single"/>
        </w:rPr>
        <w:t>odpovedný: investičný útvar</w:t>
      </w:r>
      <w:r w:rsidR="00944FE4">
        <w:rPr>
          <w:rFonts w:asciiTheme="majorHAnsi" w:hAnsiTheme="majorHAnsi"/>
          <w:bCs/>
        </w:rPr>
        <w:t xml:space="preserve"> </w:t>
      </w:r>
    </w:p>
    <w:p w:rsidR="00454036" w:rsidRDefault="00944FE4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Vypracovanie znaleckého posudku na určenie primeranej ceny v zmysle § 5 ods. 9 zákona.</w:t>
      </w:r>
    </w:p>
    <w:p w:rsidR="00C1018F" w:rsidRDefault="00C1018F" w:rsidP="00C1018F">
      <w:pPr>
        <w:pStyle w:val="Odsekzoznamu"/>
        <w:spacing w:after="0" w:line="240" w:lineRule="atLeast"/>
        <w:ind w:left="5760"/>
        <w:jc w:val="both"/>
        <w:rPr>
          <w:rFonts w:asciiTheme="majorHAnsi" w:hAnsiTheme="majorHAnsi"/>
          <w:bCs/>
          <w:u w:val="single"/>
        </w:rPr>
      </w:pPr>
      <w:r w:rsidRPr="00C1018F">
        <w:rPr>
          <w:rFonts w:asciiTheme="majorHAnsi" w:hAnsiTheme="majorHAnsi"/>
          <w:bCs/>
          <w:u w:val="single"/>
        </w:rPr>
        <w:t>Zodpovedný: vybraný znalec</w:t>
      </w:r>
    </w:p>
    <w:p w:rsidR="00C1018F" w:rsidRPr="00C1018F" w:rsidRDefault="00C1018F" w:rsidP="00C1018F">
      <w:pPr>
        <w:pStyle w:val="Odsekzoznamu"/>
        <w:spacing w:after="0" w:line="240" w:lineRule="atLeast"/>
        <w:ind w:left="5760"/>
        <w:jc w:val="both"/>
        <w:rPr>
          <w:rFonts w:asciiTheme="majorHAnsi" w:hAnsiTheme="majorHAnsi"/>
          <w:bCs/>
          <w:u w:val="single"/>
        </w:rPr>
      </w:pPr>
    </w:p>
    <w:p w:rsidR="00C1018F" w:rsidRPr="00BE308E" w:rsidRDefault="000F0EDE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Predloženie návrhu predaja nehnuteľností do vedenia STU</w:t>
      </w:r>
      <w:r w:rsidR="00AE41BF">
        <w:rPr>
          <w:rFonts w:asciiTheme="majorHAnsi" w:hAnsiTheme="majorHAnsi"/>
          <w:bCs/>
        </w:rPr>
        <w:t xml:space="preserve"> (článok 2 bod 7 smernice č. 3/2015-SR)</w:t>
      </w:r>
      <w:r>
        <w:rPr>
          <w:rFonts w:asciiTheme="majorHAnsi" w:hAnsiTheme="majorHAnsi"/>
          <w:bCs/>
        </w:rPr>
        <w:t>.</w:t>
      </w:r>
      <w:r w:rsidR="00BE308E">
        <w:rPr>
          <w:rFonts w:asciiTheme="majorHAnsi" w:hAnsiTheme="majorHAnsi"/>
          <w:bCs/>
        </w:rPr>
        <w:t xml:space="preserve">                                                                                                      </w:t>
      </w:r>
      <w:r w:rsidR="00C1018F" w:rsidRPr="00BE308E">
        <w:rPr>
          <w:rFonts w:asciiTheme="majorHAnsi" w:hAnsiTheme="majorHAnsi"/>
          <w:bCs/>
          <w:u w:val="single"/>
        </w:rPr>
        <w:t>Zodpovedný: kvestor</w:t>
      </w:r>
    </w:p>
    <w:p w:rsidR="00C1018F" w:rsidRDefault="00C1018F" w:rsidP="00C1018F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</w:rPr>
      </w:pPr>
    </w:p>
    <w:p w:rsidR="00944FE4" w:rsidRDefault="00944FE4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Rozhodnutie rektora o nepotrebnosti nehnuteľnej veci (§ 5 ods. 8 zákona, príloha číslo 1 smernice č. 3/2015-SR)</w:t>
      </w:r>
      <w:r w:rsidR="000F0EDE">
        <w:rPr>
          <w:rFonts w:asciiTheme="majorHAnsi" w:hAnsiTheme="majorHAnsi"/>
          <w:bCs/>
        </w:rPr>
        <w:t>.</w:t>
      </w:r>
    </w:p>
    <w:p w:rsidR="00C1018F" w:rsidRDefault="00C1018F" w:rsidP="00C1018F">
      <w:pPr>
        <w:pStyle w:val="Odsekzoznamu"/>
        <w:spacing w:after="0" w:line="240" w:lineRule="atLeast"/>
        <w:ind w:left="2018" w:firstLine="142"/>
        <w:jc w:val="right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  <w:u w:val="single"/>
        </w:rPr>
        <w:t>Zodpovedný</w:t>
      </w:r>
      <w:r w:rsidR="0072350D">
        <w:rPr>
          <w:rFonts w:asciiTheme="majorHAnsi" w:hAnsiTheme="majorHAnsi"/>
          <w:bCs/>
          <w:u w:val="single"/>
        </w:rPr>
        <w:t>:</w:t>
      </w:r>
      <w:r w:rsidRPr="00C1018F">
        <w:rPr>
          <w:rFonts w:asciiTheme="majorHAnsi" w:hAnsiTheme="majorHAnsi"/>
          <w:bCs/>
          <w:u w:val="single"/>
        </w:rPr>
        <w:t xml:space="preserve"> právny a org</w:t>
      </w:r>
      <w:r>
        <w:rPr>
          <w:rFonts w:asciiTheme="majorHAnsi" w:hAnsiTheme="majorHAnsi"/>
          <w:bCs/>
          <w:u w:val="single"/>
        </w:rPr>
        <w:t>a</w:t>
      </w:r>
      <w:r w:rsidRPr="00C1018F">
        <w:rPr>
          <w:rFonts w:asciiTheme="majorHAnsi" w:hAnsiTheme="majorHAnsi"/>
          <w:bCs/>
          <w:u w:val="single"/>
        </w:rPr>
        <w:t>nizačný útvar</w:t>
      </w:r>
      <w:r>
        <w:rPr>
          <w:rFonts w:asciiTheme="majorHAnsi" w:hAnsiTheme="majorHAnsi"/>
          <w:bCs/>
        </w:rPr>
        <w:t xml:space="preserve"> </w:t>
      </w:r>
    </w:p>
    <w:p w:rsidR="00C1018F" w:rsidRDefault="00C1018F" w:rsidP="00C1018F">
      <w:pPr>
        <w:pStyle w:val="Odsekzoznamu"/>
        <w:spacing w:after="0" w:line="240" w:lineRule="atLeast"/>
        <w:ind w:left="283"/>
        <w:jc w:val="both"/>
        <w:rPr>
          <w:rFonts w:asciiTheme="majorHAnsi" w:hAnsiTheme="majorHAnsi"/>
          <w:bCs/>
        </w:rPr>
      </w:pPr>
    </w:p>
    <w:p w:rsidR="000F0EDE" w:rsidRDefault="000F0EDE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Predloženie návrhu predaja nehnuteľností na predchádzajúci písomný súhlas Akademickému senátu STU (§ 13 ods. 1 písm. c) zákona).</w:t>
      </w:r>
    </w:p>
    <w:p w:rsidR="00C1018F" w:rsidRDefault="00C1018F" w:rsidP="00C1018F">
      <w:pPr>
        <w:pStyle w:val="Odsekzoznamu"/>
        <w:spacing w:after="0" w:line="240" w:lineRule="atLeast"/>
        <w:ind w:left="578"/>
        <w:jc w:val="right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  <w:u w:val="single"/>
        </w:rPr>
        <w:t>Zodpovedný</w:t>
      </w:r>
      <w:r w:rsidR="0072350D">
        <w:rPr>
          <w:rFonts w:asciiTheme="majorHAnsi" w:hAnsiTheme="majorHAnsi"/>
          <w:bCs/>
          <w:u w:val="single"/>
        </w:rPr>
        <w:t>:</w:t>
      </w:r>
      <w:r w:rsidRPr="00C1018F">
        <w:rPr>
          <w:rFonts w:asciiTheme="majorHAnsi" w:hAnsiTheme="majorHAnsi"/>
          <w:bCs/>
          <w:u w:val="single"/>
        </w:rPr>
        <w:t xml:space="preserve"> právny a org</w:t>
      </w:r>
      <w:r>
        <w:rPr>
          <w:rFonts w:asciiTheme="majorHAnsi" w:hAnsiTheme="majorHAnsi"/>
          <w:bCs/>
          <w:u w:val="single"/>
        </w:rPr>
        <w:t>a</w:t>
      </w:r>
      <w:r w:rsidRPr="00C1018F">
        <w:rPr>
          <w:rFonts w:asciiTheme="majorHAnsi" w:hAnsiTheme="majorHAnsi"/>
          <w:bCs/>
          <w:u w:val="single"/>
        </w:rPr>
        <w:t>nizačný útvar</w:t>
      </w:r>
      <w:r>
        <w:rPr>
          <w:rFonts w:asciiTheme="majorHAnsi" w:hAnsiTheme="majorHAnsi"/>
          <w:bCs/>
        </w:rPr>
        <w:t xml:space="preserve"> </w:t>
      </w:r>
    </w:p>
    <w:p w:rsidR="00C1018F" w:rsidRPr="00C1018F" w:rsidRDefault="00C1018F" w:rsidP="00C1018F">
      <w:pPr>
        <w:spacing w:line="240" w:lineRule="atLeast"/>
        <w:jc w:val="both"/>
        <w:rPr>
          <w:rFonts w:asciiTheme="majorHAnsi" w:hAnsiTheme="majorHAnsi"/>
          <w:bCs/>
        </w:rPr>
      </w:pPr>
    </w:p>
    <w:p w:rsidR="00C1018F" w:rsidRDefault="000F0EDE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 w:rsidRPr="000F0EDE">
        <w:rPr>
          <w:rFonts w:asciiTheme="majorHAnsi" w:hAnsiTheme="majorHAnsi"/>
          <w:bCs/>
        </w:rPr>
        <w:t xml:space="preserve">Predloženie návrhu predaja nehnuteľností na predchádzajúci písomný súhlas Správnej rade STU </w:t>
      </w:r>
      <w:r w:rsidR="00F0529A">
        <w:rPr>
          <w:rFonts w:asciiTheme="majorHAnsi" w:hAnsiTheme="majorHAnsi"/>
          <w:bCs/>
        </w:rPr>
        <w:t xml:space="preserve"> (</w:t>
      </w:r>
      <w:r w:rsidRPr="000F0EDE">
        <w:rPr>
          <w:rFonts w:asciiTheme="majorHAnsi" w:hAnsiTheme="majorHAnsi"/>
          <w:bCs/>
        </w:rPr>
        <w:t>§ 41 ods. 1 písm. a) zákona č. 131/2002 Z. z. o vysokých školách (...).</w:t>
      </w:r>
    </w:p>
    <w:p w:rsidR="00C1018F" w:rsidRPr="0072350D" w:rsidRDefault="00C1018F" w:rsidP="00C1018F">
      <w:pPr>
        <w:spacing w:line="240" w:lineRule="atLeast"/>
        <w:ind w:left="218"/>
        <w:jc w:val="right"/>
        <w:rPr>
          <w:rFonts w:asciiTheme="majorHAnsi" w:hAnsiTheme="majorHAnsi"/>
          <w:bCs/>
          <w:sz w:val="22"/>
          <w:szCs w:val="22"/>
          <w:lang w:val="sk-SK"/>
        </w:rPr>
      </w:pPr>
      <w:r w:rsidRPr="0072350D">
        <w:rPr>
          <w:rFonts w:asciiTheme="majorHAnsi" w:hAnsiTheme="majorHAnsi"/>
          <w:bCs/>
          <w:sz w:val="22"/>
          <w:szCs w:val="22"/>
          <w:u w:val="single"/>
          <w:lang w:val="sk-SK"/>
        </w:rPr>
        <w:t>Zodpovedný</w:t>
      </w:r>
      <w:r w:rsidR="0072350D" w:rsidRPr="0072350D">
        <w:rPr>
          <w:rFonts w:asciiTheme="majorHAnsi" w:hAnsiTheme="majorHAnsi"/>
          <w:bCs/>
          <w:sz w:val="22"/>
          <w:szCs w:val="22"/>
          <w:u w:val="single"/>
          <w:lang w:val="sk-SK"/>
        </w:rPr>
        <w:t>:</w:t>
      </w:r>
      <w:r w:rsidRPr="0072350D">
        <w:rPr>
          <w:rFonts w:asciiTheme="majorHAnsi" w:hAnsiTheme="majorHAnsi"/>
          <w:bCs/>
          <w:sz w:val="22"/>
          <w:szCs w:val="22"/>
          <w:u w:val="single"/>
          <w:lang w:val="sk-SK"/>
        </w:rPr>
        <w:t xml:space="preserve"> právny a organizačný útvar</w:t>
      </w:r>
      <w:r w:rsidRPr="0072350D">
        <w:rPr>
          <w:rFonts w:asciiTheme="majorHAnsi" w:hAnsiTheme="majorHAnsi"/>
          <w:bCs/>
          <w:sz w:val="22"/>
          <w:szCs w:val="22"/>
          <w:lang w:val="sk-SK"/>
        </w:rPr>
        <w:t xml:space="preserve"> </w:t>
      </w:r>
    </w:p>
    <w:p w:rsidR="000F0EDE" w:rsidRDefault="000F0EDE" w:rsidP="00C1018F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</w:rPr>
      </w:pPr>
      <w:r w:rsidRPr="000F0EDE">
        <w:rPr>
          <w:rFonts w:asciiTheme="majorHAnsi" w:hAnsiTheme="majorHAnsi"/>
          <w:bCs/>
        </w:rPr>
        <w:t xml:space="preserve">  </w:t>
      </w:r>
    </w:p>
    <w:p w:rsidR="00C1018F" w:rsidRPr="00BE308E" w:rsidRDefault="000F0EDE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</w:rPr>
        <w:t xml:space="preserve">Obchodná verejná súťaž </w:t>
      </w:r>
      <w:r w:rsidR="00BE308E">
        <w:rPr>
          <w:rFonts w:asciiTheme="majorHAnsi" w:hAnsiTheme="majorHAnsi"/>
          <w:bCs/>
        </w:rPr>
        <w:t xml:space="preserve">                                           </w:t>
      </w:r>
      <w:r w:rsidR="00C1018F" w:rsidRPr="00BE308E">
        <w:rPr>
          <w:rFonts w:asciiTheme="majorHAnsi" w:hAnsiTheme="majorHAnsi"/>
          <w:bCs/>
          <w:u w:val="single"/>
        </w:rPr>
        <w:t>Zodpovedný</w:t>
      </w:r>
      <w:r w:rsidR="0072350D" w:rsidRPr="00BE308E">
        <w:rPr>
          <w:rFonts w:asciiTheme="majorHAnsi" w:hAnsiTheme="majorHAnsi"/>
          <w:bCs/>
          <w:u w:val="single"/>
        </w:rPr>
        <w:t>:</w:t>
      </w:r>
      <w:r w:rsidR="00C1018F" w:rsidRPr="00BE308E">
        <w:rPr>
          <w:rFonts w:asciiTheme="majorHAnsi" w:hAnsiTheme="majorHAnsi"/>
          <w:bCs/>
          <w:u w:val="single"/>
        </w:rPr>
        <w:t xml:space="preserve"> právny a organizačný útvar</w:t>
      </w:r>
      <w:r w:rsidR="00C1018F" w:rsidRPr="00BE308E">
        <w:rPr>
          <w:rFonts w:asciiTheme="majorHAnsi" w:hAnsiTheme="majorHAnsi"/>
          <w:bCs/>
        </w:rPr>
        <w:t xml:space="preserve"> </w:t>
      </w:r>
    </w:p>
    <w:p w:rsidR="00C1018F" w:rsidRDefault="00C1018F" w:rsidP="00C1018F">
      <w:pPr>
        <w:pStyle w:val="Odsekzoznamu"/>
        <w:spacing w:after="0" w:line="240" w:lineRule="atLeast"/>
        <w:ind w:left="283"/>
        <w:jc w:val="both"/>
        <w:rPr>
          <w:rFonts w:asciiTheme="majorHAnsi" w:hAnsiTheme="majorHAnsi"/>
          <w:bCs/>
        </w:rPr>
      </w:pPr>
    </w:p>
    <w:p w:rsidR="00C1018F" w:rsidRPr="00BE308E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</w:rPr>
        <w:t>Vyhodnotenie obchodnej verejnej súťaže.</w:t>
      </w:r>
      <w:r w:rsidR="00BE308E">
        <w:rPr>
          <w:rFonts w:asciiTheme="majorHAnsi" w:hAnsiTheme="majorHAnsi"/>
          <w:bCs/>
        </w:rPr>
        <w:t xml:space="preserve">                                                </w:t>
      </w:r>
      <w:r w:rsidR="00C1018F" w:rsidRPr="00BE308E">
        <w:rPr>
          <w:rFonts w:asciiTheme="majorHAnsi" w:hAnsiTheme="majorHAnsi"/>
          <w:bCs/>
          <w:u w:val="single"/>
        </w:rPr>
        <w:t>Zodpovedný: kvestor</w:t>
      </w:r>
    </w:p>
    <w:p w:rsidR="00C1018F" w:rsidRPr="00C1018F" w:rsidRDefault="00C1018F" w:rsidP="00C1018F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</w:rPr>
      </w:pP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Rokovanie s nájomcami (prechod práv a povinností na nového vlastníka nehnuteľností, ukončenie nájomných vzťahov ...)</w:t>
      </w:r>
      <w:r w:rsidR="00C1018F">
        <w:rPr>
          <w:rFonts w:asciiTheme="majorHAnsi" w:hAnsiTheme="majorHAnsi"/>
          <w:bCs/>
        </w:rPr>
        <w:t>, ak existujú</w:t>
      </w:r>
      <w:r>
        <w:rPr>
          <w:rFonts w:asciiTheme="majorHAnsi" w:hAnsiTheme="majorHAnsi"/>
          <w:bCs/>
        </w:rPr>
        <w:t>.</w:t>
      </w:r>
    </w:p>
    <w:p w:rsid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Zodpovední: riaditeľ ÚZ Gabčíkovo STU</w:t>
      </w:r>
    </w:p>
    <w:p w:rsid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právny a organizačný útvar</w:t>
      </w:r>
    </w:p>
    <w:p w:rsidR="00C1018F" w:rsidRPr="00C1018F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 xml:space="preserve"> </w:t>
      </w: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Podpísanie kúpnej zmluvy, zaplatenie kúpnej ceny v deň uzavretia kúpnej zmluvy zložen</w:t>
      </w:r>
      <w:r w:rsidR="00F0529A">
        <w:rPr>
          <w:rFonts w:asciiTheme="majorHAnsi" w:hAnsiTheme="majorHAnsi"/>
          <w:bCs/>
        </w:rPr>
        <w:t xml:space="preserve">ím </w:t>
      </w:r>
      <w:r>
        <w:rPr>
          <w:rFonts w:asciiTheme="majorHAnsi" w:hAnsiTheme="majorHAnsi"/>
          <w:bCs/>
        </w:rPr>
        <w:t>kúpnej ceny do notárskej úschovy</w:t>
      </w:r>
      <w:r w:rsidR="0072350D">
        <w:rPr>
          <w:rFonts w:asciiTheme="majorHAnsi" w:hAnsiTheme="majorHAnsi"/>
          <w:bCs/>
        </w:rPr>
        <w:t>/alternatívne: pripísaním na účet STU</w:t>
      </w:r>
      <w:r>
        <w:rPr>
          <w:rFonts w:asciiTheme="majorHAnsi" w:hAnsiTheme="majorHAnsi"/>
          <w:bCs/>
        </w:rPr>
        <w:t>.</w:t>
      </w:r>
      <w:r w:rsidR="00F0529A">
        <w:rPr>
          <w:rFonts w:asciiTheme="majorHAnsi" w:hAnsiTheme="majorHAnsi"/>
          <w:bCs/>
        </w:rPr>
        <w:t xml:space="preserve"> Zverejnenie kúpnej zmluvy v Centrálnom registri zmlúv. </w:t>
      </w:r>
    </w:p>
    <w:p w:rsid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 w:rsidRPr="0072350D">
        <w:rPr>
          <w:rFonts w:asciiTheme="majorHAnsi" w:hAnsiTheme="majorHAnsi"/>
          <w:bCs/>
          <w:u w:val="single"/>
        </w:rPr>
        <w:t>Zodpovední: kupujúci</w:t>
      </w:r>
    </w:p>
    <w:p w:rsid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právny a organizačný útvar</w:t>
      </w:r>
    </w:p>
    <w:p w:rsidR="0072350D" w:rsidRPr="00BE308E" w:rsidRDefault="0072350D" w:rsidP="00BE308E">
      <w:pPr>
        <w:spacing w:line="240" w:lineRule="atLeast"/>
        <w:jc w:val="both"/>
        <w:rPr>
          <w:rFonts w:asciiTheme="majorHAnsi" w:hAnsiTheme="majorHAnsi"/>
          <w:bCs/>
        </w:rPr>
      </w:pP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Návrh na vklad do príslušného katastra nehnuteľností.</w:t>
      </w:r>
    </w:p>
    <w:p w:rsidR="0072350D" w:rsidRDefault="0072350D" w:rsidP="0072350D">
      <w:pPr>
        <w:pStyle w:val="Odsekzoznamu"/>
        <w:spacing w:after="0" w:line="240" w:lineRule="atLeast"/>
        <w:ind w:left="578"/>
        <w:jc w:val="right"/>
        <w:rPr>
          <w:rFonts w:asciiTheme="majorHAnsi" w:hAnsiTheme="majorHAnsi"/>
          <w:bCs/>
        </w:rPr>
      </w:pPr>
      <w:r w:rsidRPr="00C1018F">
        <w:rPr>
          <w:rFonts w:asciiTheme="majorHAnsi" w:hAnsiTheme="majorHAnsi"/>
          <w:bCs/>
          <w:u w:val="single"/>
        </w:rPr>
        <w:t>Zodpovedný</w:t>
      </w:r>
      <w:r>
        <w:rPr>
          <w:rFonts w:asciiTheme="majorHAnsi" w:hAnsiTheme="majorHAnsi"/>
          <w:bCs/>
          <w:u w:val="single"/>
        </w:rPr>
        <w:t>:</w:t>
      </w:r>
      <w:r w:rsidRPr="00C1018F">
        <w:rPr>
          <w:rFonts w:asciiTheme="majorHAnsi" w:hAnsiTheme="majorHAnsi"/>
          <w:bCs/>
          <w:u w:val="single"/>
        </w:rPr>
        <w:t xml:space="preserve"> právny a org</w:t>
      </w:r>
      <w:r>
        <w:rPr>
          <w:rFonts w:asciiTheme="majorHAnsi" w:hAnsiTheme="majorHAnsi"/>
          <w:bCs/>
          <w:u w:val="single"/>
        </w:rPr>
        <w:t>a</w:t>
      </w:r>
      <w:r w:rsidRPr="00C1018F">
        <w:rPr>
          <w:rFonts w:asciiTheme="majorHAnsi" w:hAnsiTheme="majorHAnsi"/>
          <w:bCs/>
          <w:u w:val="single"/>
        </w:rPr>
        <w:t>nizačný útvar</w:t>
      </w:r>
      <w:r>
        <w:rPr>
          <w:rFonts w:asciiTheme="majorHAnsi" w:hAnsiTheme="majorHAnsi"/>
          <w:bCs/>
        </w:rPr>
        <w:t xml:space="preserve"> </w:t>
      </w:r>
    </w:p>
    <w:p w:rsidR="0072350D" w:rsidRDefault="0072350D" w:rsidP="0072350D">
      <w:pPr>
        <w:pStyle w:val="Odsekzoznamu"/>
        <w:spacing w:after="0" w:line="240" w:lineRule="atLeast"/>
        <w:ind w:left="283"/>
        <w:jc w:val="both"/>
        <w:rPr>
          <w:rFonts w:asciiTheme="majorHAnsi" w:hAnsiTheme="majorHAnsi"/>
          <w:bCs/>
        </w:rPr>
      </w:pP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Protokolárne odovzdanie a prevzatie nehnuteľností.</w:t>
      </w:r>
    </w:p>
    <w:p w:rsidR="0072350D" w:rsidRP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  <w:r w:rsidRPr="0072350D">
        <w:rPr>
          <w:rFonts w:asciiTheme="majorHAnsi" w:hAnsiTheme="majorHAnsi"/>
          <w:bCs/>
          <w:u w:val="single"/>
        </w:rPr>
        <w:t>Zodpovedný: riaditeľ ÚZ Gabčíkovo STU</w:t>
      </w:r>
    </w:p>
    <w:p w:rsidR="0072350D" w:rsidRPr="0072350D" w:rsidRDefault="0072350D" w:rsidP="0072350D">
      <w:pPr>
        <w:pStyle w:val="Odsekzoznamu"/>
        <w:spacing w:after="0" w:line="240" w:lineRule="atLeast"/>
        <w:ind w:left="283"/>
        <w:jc w:val="right"/>
        <w:rPr>
          <w:rFonts w:asciiTheme="majorHAnsi" w:hAnsiTheme="majorHAnsi"/>
          <w:bCs/>
          <w:u w:val="single"/>
        </w:rPr>
      </w:pP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Administratívne zabezpečenie ukončenia právnych vzťahov s dodávateľmi energií pre STU.</w:t>
      </w:r>
    </w:p>
    <w:p w:rsidR="0072350D" w:rsidRPr="0072350D" w:rsidRDefault="0072350D" w:rsidP="0072350D">
      <w:pPr>
        <w:pStyle w:val="Odsekzoznamu"/>
        <w:spacing w:after="0" w:line="240" w:lineRule="atLeast"/>
        <w:ind w:left="578"/>
        <w:jc w:val="right"/>
        <w:rPr>
          <w:rFonts w:asciiTheme="majorHAnsi" w:hAnsiTheme="majorHAnsi"/>
          <w:bCs/>
          <w:u w:val="single"/>
        </w:rPr>
      </w:pPr>
      <w:r w:rsidRPr="0072350D">
        <w:rPr>
          <w:rFonts w:asciiTheme="majorHAnsi" w:hAnsiTheme="majorHAnsi"/>
          <w:bCs/>
          <w:u w:val="single"/>
        </w:rPr>
        <w:t>Zodpovedný: riaditeľ ÚZ Gabčíkovo STU</w:t>
      </w:r>
    </w:p>
    <w:p w:rsidR="0072350D" w:rsidRPr="00BE308E" w:rsidRDefault="0072350D" w:rsidP="00BE308E">
      <w:pPr>
        <w:spacing w:line="240" w:lineRule="atLeast"/>
        <w:jc w:val="both"/>
        <w:rPr>
          <w:rFonts w:asciiTheme="majorHAnsi" w:hAnsiTheme="majorHAnsi"/>
          <w:bCs/>
        </w:rPr>
      </w:pPr>
    </w:p>
    <w:p w:rsidR="00B14627" w:rsidRDefault="00B14627" w:rsidP="002321AF">
      <w:pPr>
        <w:pStyle w:val="Odsekzoznamu"/>
        <w:numPr>
          <w:ilvl w:val="0"/>
          <w:numId w:val="3"/>
        </w:numPr>
        <w:spacing w:after="0" w:line="240" w:lineRule="atLeast"/>
        <w:ind w:left="283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Oznámenie obci týkajúce sa dan</w:t>
      </w:r>
      <w:r w:rsidR="00F0529A">
        <w:rPr>
          <w:rFonts w:asciiTheme="majorHAnsi" w:hAnsiTheme="majorHAnsi"/>
          <w:bCs/>
        </w:rPr>
        <w:t>í</w:t>
      </w:r>
      <w:r>
        <w:rPr>
          <w:rFonts w:asciiTheme="majorHAnsi" w:hAnsiTheme="majorHAnsi"/>
          <w:bCs/>
        </w:rPr>
        <w:t xml:space="preserve"> z nehnuteľností. </w:t>
      </w:r>
    </w:p>
    <w:p w:rsidR="0072350D" w:rsidRPr="006E4DB9" w:rsidRDefault="0072350D" w:rsidP="0072350D">
      <w:pPr>
        <w:spacing w:line="240" w:lineRule="atLeast"/>
        <w:ind w:left="218"/>
        <w:jc w:val="right"/>
        <w:rPr>
          <w:rFonts w:asciiTheme="majorHAnsi" w:hAnsiTheme="majorHAnsi"/>
          <w:bCs/>
          <w:sz w:val="22"/>
          <w:szCs w:val="22"/>
          <w:u w:val="single"/>
          <w:lang w:val="sk-SK"/>
        </w:rPr>
      </w:pPr>
      <w:r w:rsidRPr="006E4DB9">
        <w:rPr>
          <w:rFonts w:asciiTheme="majorHAnsi" w:hAnsiTheme="majorHAnsi"/>
          <w:bCs/>
          <w:sz w:val="22"/>
          <w:szCs w:val="22"/>
          <w:u w:val="single"/>
          <w:lang w:val="sk-SK"/>
        </w:rPr>
        <w:t>Zodpovedný: riaditeľ ÚZ Gabčíkovo STU</w:t>
      </w:r>
    </w:p>
    <w:p w:rsidR="00B14627" w:rsidRDefault="00B14627" w:rsidP="00B14627">
      <w:pPr>
        <w:spacing w:line="240" w:lineRule="atLeast"/>
        <w:jc w:val="both"/>
        <w:rPr>
          <w:rFonts w:asciiTheme="majorHAnsi" w:hAnsiTheme="majorHAnsi"/>
          <w:bCs/>
        </w:rPr>
      </w:pPr>
    </w:p>
    <w:sectPr w:rsidR="00B14627" w:rsidSect="001A0C97">
      <w:headerReference w:type="default" r:id="rId14"/>
      <w:footerReference w:type="default" r:id="rId15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1D" w:rsidRDefault="00EB331D" w:rsidP="0030006A">
      <w:r>
        <w:separator/>
      </w:r>
    </w:p>
  </w:endnote>
  <w:endnote w:type="continuationSeparator" w:id="0">
    <w:p w:rsidR="00EB331D" w:rsidRDefault="00EB331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2492D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1D" w:rsidRDefault="00EB331D" w:rsidP="0030006A">
      <w:r>
        <w:separator/>
      </w:r>
    </w:p>
  </w:footnote>
  <w:footnote w:type="continuationSeparator" w:id="0">
    <w:p w:rsidR="00EB331D" w:rsidRDefault="00EB331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766CD47B" wp14:editId="4820624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192FB" wp14:editId="6C607BB3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6F616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STU, 10. 04. </w:t>
                          </w:r>
                          <w:r w:rsidR="00D437F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5169FD" w:rsidRDefault="000F0ED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Zámer </w:t>
                          </w:r>
                          <w:r w:rsidR="00E2354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predaja nehnuteľností vo vlastníctve </w:t>
                          </w:r>
                          <w:r w:rsidR="005169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E2354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07F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– areál </w:t>
                          </w:r>
                          <w:r w:rsidR="00AE41B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Gabčíkovo </w:t>
                          </w:r>
                          <w:r w:rsidR="005169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F439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</w:t>
                          </w:r>
                          <w:r w:rsidR="00D437F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F439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F61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 w:rsidR="006F61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6F61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6F61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6F61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83C42" w:rsidRDefault="006F616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 STU, 10. 04. </w:t>
                    </w:r>
                    <w:r w:rsidR="00D437F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5169FD" w:rsidRDefault="000F0ED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Zámer </w:t>
                    </w:r>
                    <w:r w:rsidR="00E2354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predaja nehnuteľností vo vlastníctve </w:t>
                    </w:r>
                    <w:r w:rsidR="005169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</w:t>
                    </w:r>
                    <w:r w:rsidR="00E2354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07F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– areál </w:t>
                    </w:r>
                    <w:r w:rsidR="00AE41B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Gabčíkovo </w:t>
                    </w:r>
                    <w:r w:rsidR="005169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F4399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</w:t>
                    </w:r>
                    <w:r w:rsidR="00D437F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F4399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F61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6F61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Redhammer,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C767E09" wp14:editId="78CDEA6B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E56"/>
    <w:multiLevelType w:val="hybridMultilevel"/>
    <w:tmpl w:val="BC50D210"/>
    <w:lvl w:ilvl="0" w:tplc="CEEEF5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87B7D55"/>
    <w:multiLevelType w:val="hybridMultilevel"/>
    <w:tmpl w:val="05086FFA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418B4"/>
    <w:multiLevelType w:val="multilevel"/>
    <w:tmpl w:val="D23CF68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55F3E"/>
    <w:multiLevelType w:val="hybridMultilevel"/>
    <w:tmpl w:val="1402EC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0476B"/>
    <w:multiLevelType w:val="hybridMultilevel"/>
    <w:tmpl w:val="5BF2E1D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633AEE"/>
    <w:multiLevelType w:val="hybridMultilevel"/>
    <w:tmpl w:val="116A5F1A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B9E26E3"/>
    <w:multiLevelType w:val="hybridMultilevel"/>
    <w:tmpl w:val="7CB6F4D0"/>
    <w:lvl w:ilvl="0" w:tplc="4B28C3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C842ACF"/>
    <w:multiLevelType w:val="hybridMultilevel"/>
    <w:tmpl w:val="ECB4371E"/>
    <w:lvl w:ilvl="0" w:tplc="4580B7A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03A7674"/>
    <w:multiLevelType w:val="hybridMultilevel"/>
    <w:tmpl w:val="04AEE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33A16"/>
    <w:multiLevelType w:val="hybridMultilevel"/>
    <w:tmpl w:val="BF80469E"/>
    <w:lvl w:ilvl="0" w:tplc="24A073E6">
      <w:start w:val="4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1" w:hanging="360"/>
      </w:pPr>
    </w:lvl>
    <w:lvl w:ilvl="2" w:tplc="041B001B" w:tentative="1">
      <w:start w:val="1"/>
      <w:numFmt w:val="lowerRoman"/>
      <w:lvlText w:val="%3."/>
      <w:lvlJc w:val="right"/>
      <w:pPr>
        <w:ind w:left="3371" w:hanging="180"/>
      </w:pPr>
    </w:lvl>
    <w:lvl w:ilvl="3" w:tplc="041B000F" w:tentative="1">
      <w:start w:val="1"/>
      <w:numFmt w:val="decimal"/>
      <w:lvlText w:val="%4."/>
      <w:lvlJc w:val="left"/>
      <w:pPr>
        <w:ind w:left="4091" w:hanging="360"/>
      </w:pPr>
    </w:lvl>
    <w:lvl w:ilvl="4" w:tplc="041B0019" w:tentative="1">
      <w:start w:val="1"/>
      <w:numFmt w:val="lowerLetter"/>
      <w:lvlText w:val="%5."/>
      <w:lvlJc w:val="left"/>
      <w:pPr>
        <w:ind w:left="4811" w:hanging="360"/>
      </w:pPr>
    </w:lvl>
    <w:lvl w:ilvl="5" w:tplc="041B001B" w:tentative="1">
      <w:start w:val="1"/>
      <w:numFmt w:val="lowerRoman"/>
      <w:lvlText w:val="%6."/>
      <w:lvlJc w:val="right"/>
      <w:pPr>
        <w:ind w:left="5531" w:hanging="180"/>
      </w:pPr>
    </w:lvl>
    <w:lvl w:ilvl="6" w:tplc="041B000F" w:tentative="1">
      <w:start w:val="1"/>
      <w:numFmt w:val="decimal"/>
      <w:lvlText w:val="%7."/>
      <w:lvlJc w:val="left"/>
      <w:pPr>
        <w:ind w:left="6251" w:hanging="360"/>
      </w:pPr>
    </w:lvl>
    <w:lvl w:ilvl="7" w:tplc="041B0019" w:tentative="1">
      <w:start w:val="1"/>
      <w:numFmt w:val="lowerLetter"/>
      <w:lvlText w:val="%8."/>
      <w:lvlJc w:val="left"/>
      <w:pPr>
        <w:ind w:left="6971" w:hanging="360"/>
      </w:pPr>
    </w:lvl>
    <w:lvl w:ilvl="8" w:tplc="041B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42324A50"/>
    <w:multiLevelType w:val="hybridMultilevel"/>
    <w:tmpl w:val="D5105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4094"/>
    <w:multiLevelType w:val="hybridMultilevel"/>
    <w:tmpl w:val="57E2EF9A"/>
    <w:lvl w:ilvl="0" w:tplc="47C25D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2">
    <w:nsid w:val="5AC44B91"/>
    <w:multiLevelType w:val="hybridMultilevel"/>
    <w:tmpl w:val="F37EB5CC"/>
    <w:lvl w:ilvl="0" w:tplc="9AFE8378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5E883FB5"/>
    <w:multiLevelType w:val="hybridMultilevel"/>
    <w:tmpl w:val="C0B67E70"/>
    <w:lvl w:ilvl="0" w:tplc="CD8E48BC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4">
    <w:nsid w:val="6230264F"/>
    <w:multiLevelType w:val="hybridMultilevel"/>
    <w:tmpl w:val="9F3C6EDC"/>
    <w:lvl w:ilvl="0" w:tplc="55DE9F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6620C4"/>
    <w:multiLevelType w:val="hybridMultilevel"/>
    <w:tmpl w:val="5994D97E"/>
    <w:lvl w:ilvl="0" w:tplc="BF2A367A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5" w:hanging="360"/>
      </w:pPr>
    </w:lvl>
    <w:lvl w:ilvl="2" w:tplc="041B001B" w:tentative="1">
      <w:start w:val="1"/>
      <w:numFmt w:val="lowerRoman"/>
      <w:lvlText w:val="%3."/>
      <w:lvlJc w:val="right"/>
      <w:pPr>
        <w:ind w:left="2015" w:hanging="180"/>
      </w:pPr>
    </w:lvl>
    <w:lvl w:ilvl="3" w:tplc="041B000F" w:tentative="1">
      <w:start w:val="1"/>
      <w:numFmt w:val="decimal"/>
      <w:lvlText w:val="%4."/>
      <w:lvlJc w:val="left"/>
      <w:pPr>
        <w:ind w:left="2735" w:hanging="360"/>
      </w:pPr>
    </w:lvl>
    <w:lvl w:ilvl="4" w:tplc="041B0019" w:tentative="1">
      <w:start w:val="1"/>
      <w:numFmt w:val="lowerLetter"/>
      <w:lvlText w:val="%5."/>
      <w:lvlJc w:val="left"/>
      <w:pPr>
        <w:ind w:left="3455" w:hanging="360"/>
      </w:pPr>
    </w:lvl>
    <w:lvl w:ilvl="5" w:tplc="041B001B" w:tentative="1">
      <w:start w:val="1"/>
      <w:numFmt w:val="lowerRoman"/>
      <w:lvlText w:val="%6."/>
      <w:lvlJc w:val="right"/>
      <w:pPr>
        <w:ind w:left="4175" w:hanging="180"/>
      </w:pPr>
    </w:lvl>
    <w:lvl w:ilvl="6" w:tplc="041B000F" w:tentative="1">
      <w:start w:val="1"/>
      <w:numFmt w:val="decimal"/>
      <w:lvlText w:val="%7."/>
      <w:lvlJc w:val="left"/>
      <w:pPr>
        <w:ind w:left="4895" w:hanging="360"/>
      </w:pPr>
    </w:lvl>
    <w:lvl w:ilvl="7" w:tplc="041B0019" w:tentative="1">
      <w:start w:val="1"/>
      <w:numFmt w:val="lowerLetter"/>
      <w:lvlText w:val="%8."/>
      <w:lvlJc w:val="left"/>
      <w:pPr>
        <w:ind w:left="5615" w:hanging="360"/>
      </w:pPr>
    </w:lvl>
    <w:lvl w:ilvl="8" w:tplc="041B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20281"/>
    <w:rsid w:val="00033BEA"/>
    <w:rsid w:val="000343D7"/>
    <w:rsid w:val="00036F48"/>
    <w:rsid w:val="00040A79"/>
    <w:rsid w:val="00043B1E"/>
    <w:rsid w:val="0006307B"/>
    <w:rsid w:val="00070B9E"/>
    <w:rsid w:val="00080A1F"/>
    <w:rsid w:val="0009293E"/>
    <w:rsid w:val="000A6D3A"/>
    <w:rsid w:val="000C12CF"/>
    <w:rsid w:val="000E6EED"/>
    <w:rsid w:val="000E75A1"/>
    <w:rsid w:val="000F0EDE"/>
    <w:rsid w:val="000F3EE8"/>
    <w:rsid w:val="000F79A1"/>
    <w:rsid w:val="0012074B"/>
    <w:rsid w:val="00120C86"/>
    <w:rsid w:val="0012316A"/>
    <w:rsid w:val="001234F7"/>
    <w:rsid w:val="0012492D"/>
    <w:rsid w:val="00124A7C"/>
    <w:rsid w:val="001353B9"/>
    <w:rsid w:val="00160F38"/>
    <w:rsid w:val="0016560D"/>
    <w:rsid w:val="001657CF"/>
    <w:rsid w:val="00174735"/>
    <w:rsid w:val="00177481"/>
    <w:rsid w:val="00186999"/>
    <w:rsid w:val="001879B5"/>
    <w:rsid w:val="001A0C97"/>
    <w:rsid w:val="001A5B63"/>
    <w:rsid w:val="001C2A15"/>
    <w:rsid w:val="001C6CA3"/>
    <w:rsid w:val="001D1012"/>
    <w:rsid w:val="001D1079"/>
    <w:rsid w:val="001D5227"/>
    <w:rsid w:val="001E0586"/>
    <w:rsid w:val="001E4C56"/>
    <w:rsid w:val="001F0DC0"/>
    <w:rsid w:val="001F55E9"/>
    <w:rsid w:val="0020522D"/>
    <w:rsid w:val="00206FB7"/>
    <w:rsid w:val="00214A5E"/>
    <w:rsid w:val="00224C5A"/>
    <w:rsid w:val="002321AF"/>
    <w:rsid w:val="002323C0"/>
    <w:rsid w:val="00242520"/>
    <w:rsid w:val="00244EB4"/>
    <w:rsid w:val="00246CCA"/>
    <w:rsid w:val="002628F2"/>
    <w:rsid w:val="0026567C"/>
    <w:rsid w:val="002659E5"/>
    <w:rsid w:val="00274482"/>
    <w:rsid w:val="002958F8"/>
    <w:rsid w:val="002B0E19"/>
    <w:rsid w:val="002B490F"/>
    <w:rsid w:val="002D0DEC"/>
    <w:rsid w:val="002D4FCD"/>
    <w:rsid w:val="002E3CF0"/>
    <w:rsid w:val="002E58D1"/>
    <w:rsid w:val="0030006A"/>
    <w:rsid w:val="00321D86"/>
    <w:rsid w:val="0032493D"/>
    <w:rsid w:val="003515D7"/>
    <w:rsid w:val="00354880"/>
    <w:rsid w:val="00360EA7"/>
    <w:rsid w:val="00370677"/>
    <w:rsid w:val="0037718C"/>
    <w:rsid w:val="0038239D"/>
    <w:rsid w:val="00385C90"/>
    <w:rsid w:val="003869A7"/>
    <w:rsid w:val="00387764"/>
    <w:rsid w:val="00387EAF"/>
    <w:rsid w:val="00391B41"/>
    <w:rsid w:val="00393693"/>
    <w:rsid w:val="003A79CE"/>
    <w:rsid w:val="003D067B"/>
    <w:rsid w:val="003D131D"/>
    <w:rsid w:val="003E6EBA"/>
    <w:rsid w:val="003F037C"/>
    <w:rsid w:val="003F23A9"/>
    <w:rsid w:val="0041580C"/>
    <w:rsid w:val="004172DC"/>
    <w:rsid w:val="00422B64"/>
    <w:rsid w:val="00425C09"/>
    <w:rsid w:val="004311D4"/>
    <w:rsid w:val="0043175E"/>
    <w:rsid w:val="00433B79"/>
    <w:rsid w:val="00434D9C"/>
    <w:rsid w:val="004443C6"/>
    <w:rsid w:val="00451894"/>
    <w:rsid w:val="00454036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A7D08"/>
    <w:rsid w:val="004B000F"/>
    <w:rsid w:val="004B22A1"/>
    <w:rsid w:val="004B356C"/>
    <w:rsid w:val="004C2CB5"/>
    <w:rsid w:val="004E12DC"/>
    <w:rsid w:val="004E261A"/>
    <w:rsid w:val="004E5427"/>
    <w:rsid w:val="004F4E93"/>
    <w:rsid w:val="00501F03"/>
    <w:rsid w:val="0050759C"/>
    <w:rsid w:val="00512F8A"/>
    <w:rsid w:val="005169FD"/>
    <w:rsid w:val="00516F8C"/>
    <w:rsid w:val="00520AC6"/>
    <w:rsid w:val="005248FA"/>
    <w:rsid w:val="005279E6"/>
    <w:rsid w:val="00546A05"/>
    <w:rsid w:val="00552A42"/>
    <w:rsid w:val="00565F02"/>
    <w:rsid w:val="0058077B"/>
    <w:rsid w:val="00587603"/>
    <w:rsid w:val="00592CF5"/>
    <w:rsid w:val="00595DBE"/>
    <w:rsid w:val="005A0384"/>
    <w:rsid w:val="005A1790"/>
    <w:rsid w:val="005B124C"/>
    <w:rsid w:val="005B1F1F"/>
    <w:rsid w:val="005B31E8"/>
    <w:rsid w:val="005B7DCA"/>
    <w:rsid w:val="005C3AD3"/>
    <w:rsid w:val="005E3EEA"/>
    <w:rsid w:val="005F4987"/>
    <w:rsid w:val="005F546F"/>
    <w:rsid w:val="005F59EC"/>
    <w:rsid w:val="005F603E"/>
    <w:rsid w:val="00610A86"/>
    <w:rsid w:val="0061168E"/>
    <w:rsid w:val="00623D29"/>
    <w:rsid w:val="00625B5C"/>
    <w:rsid w:val="00627193"/>
    <w:rsid w:val="006338E7"/>
    <w:rsid w:val="006430BA"/>
    <w:rsid w:val="00644FC6"/>
    <w:rsid w:val="0064534F"/>
    <w:rsid w:val="006659CD"/>
    <w:rsid w:val="00665A1C"/>
    <w:rsid w:val="00682501"/>
    <w:rsid w:val="006849B7"/>
    <w:rsid w:val="0069756A"/>
    <w:rsid w:val="006A2B37"/>
    <w:rsid w:val="006A4653"/>
    <w:rsid w:val="006A6416"/>
    <w:rsid w:val="006A65EA"/>
    <w:rsid w:val="006D279A"/>
    <w:rsid w:val="006D6A05"/>
    <w:rsid w:val="006E3A05"/>
    <w:rsid w:val="006E4DB9"/>
    <w:rsid w:val="006F2B97"/>
    <w:rsid w:val="006F4AFD"/>
    <w:rsid w:val="006F613B"/>
    <w:rsid w:val="006F6160"/>
    <w:rsid w:val="007000C1"/>
    <w:rsid w:val="0070150D"/>
    <w:rsid w:val="0072350D"/>
    <w:rsid w:val="00726B48"/>
    <w:rsid w:val="007349F8"/>
    <w:rsid w:val="00734DCC"/>
    <w:rsid w:val="0073606B"/>
    <w:rsid w:val="007474BB"/>
    <w:rsid w:val="007573EB"/>
    <w:rsid w:val="007609D9"/>
    <w:rsid w:val="00774D8A"/>
    <w:rsid w:val="00787002"/>
    <w:rsid w:val="007A0307"/>
    <w:rsid w:val="007A2655"/>
    <w:rsid w:val="007B2B53"/>
    <w:rsid w:val="007D1479"/>
    <w:rsid w:val="007D5B38"/>
    <w:rsid w:val="007E49AD"/>
    <w:rsid w:val="007E49E3"/>
    <w:rsid w:val="007F5771"/>
    <w:rsid w:val="007F6286"/>
    <w:rsid w:val="00802801"/>
    <w:rsid w:val="00804406"/>
    <w:rsid w:val="00827CB5"/>
    <w:rsid w:val="00835A13"/>
    <w:rsid w:val="00835E8A"/>
    <w:rsid w:val="00837207"/>
    <w:rsid w:val="00842CEC"/>
    <w:rsid w:val="00864442"/>
    <w:rsid w:val="00874CC3"/>
    <w:rsid w:val="008864AE"/>
    <w:rsid w:val="008870A4"/>
    <w:rsid w:val="00892A17"/>
    <w:rsid w:val="00895850"/>
    <w:rsid w:val="008B7003"/>
    <w:rsid w:val="008E31E0"/>
    <w:rsid w:val="008E3FB9"/>
    <w:rsid w:val="008E79A7"/>
    <w:rsid w:val="008F0F93"/>
    <w:rsid w:val="008F1046"/>
    <w:rsid w:val="008F60F3"/>
    <w:rsid w:val="00904A1A"/>
    <w:rsid w:val="00907FDB"/>
    <w:rsid w:val="00927B5B"/>
    <w:rsid w:val="009413BF"/>
    <w:rsid w:val="00944FE4"/>
    <w:rsid w:val="009466EC"/>
    <w:rsid w:val="00961B42"/>
    <w:rsid w:val="0096605A"/>
    <w:rsid w:val="009667A6"/>
    <w:rsid w:val="00976159"/>
    <w:rsid w:val="009778B7"/>
    <w:rsid w:val="00983C78"/>
    <w:rsid w:val="0099242C"/>
    <w:rsid w:val="009962EC"/>
    <w:rsid w:val="00997058"/>
    <w:rsid w:val="009A2DAB"/>
    <w:rsid w:val="009A34D6"/>
    <w:rsid w:val="009B13A6"/>
    <w:rsid w:val="009C0584"/>
    <w:rsid w:val="009C42A3"/>
    <w:rsid w:val="009C5A4F"/>
    <w:rsid w:val="009E0399"/>
    <w:rsid w:val="009E1D33"/>
    <w:rsid w:val="009F61CA"/>
    <w:rsid w:val="00A00F2C"/>
    <w:rsid w:val="00A03D64"/>
    <w:rsid w:val="00A04656"/>
    <w:rsid w:val="00A06C49"/>
    <w:rsid w:val="00A11A31"/>
    <w:rsid w:val="00A11C42"/>
    <w:rsid w:val="00A20866"/>
    <w:rsid w:val="00A22B18"/>
    <w:rsid w:val="00A33225"/>
    <w:rsid w:val="00A42603"/>
    <w:rsid w:val="00A5310A"/>
    <w:rsid w:val="00A73100"/>
    <w:rsid w:val="00A7717E"/>
    <w:rsid w:val="00AA5FA6"/>
    <w:rsid w:val="00AB495A"/>
    <w:rsid w:val="00AC08D9"/>
    <w:rsid w:val="00AC4F8A"/>
    <w:rsid w:val="00AC640C"/>
    <w:rsid w:val="00AE41BF"/>
    <w:rsid w:val="00AE545A"/>
    <w:rsid w:val="00AF34FB"/>
    <w:rsid w:val="00AF4F0B"/>
    <w:rsid w:val="00AF7046"/>
    <w:rsid w:val="00AF749E"/>
    <w:rsid w:val="00B11B42"/>
    <w:rsid w:val="00B14627"/>
    <w:rsid w:val="00B16A44"/>
    <w:rsid w:val="00B224BE"/>
    <w:rsid w:val="00B25498"/>
    <w:rsid w:val="00B30097"/>
    <w:rsid w:val="00B34A1C"/>
    <w:rsid w:val="00B41FB1"/>
    <w:rsid w:val="00B63307"/>
    <w:rsid w:val="00B659B0"/>
    <w:rsid w:val="00B66DED"/>
    <w:rsid w:val="00B706B0"/>
    <w:rsid w:val="00B74BAE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B395F"/>
    <w:rsid w:val="00BC3BD7"/>
    <w:rsid w:val="00BC7A0B"/>
    <w:rsid w:val="00BE308E"/>
    <w:rsid w:val="00BE683C"/>
    <w:rsid w:val="00BF181C"/>
    <w:rsid w:val="00BF1886"/>
    <w:rsid w:val="00BF3510"/>
    <w:rsid w:val="00BF72EE"/>
    <w:rsid w:val="00C07CC7"/>
    <w:rsid w:val="00C1018F"/>
    <w:rsid w:val="00C127AC"/>
    <w:rsid w:val="00C15155"/>
    <w:rsid w:val="00C2794E"/>
    <w:rsid w:val="00C44DAA"/>
    <w:rsid w:val="00C52FC4"/>
    <w:rsid w:val="00C80AE1"/>
    <w:rsid w:val="00C819BF"/>
    <w:rsid w:val="00C822A4"/>
    <w:rsid w:val="00C85A5D"/>
    <w:rsid w:val="00C975A4"/>
    <w:rsid w:val="00CB2C98"/>
    <w:rsid w:val="00CC02E4"/>
    <w:rsid w:val="00CC2A80"/>
    <w:rsid w:val="00CC520F"/>
    <w:rsid w:val="00CC579A"/>
    <w:rsid w:val="00CD3F1A"/>
    <w:rsid w:val="00CD4CED"/>
    <w:rsid w:val="00CE6990"/>
    <w:rsid w:val="00CF1B8F"/>
    <w:rsid w:val="00CF7C2D"/>
    <w:rsid w:val="00D0198A"/>
    <w:rsid w:val="00D05BFB"/>
    <w:rsid w:val="00D15CA2"/>
    <w:rsid w:val="00D27B2D"/>
    <w:rsid w:val="00D3392D"/>
    <w:rsid w:val="00D34342"/>
    <w:rsid w:val="00D36BF6"/>
    <w:rsid w:val="00D437F0"/>
    <w:rsid w:val="00D50949"/>
    <w:rsid w:val="00D55202"/>
    <w:rsid w:val="00D55AB3"/>
    <w:rsid w:val="00D746E5"/>
    <w:rsid w:val="00D80C23"/>
    <w:rsid w:val="00D83C42"/>
    <w:rsid w:val="00D916C9"/>
    <w:rsid w:val="00DA3820"/>
    <w:rsid w:val="00DB0C2E"/>
    <w:rsid w:val="00DB4503"/>
    <w:rsid w:val="00DB6960"/>
    <w:rsid w:val="00DD0DA7"/>
    <w:rsid w:val="00DD154B"/>
    <w:rsid w:val="00E008E6"/>
    <w:rsid w:val="00E0422A"/>
    <w:rsid w:val="00E163AB"/>
    <w:rsid w:val="00E17FE6"/>
    <w:rsid w:val="00E23544"/>
    <w:rsid w:val="00E23859"/>
    <w:rsid w:val="00E2688F"/>
    <w:rsid w:val="00E35A85"/>
    <w:rsid w:val="00E35B46"/>
    <w:rsid w:val="00E5057B"/>
    <w:rsid w:val="00E72988"/>
    <w:rsid w:val="00E72F51"/>
    <w:rsid w:val="00EA7C07"/>
    <w:rsid w:val="00EB0E67"/>
    <w:rsid w:val="00EB331D"/>
    <w:rsid w:val="00EC0EC9"/>
    <w:rsid w:val="00EC260C"/>
    <w:rsid w:val="00ED00CD"/>
    <w:rsid w:val="00ED4504"/>
    <w:rsid w:val="00ED6887"/>
    <w:rsid w:val="00ED6EE1"/>
    <w:rsid w:val="00EE03EB"/>
    <w:rsid w:val="00EE4974"/>
    <w:rsid w:val="00EE4F8C"/>
    <w:rsid w:val="00F0529A"/>
    <w:rsid w:val="00F05E8D"/>
    <w:rsid w:val="00F10CAB"/>
    <w:rsid w:val="00F1182E"/>
    <w:rsid w:val="00F24DC7"/>
    <w:rsid w:val="00F2534F"/>
    <w:rsid w:val="00F25923"/>
    <w:rsid w:val="00F43991"/>
    <w:rsid w:val="00F56006"/>
    <w:rsid w:val="00F56337"/>
    <w:rsid w:val="00F62A1D"/>
    <w:rsid w:val="00F72759"/>
    <w:rsid w:val="00F75C03"/>
    <w:rsid w:val="00F84035"/>
    <w:rsid w:val="00F84775"/>
    <w:rsid w:val="00FA5AD7"/>
    <w:rsid w:val="00FA6F1C"/>
    <w:rsid w:val="00FD0C81"/>
    <w:rsid w:val="00FE7B4E"/>
    <w:rsid w:val="00FF0AE7"/>
    <w:rsid w:val="00FF226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28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paragraph" w:customStyle="1" w:styleId="OPBod">
    <w:name w:val="OPBod"/>
    <w:basedOn w:val="Normlny"/>
    <w:rsid w:val="00802801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802801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2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354880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4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49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28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paragraph" w:customStyle="1" w:styleId="OPBod">
    <w:name w:val="OPBod"/>
    <w:basedOn w:val="Normlny"/>
    <w:rsid w:val="00802801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802801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2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354880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4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4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092C4-D06B-425F-B6AA-FAFB995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2015-06-18T14:48:00Z</cp:lastPrinted>
  <dcterms:created xsi:type="dcterms:W3CDTF">2017-04-05T12:40:00Z</dcterms:created>
  <dcterms:modified xsi:type="dcterms:W3CDTF">2017-04-05T12:40:00Z</dcterms:modified>
</cp:coreProperties>
</file>