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FA" w:rsidRPr="00E207FB" w:rsidRDefault="00EA11FA" w:rsidP="004C24C8">
      <w:pPr>
        <w:tabs>
          <w:tab w:val="left" w:pos="0"/>
        </w:tabs>
        <w:spacing w:line="360" w:lineRule="auto"/>
        <w:ind w:right="8"/>
        <w:rPr>
          <w:rFonts w:cstheme="minorHAnsi"/>
          <w:b/>
          <w:color w:val="000000" w:themeColor="text1"/>
          <w:lang w:val="sk-SK"/>
        </w:rPr>
      </w:pPr>
      <w:bookmarkStart w:id="0" w:name="_GoBack"/>
      <w:bookmarkEnd w:id="0"/>
    </w:p>
    <w:p w:rsidR="00EA11FA" w:rsidRPr="00E207FB" w:rsidRDefault="00EA11FA" w:rsidP="004C24C8">
      <w:pPr>
        <w:tabs>
          <w:tab w:val="left" w:pos="0"/>
        </w:tabs>
        <w:spacing w:line="600" w:lineRule="exact"/>
        <w:ind w:right="8"/>
        <w:rPr>
          <w:rFonts w:cstheme="minorHAnsi"/>
          <w:b/>
          <w:color w:val="000000" w:themeColor="text1"/>
          <w:lang w:val="sk-SK"/>
        </w:rPr>
      </w:pPr>
    </w:p>
    <w:p w:rsidR="00EA11FA" w:rsidRPr="00E207FB" w:rsidRDefault="00EA11FA" w:rsidP="00EA11FA">
      <w:pPr>
        <w:ind w:left="-993" w:firstLine="851"/>
        <w:rPr>
          <w:lang w:val="sk-SK"/>
        </w:rPr>
      </w:pPr>
    </w:p>
    <w:p w:rsidR="00EA11FA" w:rsidRPr="00E207FB" w:rsidRDefault="00EA11FA" w:rsidP="00EA11FA">
      <w:pPr>
        <w:ind w:left="-993" w:firstLine="851"/>
        <w:rPr>
          <w:lang w:val="sk-SK"/>
        </w:rPr>
      </w:pPr>
    </w:p>
    <w:p w:rsidR="00EA11FA" w:rsidRPr="00EA11FA" w:rsidRDefault="00660937" w:rsidP="00EA11FA">
      <w:pPr>
        <w:ind w:left="-993" w:firstLine="851"/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color w:val="262626" w:themeColor="text1" w:themeTint="D9"/>
          <w:sz w:val="40"/>
          <w:szCs w:val="40"/>
          <w:lang w:val="sk-SK"/>
        </w:rPr>
        <w:t>Akademický senát STU</w:t>
      </w:r>
    </w:p>
    <w:p w:rsidR="00EA11FA" w:rsidRPr="00986229" w:rsidRDefault="00660937" w:rsidP="00986229">
      <w:pPr>
        <w:ind w:left="-142"/>
        <w:rPr>
          <w:rFonts w:ascii="Calibri" w:hAnsi="Calibri"/>
          <w:color w:val="262626" w:themeColor="text1" w:themeTint="D9"/>
          <w:sz w:val="40"/>
          <w:szCs w:val="40"/>
        </w:rPr>
      </w:pPr>
      <w:r>
        <w:rPr>
          <w:rFonts w:ascii="Calibri" w:hAnsi="Calibri"/>
          <w:color w:val="262626" w:themeColor="text1" w:themeTint="D9"/>
          <w:sz w:val="40"/>
          <w:szCs w:val="40"/>
        </w:rPr>
        <w:t>13</w:t>
      </w:r>
      <w:r w:rsidR="00986229">
        <w:rPr>
          <w:rFonts w:ascii="Calibri" w:hAnsi="Calibri"/>
          <w:color w:val="262626" w:themeColor="text1" w:themeTint="D9"/>
          <w:sz w:val="40"/>
          <w:szCs w:val="40"/>
        </w:rPr>
        <w:t>.</w:t>
      </w:r>
      <w:r w:rsidR="003308F9">
        <w:rPr>
          <w:rFonts w:ascii="Calibri" w:hAnsi="Calibri"/>
          <w:color w:val="262626" w:themeColor="text1" w:themeTint="D9"/>
          <w:sz w:val="40"/>
          <w:szCs w:val="40"/>
        </w:rPr>
        <w:t xml:space="preserve"> </w:t>
      </w:r>
      <w:r>
        <w:rPr>
          <w:rFonts w:ascii="Calibri" w:hAnsi="Calibri"/>
          <w:color w:val="262626" w:themeColor="text1" w:themeTint="D9"/>
          <w:sz w:val="40"/>
          <w:szCs w:val="40"/>
        </w:rPr>
        <w:t>03</w:t>
      </w:r>
      <w:r w:rsidR="001F42DB" w:rsidRPr="00986229">
        <w:rPr>
          <w:rFonts w:ascii="Calibri" w:hAnsi="Calibri"/>
          <w:color w:val="262626" w:themeColor="text1" w:themeTint="D9"/>
          <w:sz w:val="40"/>
          <w:szCs w:val="40"/>
        </w:rPr>
        <w:t>. 2017</w:t>
      </w:r>
    </w:p>
    <w:p w:rsidR="00EA11FA" w:rsidRPr="00EA11FA" w:rsidRDefault="00EA11FA" w:rsidP="00EA11FA">
      <w:pPr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</w:p>
    <w:p w:rsidR="00EA11FA" w:rsidRPr="00EA11FA" w:rsidRDefault="00EA11FA" w:rsidP="00EA11FA">
      <w:pPr>
        <w:ind w:left="-142" w:right="644"/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</w:pPr>
      <w:r w:rsidRPr="00EA11FA"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Návrh</w:t>
      </w:r>
    </w:p>
    <w:p w:rsidR="00EA11FA" w:rsidRDefault="001F42DB" w:rsidP="00EA11FA">
      <w:pPr>
        <w:ind w:left="-142" w:right="644"/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 xml:space="preserve">vnútorného predpisu </w:t>
      </w:r>
    </w:p>
    <w:p w:rsidR="00BA248E" w:rsidRDefault="001F42DB" w:rsidP="00EA11FA">
      <w:pPr>
        <w:ind w:left="-142" w:right="644"/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 xml:space="preserve">Pravidlá vkladania </w:t>
      </w:r>
      <w:r w:rsidR="00BA248E"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 xml:space="preserve">peňažných vkladov </w:t>
      </w:r>
    </w:p>
    <w:p w:rsidR="00EA11FA" w:rsidRPr="00EA11FA" w:rsidRDefault="00BA248E" w:rsidP="00EA11FA">
      <w:pPr>
        <w:ind w:left="-142" w:right="644"/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 xml:space="preserve">alebo nepeňažných vkladov </w:t>
      </w:r>
      <w:r w:rsidR="001F42DB"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 xml:space="preserve"> </w:t>
      </w:r>
    </w:p>
    <w:p w:rsidR="00EA11FA" w:rsidRDefault="00EA11FA" w:rsidP="00EA11FA">
      <w:pPr>
        <w:tabs>
          <w:tab w:val="bar" w:pos="-2520"/>
          <w:tab w:val="left" w:pos="-142"/>
          <w:tab w:val="left" w:pos="1980"/>
          <w:tab w:val="left" w:pos="3960"/>
          <w:tab w:val="left" w:pos="5940"/>
          <w:tab w:val="left" w:pos="8280"/>
        </w:tabs>
        <w:spacing w:line="240" w:lineRule="atLeast"/>
        <w:ind w:left="-142"/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</w:pPr>
      <w:r w:rsidRPr="00EA11FA"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  <w:t>Slovenskej technickej univerzity v</w:t>
      </w:r>
      <w:r w:rsidR="001F42DB"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  <w:t> </w:t>
      </w:r>
      <w:r w:rsidRPr="00EA11FA"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  <w:t>Bratislave</w:t>
      </w:r>
    </w:p>
    <w:p w:rsidR="00EA11FA" w:rsidRDefault="001F42DB" w:rsidP="001F42DB">
      <w:pPr>
        <w:tabs>
          <w:tab w:val="bar" w:pos="-2520"/>
          <w:tab w:val="left" w:pos="-142"/>
          <w:tab w:val="left" w:pos="1980"/>
          <w:tab w:val="left" w:pos="3960"/>
          <w:tab w:val="left" w:pos="5940"/>
          <w:tab w:val="left" w:pos="8280"/>
        </w:tabs>
        <w:spacing w:line="240" w:lineRule="atLeast"/>
        <w:ind w:left="-142"/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  <w:t>do iných právnických osôb</w:t>
      </w:r>
    </w:p>
    <w:p w:rsidR="00EA11FA" w:rsidRPr="00EA11FA" w:rsidRDefault="00EA11FA" w:rsidP="001F42DB">
      <w:pPr>
        <w:tabs>
          <w:tab w:val="bar" w:pos="-2520"/>
          <w:tab w:val="left" w:pos="-142"/>
          <w:tab w:val="left" w:pos="1980"/>
          <w:tab w:val="left" w:pos="3960"/>
          <w:tab w:val="left" w:pos="5940"/>
          <w:tab w:val="left" w:pos="8280"/>
        </w:tabs>
        <w:spacing w:line="240" w:lineRule="atLeast"/>
        <w:ind w:left="-142"/>
        <w:rPr>
          <w:rFonts w:ascii="Calibri" w:hAnsi="Calibri"/>
          <w:b/>
          <w:color w:val="262626" w:themeColor="text1" w:themeTint="D9"/>
          <w:lang w:val="sk-SK"/>
        </w:rPr>
      </w:pPr>
    </w:p>
    <w:p w:rsidR="00EA11FA" w:rsidRPr="00EA11FA" w:rsidRDefault="00EA11FA" w:rsidP="00EA11FA">
      <w:pPr>
        <w:tabs>
          <w:tab w:val="left" w:pos="1985"/>
        </w:tabs>
        <w:ind w:left="1985" w:right="21" w:hanging="2115"/>
        <w:rPr>
          <w:rFonts w:ascii="Calibri" w:hAnsi="Calibri"/>
          <w:b/>
          <w:i/>
          <w:color w:val="FF0000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Predkladá: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="00660937" w:rsidRPr="00660937">
        <w:rPr>
          <w:rFonts w:ascii="Calibri" w:hAnsi="Calibri"/>
          <w:b/>
          <w:color w:val="262626" w:themeColor="text1" w:themeTint="D9"/>
          <w:lang w:val="sk-SK"/>
        </w:rPr>
        <w:t>prof.</w:t>
      </w:r>
      <w:r w:rsidR="00660937">
        <w:rPr>
          <w:rFonts w:ascii="Calibri" w:hAnsi="Calibri"/>
          <w:color w:val="262626" w:themeColor="text1" w:themeTint="D9"/>
          <w:lang w:val="sk-SK"/>
        </w:rPr>
        <w:t xml:space="preserve"> </w:t>
      </w:r>
      <w:r w:rsidR="00660937">
        <w:rPr>
          <w:rFonts w:ascii="Calibri" w:hAnsi="Calibri"/>
          <w:b/>
          <w:color w:val="262626" w:themeColor="text1" w:themeTint="D9"/>
          <w:lang w:val="sk-SK"/>
        </w:rPr>
        <w:t>Ing. Robert Redhammer</w:t>
      </w:r>
      <w:r w:rsidR="004C24C8">
        <w:rPr>
          <w:rFonts w:ascii="Calibri" w:hAnsi="Calibri"/>
          <w:b/>
          <w:color w:val="262626" w:themeColor="text1" w:themeTint="D9"/>
          <w:lang w:val="sk-SK"/>
        </w:rPr>
        <w:t>, PhD.</w:t>
      </w:r>
    </w:p>
    <w:p w:rsidR="00EA11FA" w:rsidRDefault="00660937" w:rsidP="004C24C8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ab/>
        <w:t>rektor</w:t>
      </w:r>
    </w:p>
    <w:p w:rsidR="004C24C8" w:rsidRPr="00EA11FA" w:rsidRDefault="004C24C8" w:rsidP="004C24C8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EA11FA" w:rsidRPr="00EA11FA" w:rsidRDefault="004C24C8" w:rsidP="00EA11FA">
      <w:pPr>
        <w:tabs>
          <w:tab w:val="left" w:pos="1985"/>
        </w:tabs>
        <w:ind w:left="1985" w:right="644" w:hanging="2115"/>
        <w:rPr>
          <w:rFonts w:ascii="Calibri" w:hAnsi="Calibri"/>
          <w:b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Vypracoval</w:t>
      </w:r>
      <w:r w:rsidR="001F42DB">
        <w:rPr>
          <w:rFonts w:ascii="Calibri" w:hAnsi="Calibri"/>
          <w:color w:val="262626" w:themeColor="text1" w:themeTint="D9"/>
          <w:lang w:val="sk-SK"/>
        </w:rPr>
        <w:t>a</w:t>
      </w:r>
      <w:r>
        <w:rPr>
          <w:rFonts w:ascii="Calibri" w:hAnsi="Calibri"/>
          <w:color w:val="262626" w:themeColor="text1" w:themeTint="D9"/>
          <w:lang w:val="sk-SK"/>
        </w:rPr>
        <w:t>:</w:t>
      </w:r>
      <w:r w:rsidR="00EA11FA" w:rsidRPr="00EA11FA">
        <w:rPr>
          <w:rFonts w:ascii="Calibri" w:hAnsi="Calibri"/>
          <w:color w:val="262626" w:themeColor="text1" w:themeTint="D9"/>
          <w:lang w:val="sk-SK"/>
        </w:rPr>
        <w:tab/>
      </w:r>
      <w:r w:rsidR="00EA11FA" w:rsidRPr="00EA11FA">
        <w:rPr>
          <w:rFonts w:ascii="Calibri" w:hAnsi="Calibri"/>
          <w:b/>
          <w:color w:val="262626" w:themeColor="text1" w:themeTint="D9"/>
          <w:lang w:val="sk-SK"/>
        </w:rPr>
        <w:t>JUDr. Marcela Haladejová</w:t>
      </w:r>
    </w:p>
    <w:p w:rsidR="00EA11FA" w:rsidRPr="00EA11FA" w:rsidRDefault="00EA11FA" w:rsidP="00EA11FA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ab/>
        <w:t>právny a organizačný útvar</w:t>
      </w:r>
    </w:p>
    <w:p w:rsidR="00EA11FA" w:rsidRPr="00EA11FA" w:rsidRDefault="00EA11FA" w:rsidP="00EA11FA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</w:p>
    <w:p w:rsidR="00EA11FA" w:rsidRDefault="00EA11FA" w:rsidP="004C24C8">
      <w:pPr>
        <w:tabs>
          <w:tab w:val="left" w:pos="1985"/>
        </w:tabs>
        <w:ind w:left="1973" w:right="644" w:hanging="2115"/>
        <w:jc w:val="both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Zdôvodnenie: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="001F42DB">
        <w:rPr>
          <w:rFonts w:ascii="Calibri" w:hAnsi="Calibri"/>
          <w:color w:val="262626" w:themeColor="text1" w:themeTint="D9"/>
          <w:lang w:val="sk-SK"/>
        </w:rPr>
        <w:t xml:space="preserve">Aktualizácia pravidiel pre vkladanie </w:t>
      </w:r>
      <w:r w:rsidR="00BA248E">
        <w:rPr>
          <w:rFonts w:ascii="Calibri" w:hAnsi="Calibri"/>
          <w:color w:val="262626" w:themeColor="text1" w:themeTint="D9"/>
          <w:lang w:val="sk-SK"/>
        </w:rPr>
        <w:t xml:space="preserve">peňažných vkladov alebo nepeňažných vkladov </w:t>
      </w:r>
      <w:r w:rsidR="001F42DB">
        <w:rPr>
          <w:rFonts w:ascii="Calibri" w:hAnsi="Calibri"/>
          <w:color w:val="262626" w:themeColor="text1" w:themeTint="D9"/>
          <w:lang w:val="sk-SK"/>
        </w:rPr>
        <w:t>Slovenskej technickej univerzity v Bratislave do iných právnických osôb.</w:t>
      </w:r>
    </w:p>
    <w:p w:rsidR="00EA11FA" w:rsidRPr="00EA11FA" w:rsidRDefault="00EA11FA" w:rsidP="00EA11FA">
      <w:pPr>
        <w:tabs>
          <w:tab w:val="left" w:pos="1985"/>
        </w:tabs>
        <w:ind w:left="1973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EA11FA" w:rsidRPr="00EA11FA" w:rsidRDefault="00986229" w:rsidP="004C24C8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spacing w:line="240" w:lineRule="atLeast"/>
        <w:ind w:left="1973" w:right="645" w:hanging="1973"/>
        <w:jc w:val="both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N</w:t>
      </w:r>
      <w:r w:rsidR="002A4A70">
        <w:rPr>
          <w:rFonts w:ascii="Calibri" w:hAnsi="Calibri"/>
          <w:color w:val="262626" w:themeColor="text1" w:themeTint="D9"/>
          <w:lang w:val="sk-SK"/>
        </w:rPr>
        <w:t>ávrh uznesenia:</w:t>
      </w:r>
      <w:r w:rsidR="002A4A70">
        <w:rPr>
          <w:rFonts w:ascii="Calibri" w:hAnsi="Calibri"/>
          <w:color w:val="262626" w:themeColor="text1" w:themeTint="D9"/>
          <w:lang w:val="sk-SK"/>
        </w:rPr>
        <w:tab/>
        <w:t>Akademický senát STU prerokoval</w:t>
      </w:r>
      <w:r w:rsidR="00EA11FA" w:rsidRPr="00EA11FA">
        <w:rPr>
          <w:rFonts w:ascii="Calibri" w:hAnsi="Calibri"/>
          <w:color w:val="262626" w:themeColor="text1" w:themeTint="D9"/>
          <w:lang w:val="sk-SK"/>
        </w:rPr>
        <w:t xml:space="preserve"> návrh </w:t>
      </w:r>
      <w:r w:rsidR="00EA11FA">
        <w:rPr>
          <w:rFonts w:ascii="Calibri" w:hAnsi="Calibri"/>
          <w:color w:val="262626" w:themeColor="text1" w:themeTint="D9"/>
          <w:lang w:val="sk-SK"/>
        </w:rPr>
        <w:t>vnútorného predpisu STU</w:t>
      </w:r>
      <w:r w:rsidR="001F42DB">
        <w:rPr>
          <w:rFonts w:ascii="Calibri" w:hAnsi="Calibri"/>
          <w:color w:val="262626" w:themeColor="text1" w:themeTint="D9"/>
          <w:lang w:val="sk-SK"/>
        </w:rPr>
        <w:t xml:space="preserve"> „Pravidlá vkladania </w:t>
      </w:r>
      <w:r w:rsidR="00BA248E">
        <w:rPr>
          <w:rFonts w:ascii="Calibri" w:hAnsi="Calibri"/>
          <w:color w:val="262626" w:themeColor="text1" w:themeTint="D9"/>
          <w:lang w:val="sk-SK"/>
        </w:rPr>
        <w:t xml:space="preserve">peňažných vkladov alebo nepeňažných vkladov </w:t>
      </w:r>
      <w:r w:rsidR="001F42DB">
        <w:rPr>
          <w:rFonts w:ascii="Calibri" w:hAnsi="Calibri"/>
          <w:color w:val="262626" w:themeColor="text1" w:themeTint="D9"/>
          <w:lang w:val="sk-SK"/>
        </w:rPr>
        <w:t>Slovenskej technickej univerzity v Bratislave do iných právnických osôb“</w:t>
      </w:r>
    </w:p>
    <w:p w:rsidR="00EA11FA" w:rsidRPr="00EA11FA" w:rsidRDefault="00EA11FA" w:rsidP="00EA11FA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spacing w:before="120"/>
        <w:ind w:left="2410" w:right="646" w:hanging="425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bez pripomienok</w:t>
      </w:r>
    </w:p>
    <w:p w:rsidR="00EA11FA" w:rsidRPr="00EA11FA" w:rsidRDefault="00EA11FA" w:rsidP="00EA11FA">
      <w:pPr>
        <w:pStyle w:val="Default"/>
        <w:numPr>
          <w:ilvl w:val="0"/>
          <w:numId w:val="5"/>
        </w:numPr>
        <w:ind w:left="2410" w:right="644" w:hanging="425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s pripomienkami</w:t>
      </w:r>
    </w:p>
    <w:p w:rsidR="00EA11FA" w:rsidRPr="00EA11FA" w:rsidRDefault="00EA11FA" w:rsidP="00EA11FA">
      <w:pPr>
        <w:pStyle w:val="Default"/>
        <w:ind w:left="2410" w:right="644"/>
        <w:rPr>
          <w:rFonts w:ascii="Calibri" w:hAnsi="Calibri"/>
          <w:color w:val="262626" w:themeColor="text1" w:themeTint="D9"/>
          <w:lang w:val="sk-SK"/>
        </w:rPr>
      </w:pPr>
    </w:p>
    <w:p w:rsidR="00EA11FA" w:rsidRPr="00EA11FA" w:rsidRDefault="002A4A70" w:rsidP="004C24C8">
      <w:pPr>
        <w:pStyle w:val="Default"/>
        <w:ind w:left="1985" w:right="644"/>
        <w:jc w:val="both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a</w:t>
      </w:r>
      <w:r w:rsidR="00EA11FA" w:rsidRPr="00EA11FA">
        <w:rPr>
          <w:rFonts w:ascii="Calibri" w:hAnsi="Calibri"/>
          <w:color w:val="262626" w:themeColor="text1" w:themeTint="D9"/>
          <w:lang w:val="sk-SK"/>
        </w:rPr>
        <w:t xml:space="preserve"> predmetný návrh </w:t>
      </w:r>
      <w:r w:rsidR="004C24C8">
        <w:rPr>
          <w:rFonts w:ascii="Calibri" w:hAnsi="Calibri"/>
          <w:color w:val="262626" w:themeColor="text1" w:themeTint="D9"/>
          <w:lang w:val="sk-SK"/>
        </w:rPr>
        <w:t xml:space="preserve">vnútorného predpisu </w:t>
      </w:r>
      <w:r>
        <w:rPr>
          <w:rFonts w:ascii="Calibri" w:hAnsi="Calibri"/>
          <w:color w:val="262626" w:themeColor="text1" w:themeTint="D9"/>
          <w:lang w:val="sk-SK"/>
        </w:rPr>
        <w:t>schvaľuje.</w:t>
      </w:r>
    </w:p>
    <w:p w:rsidR="000E400D" w:rsidRPr="00B1194E" w:rsidRDefault="000E400D" w:rsidP="00B5102B">
      <w:pPr>
        <w:rPr>
          <w:rFonts w:ascii="Calibri" w:hAnsi="Calibri"/>
          <w:b/>
          <w:sz w:val="40"/>
          <w:szCs w:val="40"/>
          <w:lang w:val="sk-SK"/>
        </w:rPr>
      </w:pPr>
    </w:p>
    <w:p w:rsidR="000E400D" w:rsidRDefault="000E400D" w:rsidP="00B5102B">
      <w:pPr>
        <w:rPr>
          <w:rFonts w:ascii="Calibri" w:hAnsi="Calibri"/>
          <w:b/>
          <w:sz w:val="40"/>
          <w:szCs w:val="40"/>
          <w:lang w:val="sk-SK"/>
        </w:rPr>
      </w:pPr>
    </w:p>
    <w:p w:rsidR="00266290" w:rsidRPr="00B1194E" w:rsidRDefault="00266290" w:rsidP="00B5102B">
      <w:pPr>
        <w:rPr>
          <w:rFonts w:ascii="Calibri" w:hAnsi="Calibri"/>
          <w:b/>
          <w:sz w:val="40"/>
          <w:szCs w:val="40"/>
          <w:lang w:val="sk-SK"/>
        </w:rPr>
      </w:pPr>
    </w:p>
    <w:p w:rsidR="000F59EE" w:rsidRDefault="000F59EE" w:rsidP="000F59EE">
      <w:pPr>
        <w:rPr>
          <w:b/>
        </w:rPr>
      </w:pPr>
    </w:p>
    <w:p w:rsidR="004677F5" w:rsidRDefault="004677F5" w:rsidP="004677F5">
      <w:pPr>
        <w:rPr>
          <w:rFonts w:asciiTheme="majorHAnsi" w:hAnsiTheme="majorHAnsi" w:cs="Times New Roman"/>
          <w:sz w:val="48"/>
          <w:szCs w:val="48"/>
          <w:lang w:val="sk-SK"/>
        </w:rPr>
      </w:pPr>
    </w:p>
    <w:p w:rsidR="00F11632" w:rsidRPr="003A5736" w:rsidRDefault="00F11632" w:rsidP="004677F5">
      <w:pPr>
        <w:rPr>
          <w:rFonts w:asciiTheme="majorHAnsi" w:hAnsiTheme="majorHAnsi" w:cs="Times New Roman"/>
          <w:sz w:val="48"/>
          <w:szCs w:val="48"/>
          <w:lang w:val="sk-SK"/>
        </w:rPr>
      </w:pPr>
    </w:p>
    <w:p w:rsidR="004677F5" w:rsidRPr="003A5736" w:rsidRDefault="004677F5" w:rsidP="004677F5">
      <w:pPr>
        <w:rPr>
          <w:rFonts w:asciiTheme="majorHAnsi" w:hAnsiTheme="majorHAnsi"/>
          <w:sz w:val="48"/>
          <w:szCs w:val="48"/>
          <w:lang w:val="sk-SK"/>
        </w:rPr>
      </w:pPr>
    </w:p>
    <w:p w:rsidR="004677F5" w:rsidRPr="003A5736" w:rsidRDefault="004677F5" w:rsidP="004677F5">
      <w:pPr>
        <w:rPr>
          <w:rFonts w:asciiTheme="majorHAnsi" w:hAnsiTheme="majorHAnsi"/>
          <w:sz w:val="48"/>
          <w:szCs w:val="48"/>
          <w:lang w:val="sk-SK"/>
        </w:rPr>
      </w:pPr>
    </w:p>
    <w:p w:rsidR="004677F5" w:rsidRPr="003A5736" w:rsidRDefault="004677F5" w:rsidP="004677F5">
      <w:pPr>
        <w:rPr>
          <w:rFonts w:asciiTheme="majorHAnsi" w:hAnsiTheme="majorHAnsi"/>
          <w:sz w:val="48"/>
          <w:szCs w:val="48"/>
          <w:lang w:val="sk-SK"/>
        </w:rPr>
      </w:pPr>
    </w:p>
    <w:p w:rsidR="004677F5" w:rsidRPr="00B63AE9" w:rsidRDefault="004677F5" w:rsidP="004677F5">
      <w:pPr>
        <w:rPr>
          <w:rFonts w:asciiTheme="majorHAnsi" w:hAnsiTheme="majorHAnsi"/>
          <w:sz w:val="44"/>
          <w:szCs w:val="44"/>
          <w:lang w:val="sk-SK"/>
        </w:rPr>
      </w:pPr>
      <w:r w:rsidRPr="00B63AE9">
        <w:rPr>
          <w:rFonts w:asciiTheme="majorHAnsi" w:hAnsiTheme="majorHAnsi"/>
          <w:sz w:val="44"/>
          <w:szCs w:val="44"/>
          <w:lang w:val="sk-SK"/>
        </w:rPr>
        <w:t xml:space="preserve">Vnútorný predpis   </w:t>
      </w:r>
    </w:p>
    <w:p w:rsidR="004677F5" w:rsidRPr="00B63AE9" w:rsidRDefault="004677F5" w:rsidP="004677F5">
      <w:pPr>
        <w:tabs>
          <w:tab w:val="left" w:pos="1985"/>
        </w:tabs>
        <w:rPr>
          <w:rFonts w:asciiTheme="majorHAnsi" w:hAnsiTheme="majorHAnsi"/>
          <w:sz w:val="44"/>
          <w:szCs w:val="44"/>
          <w:lang w:val="sk-SK"/>
        </w:rPr>
      </w:pPr>
      <w:r w:rsidRPr="00B63AE9">
        <w:rPr>
          <w:rFonts w:asciiTheme="majorHAnsi" w:hAnsiTheme="majorHAnsi"/>
          <w:sz w:val="44"/>
          <w:szCs w:val="44"/>
          <w:lang w:val="sk-SK"/>
        </w:rPr>
        <w:t xml:space="preserve">Číslo:       </w:t>
      </w:r>
      <w:r w:rsidR="00B63AE9" w:rsidRPr="00B63AE9">
        <w:rPr>
          <w:rFonts w:asciiTheme="majorHAnsi" w:hAnsiTheme="majorHAnsi"/>
          <w:sz w:val="44"/>
          <w:szCs w:val="44"/>
          <w:lang w:val="sk-SK"/>
        </w:rPr>
        <w:t>X/2017</w:t>
      </w:r>
      <w:r w:rsidRPr="00B63AE9">
        <w:rPr>
          <w:rFonts w:asciiTheme="majorHAnsi" w:hAnsiTheme="majorHAnsi"/>
          <w:sz w:val="44"/>
          <w:szCs w:val="44"/>
          <w:lang w:val="sk-SK"/>
        </w:rPr>
        <w:t xml:space="preserve"> </w:t>
      </w:r>
    </w:p>
    <w:p w:rsidR="004677F5" w:rsidRPr="00B63AE9" w:rsidRDefault="004677F5" w:rsidP="004677F5">
      <w:pPr>
        <w:rPr>
          <w:rFonts w:asciiTheme="majorHAnsi" w:hAnsiTheme="majorHAnsi" w:cs="Cambria"/>
          <w:b/>
          <w:sz w:val="44"/>
          <w:szCs w:val="44"/>
          <w:u w:val="single"/>
          <w:lang w:val="sk-SK"/>
        </w:rPr>
      </w:pPr>
    </w:p>
    <w:p w:rsidR="00B63AE9" w:rsidRPr="00BA248E" w:rsidRDefault="00B63AE9" w:rsidP="00BA248E">
      <w:pPr>
        <w:ind w:right="644"/>
        <w:rPr>
          <w:rFonts w:ascii="Calibri" w:hAnsi="Calibri"/>
          <w:b/>
          <w:color w:val="262626" w:themeColor="text1" w:themeTint="D9"/>
          <w:sz w:val="44"/>
          <w:szCs w:val="44"/>
          <w:lang w:val="sk-SK"/>
        </w:rPr>
      </w:pPr>
      <w:r w:rsidRPr="00B63AE9">
        <w:rPr>
          <w:rFonts w:ascii="Calibri" w:hAnsi="Calibri"/>
          <w:b/>
          <w:color w:val="262626" w:themeColor="text1" w:themeTint="D9"/>
          <w:sz w:val="44"/>
          <w:szCs w:val="44"/>
          <w:lang w:val="sk-SK"/>
        </w:rPr>
        <w:t xml:space="preserve">Pravidlá vkladania </w:t>
      </w:r>
      <w:r w:rsidR="00BA248E" w:rsidRPr="00BA248E">
        <w:rPr>
          <w:rFonts w:ascii="Calibri" w:hAnsi="Calibri"/>
          <w:b/>
          <w:color w:val="262626" w:themeColor="text1" w:themeTint="D9"/>
          <w:sz w:val="44"/>
          <w:szCs w:val="44"/>
          <w:lang w:val="sk-SK"/>
        </w:rPr>
        <w:t xml:space="preserve">peňažných vkladov </w:t>
      </w:r>
      <w:r w:rsidR="00BA248E">
        <w:rPr>
          <w:rFonts w:ascii="Calibri" w:hAnsi="Calibri"/>
          <w:b/>
          <w:color w:val="262626" w:themeColor="text1" w:themeTint="D9"/>
          <w:sz w:val="44"/>
          <w:szCs w:val="44"/>
          <w:lang w:val="sk-SK"/>
        </w:rPr>
        <w:t xml:space="preserve">  </w:t>
      </w:r>
      <w:r w:rsidR="00BA248E" w:rsidRPr="00BA248E">
        <w:rPr>
          <w:rFonts w:ascii="Calibri" w:hAnsi="Calibri"/>
          <w:b/>
          <w:color w:val="262626" w:themeColor="text1" w:themeTint="D9"/>
          <w:sz w:val="44"/>
          <w:szCs w:val="44"/>
          <w:lang w:val="sk-SK"/>
        </w:rPr>
        <w:t xml:space="preserve">alebo nepeňažných vkladov </w:t>
      </w:r>
      <w:r w:rsidRPr="00BA248E">
        <w:rPr>
          <w:rFonts w:ascii="Calibri" w:hAnsi="Calibri"/>
          <w:b/>
          <w:color w:val="262626" w:themeColor="text1" w:themeTint="D9"/>
          <w:sz w:val="44"/>
          <w:szCs w:val="44"/>
          <w:lang w:val="sk-SK"/>
        </w:rPr>
        <w:t xml:space="preserve"> </w:t>
      </w:r>
    </w:p>
    <w:p w:rsidR="00B63AE9" w:rsidRPr="00B63AE9" w:rsidRDefault="00B63AE9" w:rsidP="00B63AE9">
      <w:pPr>
        <w:tabs>
          <w:tab w:val="bar" w:pos="-2520"/>
          <w:tab w:val="left" w:pos="0"/>
          <w:tab w:val="left" w:pos="1980"/>
          <w:tab w:val="left" w:pos="8280"/>
        </w:tabs>
        <w:spacing w:line="240" w:lineRule="atLeast"/>
        <w:rPr>
          <w:rFonts w:ascii="Calibri" w:hAnsi="Calibri" w:cstheme="minorHAnsi"/>
          <w:b/>
          <w:color w:val="262626" w:themeColor="text1" w:themeTint="D9"/>
          <w:sz w:val="44"/>
          <w:szCs w:val="44"/>
          <w:lang w:val="sk-SK"/>
        </w:rPr>
      </w:pPr>
      <w:r w:rsidRPr="00B63AE9">
        <w:rPr>
          <w:rFonts w:ascii="Calibri" w:hAnsi="Calibri" w:cstheme="minorHAnsi"/>
          <w:b/>
          <w:color w:val="262626" w:themeColor="text1" w:themeTint="D9"/>
          <w:sz w:val="44"/>
          <w:szCs w:val="44"/>
          <w:lang w:val="sk-SK"/>
        </w:rPr>
        <w:t>Slovenskej technickej univerzity v Bratislave</w:t>
      </w:r>
    </w:p>
    <w:p w:rsidR="00B63AE9" w:rsidRPr="00B63AE9" w:rsidRDefault="00B63AE9" w:rsidP="00B63AE9">
      <w:pPr>
        <w:tabs>
          <w:tab w:val="bar" w:pos="-2520"/>
          <w:tab w:val="left" w:pos="0"/>
          <w:tab w:val="left" w:pos="1980"/>
          <w:tab w:val="left" w:pos="3960"/>
          <w:tab w:val="left" w:pos="5940"/>
          <w:tab w:val="left" w:pos="8280"/>
        </w:tabs>
        <w:spacing w:line="240" w:lineRule="atLeast"/>
        <w:rPr>
          <w:rFonts w:ascii="Calibri" w:hAnsi="Calibri" w:cstheme="minorHAnsi"/>
          <w:b/>
          <w:color w:val="262626" w:themeColor="text1" w:themeTint="D9"/>
          <w:sz w:val="44"/>
          <w:szCs w:val="44"/>
          <w:lang w:val="sk-SK"/>
        </w:rPr>
      </w:pPr>
      <w:r w:rsidRPr="00B63AE9">
        <w:rPr>
          <w:rFonts w:ascii="Calibri" w:hAnsi="Calibri" w:cstheme="minorHAnsi"/>
          <w:b/>
          <w:color w:val="262626" w:themeColor="text1" w:themeTint="D9"/>
          <w:sz w:val="44"/>
          <w:szCs w:val="44"/>
          <w:lang w:val="sk-SK"/>
        </w:rPr>
        <w:t>do iných právnických osôb</w:t>
      </w:r>
    </w:p>
    <w:p w:rsidR="004677F5" w:rsidRPr="00B63AE9" w:rsidRDefault="004677F5" w:rsidP="004677F5">
      <w:pPr>
        <w:tabs>
          <w:tab w:val="left" w:pos="1985"/>
        </w:tabs>
        <w:rPr>
          <w:rFonts w:asciiTheme="majorHAnsi" w:hAnsiTheme="majorHAnsi"/>
          <w:sz w:val="44"/>
          <w:szCs w:val="44"/>
          <w:lang w:val="sk-SK"/>
        </w:rPr>
      </w:pPr>
    </w:p>
    <w:p w:rsidR="004677F5" w:rsidRPr="00B63AE9" w:rsidRDefault="004677F5" w:rsidP="004677F5">
      <w:pPr>
        <w:tabs>
          <w:tab w:val="left" w:pos="1985"/>
        </w:tabs>
        <w:rPr>
          <w:rFonts w:asciiTheme="majorHAnsi" w:hAnsiTheme="majorHAnsi"/>
          <w:sz w:val="44"/>
          <w:szCs w:val="44"/>
          <w:lang w:val="sk-SK"/>
        </w:rPr>
      </w:pPr>
      <w:r w:rsidRPr="00B63AE9">
        <w:rPr>
          <w:rFonts w:asciiTheme="majorHAnsi" w:hAnsiTheme="majorHAnsi"/>
          <w:sz w:val="44"/>
          <w:szCs w:val="44"/>
          <w:lang w:val="sk-SK"/>
        </w:rPr>
        <w:t>Dátum:</w:t>
      </w:r>
      <w:r w:rsidRPr="00B63AE9">
        <w:rPr>
          <w:rFonts w:asciiTheme="majorHAnsi" w:hAnsiTheme="majorHAnsi"/>
          <w:sz w:val="44"/>
          <w:szCs w:val="44"/>
          <w:lang w:val="sk-SK"/>
        </w:rPr>
        <w:tab/>
      </w:r>
      <w:r w:rsidR="002A4A70">
        <w:rPr>
          <w:rFonts w:asciiTheme="majorHAnsi" w:hAnsiTheme="majorHAnsi"/>
          <w:sz w:val="44"/>
          <w:szCs w:val="44"/>
          <w:lang w:val="sk-SK"/>
        </w:rPr>
        <w:t>13. 03</w:t>
      </w:r>
      <w:r w:rsidR="00B63AE9" w:rsidRPr="009233E8">
        <w:rPr>
          <w:rFonts w:asciiTheme="majorHAnsi" w:hAnsiTheme="majorHAnsi"/>
          <w:sz w:val="44"/>
          <w:szCs w:val="44"/>
          <w:lang w:val="sk-SK"/>
        </w:rPr>
        <w:t>. 2017</w:t>
      </w:r>
    </w:p>
    <w:p w:rsidR="004677F5" w:rsidRPr="003A5736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Pr="003A5736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Pr="003A5736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Pr="003A5736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Pr="003A5736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Pr="003A5736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Pr="003A5736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Default="004677F5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5A37A6" w:rsidRPr="003A5736" w:rsidRDefault="005A37A6" w:rsidP="004677F5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4677F5" w:rsidRPr="003A5736" w:rsidRDefault="004677F5" w:rsidP="00F94316">
      <w:pPr>
        <w:jc w:val="center"/>
        <w:rPr>
          <w:rFonts w:asciiTheme="majorHAnsi" w:hAnsiTheme="majorHAnsi" w:cs="Cambria"/>
          <w:b/>
          <w:u w:val="single"/>
          <w:lang w:val="sk-SK"/>
        </w:rPr>
      </w:pPr>
      <w:r w:rsidRPr="003A5736">
        <w:rPr>
          <w:rFonts w:asciiTheme="majorHAnsi" w:hAnsiTheme="majorHAnsi" w:cs="Cambria"/>
          <w:b/>
          <w:u w:val="single"/>
          <w:lang w:val="sk-SK"/>
        </w:rPr>
        <w:lastRenderedPageBreak/>
        <w:t>Slovenská technická univerzita v Bratislave, Vazovova 5,  Bratislava</w:t>
      </w:r>
    </w:p>
    <w:p w:rsidR="004677F5" w:rsidRPr="003A5736" w:rsidRDefault="004677F5" w:rsidP="004677F5">
      <w:pPr>
        <w:rPr>
          <w:rFonts w:asciiTheme="majorHAnsi" w:hAnsiTheme="majorHAnsi" w:cs="Cambria"/>
          <w:b/>
          <w:u w:val="single"/>
          <w:lang w:val="sk-SK"/>
        </w:rPr>
      </w:pPr>
    </w:p>
    <w:p w:rsidR="004677F5" w:rsidRPr="003A5736" w:rsidRDefault="004677F5" w:rsidP="004677F5">
      <w:pPr>
        <w:jc w:val="right"/>
        <w:rPr>
          <w:rFonts w:asciiTheme="majorHAnsi" w:hAnsiTheme="majorHAnsi" w:cs="Cambria"/>
          <w:lang w:val="sk-SK"/>
        </w:rPr>
      </w:pPr>
      <w:r w:rsidRPr="003A5736">
        <w:rPr>
          <w:rFonts w:asciiTheme="majorHAnsi" w:hAnsiTheme="majorHAnsi" w:cs="Cambria"/>
          <w:lang w:val="sk-SK"/>
        </w:rPr>
        <w:t xml:space="preserve">V Bratislave  </w:t>
      </w:r>
      <w:r w:rsidR="002A4A70">
        <w:rPr>
          <w:rFonts w:asciiTheme="majorHAnsi" w:hAnsiTheme="majorHAnsi" w:cs="Cambria"/>
          <w:lang w:val="sk-SK"/>
        </w:rPr>
        <w:t>13. 03</w:t>
      </w:r>
      <w:r w:rsidR="00B63AE9" w:rsidRPr="009233E8">
        <w:rPr>
          <w:rFonts w:asciiTheme="majorHAnsi" w:hAnsiTheme="majorHAnsi" w:cs="Cambria"/>
          <w:lang w:val="sk-SK"/>
        </w:rPr>
        <w:t>. 2017</w:t>
      </w:r>
    </w:p>
    <w:p w:rsidR="004677F5" w:rsidRPr="003A5736" w:rsidRDefault="004677F5" w:rsidP="004677F5">
      <w:pPr>
        <w:jc w:val="right"/>
        <w:rPr>
          <w:rFonts w:asciiTheme="majorHAnsi" w:hAnsiTheme="majorHAnsi" w:cs="Cambria"/>
          <w:lang w:val="sk-SK"/>
        </w:rPr>
      </w:pPr>
      <w:r w:rsidRPr="003A5736">
        <w:rPr>
          <w:rFonts w:asciiTheme="majorHAnsi" w:hAnsiTheme="majorHAnsi" w:cs="Cambria"/>
          <w:lang w:val="sk-SK"/>
        </w:rPr>
        <w:t xml:space="preserve">Číslo: </w:t>
      </w:r>
      <w:r w:rsidR="00B63AE9">
        <w:rPr>
          <w:rFonts w:asciiTheme="majorHAnsi" w:hAnsiTheme="majorHAnsi" w:cs="Cambria"/>
          <w:lang w:val="sk-SK"/>
        </w:rPr>
        <w:t>X</w:t>
      </w:r>
      <w:r w:rsidRPr="003A5736">
        <w:rPr>
          <w:rFonts w:asciiTheme="majorHAnsi" w:hAnsiTheme="majorHAnsi" w:cs="Cambria"/>
          <w:lang w:val="sk-SK"/>
        </w:rPr>
        <w:t>/201</w:t>
      </w:r>
      <w:r w:rsidR="00B63AE9">
        <w:rPr>
          <w:rFonts w:asciiTheme="majorHAnsi" w:hAnsiTheme="majorHAnsi" w:cs="Cambria"/>
          <w:lang w:val="sk-SK"/>
        </w:rPr>
        <w:t>7</w:t>
      </w:r>
    </w:p>
    <w:p w:rsidR="004677F5" w:rsidRPr="003A5736" w:rsidRDefault="004677F5" w:rsidP="004677F5">
      <w:pPr>
        <w:jc w:val="right"/>
        <w:rPr>
          <w:rFonts w:asciiTheme="majorHAnsi" w:hAnsiTheme="majorHAnsi" w:cs="Cambria"/>
          <w:lang w:val="sk-SK"/>
        </w:rPr>
      </w:pPr>
    </w:p>
    <w:p w:rsidR="004677F5" w:rsidRPr="003A5736" w:rsidRDefault="004677F5" w:rsidP="004677F5">
      <w:pPr>
        <w:jc w:val="both"/>
        <w:rPr>
          <w:rFonts w:asciiTheme="majorHAnsi" w:hAnsiTheme="majorHAnsi" w:cs="Cambria"/>
          <w:lang w:val="sk-SK"/>
        </w:rPr>
      </w:pPr>
      <w:r w:rsidRPr="003A5736">
        <w:rPr>
          <w:rFonts w:asciiTheme="majorHAnsi" w:hAnsiTheme="majorHAnsi" w:cs="Cambria"/>
          <w:lang w:val="sk-SK"/>
        </w:rPr>
        <w:t>Akademický senát Slovenskej technickej univerzity v Bratislave v súlade s § </w:t>
      </w:r>
      <w:r w:rsidR="00B63AE9">
        <w:rPr>
          <w:rFonts w:asciiTheme="majorHAnsi" w:hAnsiTheme="majorHAnsi" w:cs="Cambria"/>
          <w:lang w:val="sk-SK"/>
        </w:rPr>
        <w:t xml:space="preserve">15 </w:t>
      </w:r>
      <w:r w:rsidRPr="003A5736">
        <w:rPr>
          <w:rFonts w:asciiTheme="majorHAnsi" w:hAnsiTheme="majorHAnsi" w:cs="Cambria"/>
          <w:lang w:val="sk-SK"/>
        </w:rPr>
        <w:t xml:space="preserve">ods. 1 písm. </w:t>
      </w:r>
      <w:r w:rsidR="00B63AE9">
        <w:rPr>
          <w:rFonts w:asciiTheme="majorHAnsi" w:hAnsiTheme="majorHAnsi" w:cs="Cambria"/>
          <w:lang w:val="sk-SK"/>
        </w:rPr>
        <w:t>l</w:t>
      </w:r>
      <w:r w:rsidRPr="003A5736">
        <w:rPr>
          <w:rFonts w:asciiTheme="majorHAnsi" w:hAnsiTheme="majorHAnsi" w:cs="Cambria"/>
          <w:lang w:val="sk-SK"/>
        </w:rPr>
        <w:t>) v spojení s § 1</w:t>
      </w:r>
      <w:r w:rsidR="00B63AE9">
        <w:rPr>
          <w:rFonts w:asciiTheme="majorHAnsi" w:hAnsiTheme="majorHAnsi" w:cs="Cambria"/>
          <w:lang w:val="sk-SK"/>
        </w:rPr>
        <w:t xml:space="preserve">9 </w:t>
      </w:r>
      <w:r w:rsidRPr="003A5736">
        <w:rPr>
          <w:rFonts w:asciiTheme="majorHAnsi" w:hAnsiTheme="majorHAnsi" w:cs="Cambria"/>
          <w:lang w:val="sk-SK"/>
        </w:rPr>
        <w:t xml:space="preserve">ods. </w:t>
      </w:r>
      <w:r w:rsidR="00B63AE9">
        <w:rPr>
          <w:rFonts w:asciiTheme="majorHAnsi" w:hAnsiTheme="majorHAnsi" w:cs="Cambria"/>
          <w:lang w:val="sk-SK"/>
        </w:rPr>
        <w:t xml:space="preserve">5 </w:t>
      </w:r>
      <w:r w:rsidRPr="003A5736">
        <w:rPr>
          <w:rFonts w:asciiTheme="majorHAnsi" w:hAnsiTheme="majorHAnsi" w:cs="Cambria"/>
          <w:lang w:val="sk-SK"/>
        </w:rPr>
        <w:t xml:space="preserve">zákona č. 131/2002 Z. z. o vysokých školách a o zmene a doplnení niektorých zákonov v znení neskorších predpisov (ďalej len „zákon“), schválil na svojom zasadnutí dňa </w:t>
      </w:r>
      <w:r w:rsidR="00B63AE9">
        <w:rPr>
          <w:rFonts w:asciiTheme="majorHAnsi" w:hAnsiTheme="majorHAnsi" w:cs="Cambria"/>
          <w:lang w:val="sk-SK"/>
        </w:rPr>
        <w:t xml:space="preserve">13. marca 2017 </w:t>
      </w:r>
      <w:r w:rsidRPr="003A5736">
        <w:rPr>
          <w:rFonts w:asciiTheme="majorHAnsi" w:hAnsiTheme="majorHAnsi" w:cs="Cambria"/>
          <w:lang w:val="sk-SK"/>
        </w:rPr>
        <w:t>nasledovný</w:t>
      </w:r>
      <w:r w:rsidR="00B63AE9">
        <w:rPr>
          <w:rFonts w:asciiTheme="majorHAnsi" w:hAnsiTheme="majorHAnsi" w:cs="Cambria"/>
          <w:lang w:val="sk-SK"/>
        </w:rPr>
        <w:t xml:space="preserve"> vnútorný predpis Slovenskej technickej univerzity v Bratislave</w:t>
      </w:r>
      <w:r w:rsidRPr="003A5736">
        <w:rPr>
          <w:rFonts w:asciiTheme="majorHAnsi" w:hAnsiTheme="majorHAnsi" w:cs="Cambria"/>
          <w:lang w:val="sk-SK"/>
        </w:rPr>
        <w:t xml:space="preserve"> </w:t>
      </w:r>
    </w:p>
    <w:p w:rsidR="004677F5" w:rsidRPr="003A5736" w:rsidRDefault="004677F5" w:rsidP="004677F5">
      <w:pPr>
        <w:rPr>
          <w:rFonts w:asciiTheme="majorHAnsi" w:hAnsiTheme="majorHAnsi" w:cs="Arial"/>
          <w:lang w:val="sk-SK"/>
        </w:rPr>
      </w:pPr>
    </w:p>
    <w:p w:rsidR="004677F5" w:rsidRPr="003A5736" w:rsidRDefault="004677F5" w:rsidP="004677F5">
      <w:pPr>
        <w:jc w:val="center"/>
        <w:rPr>
          <w:rFonts w:asciiTheme="majorHAnsi" w:hAnsiTheme="majorHAnsi" w:cs="Calibri"/>
          <w:b/>
          <w:lang w:val="sk-SK"/>
        </w:rPr>
      </w:pPr>
    </w:p>
    <w:p w:rsidR="00BA248E" w:rsidRDefault="00B63AE9" w:rsidP="004677F5">
      <w:pPr>
        <w:jc w:val="center"/>
        <w:rPr>
          <w:rFonts w:ascii="Calibri" w:hAnsi="Calibri"/>
          <w:b/>
          <w:color w:val="262626" w:themeColor="text1" w:themeTint="D9"/>
          <w:lang w:val="sk-SK"/>
        </w:rPr>
      </w:pPr>
      <w:r w:rsidRPr="00BA248E">
        <w:rPr>
          <w:rFonts w:asciiTheme="majorHAnsi" w:hAnsiTheme="majorHAnsi" w:cs="Calibri"/>
          <w:b/>
          <w:lang w:val="sk-SK"/>
        </w:rPr>
        <w:t xml:space="preserve">Pravidlá vkladania </w:t>
      </w:r>
      <w:r w:rsidR="00BA248E" w:rsidRPr="00BA248E">
        <w:rPr>
          <w:rFonts w:ascii="Calibri" w:hAnsi="Calibri"/>
          <w:b/>
          <w:color w:val="262626" w:themeColor="text1" w:themeTint="D9"/>
          <w:lang w:val="sk-SK"/>
        </w:rPr>
        <w:t xml:space="preserve">peňažných vkladov </w:t>
      </w:r>
    </w:p>
    <w:p w:rsidR="00BA248E" w:rsidRDefault="00BA248E" w:rsidP="00BA248E">
      <w:pPr>
        <w:jc w:val="center"/>
        <w:rPr>
          <w:rFonts w:asciiTheme="majorHAnsi" w:hAnsiTheme="majorHAnsi" w:cs="Calibri"/>
          <w:b/>
          <w:lang w:val="sk-SK"/>
        </w:rPr>
      </w:pPr>
      <w:r w:rsidRPr="00BA248E">
        <w:rPr>
          <w:rFonts w:ascii="Calibri" w:hAnsi="Calibri"/>
          <w:b/>
          <w:color w:val="262626" w:themeColor="text1" w:themeTint="D9"/>
          <w:lang w:val="sk-SK"/>
        </w:rPr>
        <w:t xml:space="preserve">alebo nepeňažných vkladov </w:t>
      </w:r>
      <w:r w:rsidR="00B63AE9">
        <w:rPr>
          <w:rFonts w:asciiTheme="majorHAnsi" w:hAnsiTheme="majorHAnsi" w:cs="Calibri"/>
          <w:b/>
          <w:lang w:val="sk-SK"/>
        </w:rPr>
        <w:t xml:space="preserve">Slovenskej technickej univerzity v Bratislave </w:t>
      </w:r>
    </w:p>
    <w:p w:rsidR="00B63AE9" w:rsidRDefault="00B63AE9" w:rsidP="00BA248E">
      <w:pPr>
        <w:jc w:val="center"/>
        <w:rPr>
          <w:rFonts w:asciiTheme="majorHAnsi" w:hAnsiTheme="majorHAnsi" w:cs="Calibri"/>
          <w:b/>
          <w:lang w:val="sk-SK"/>
        </w:rPr>
      </w:pPr>
      <w:r>
        <w:rPr>
          <w:rFonts w:asciiTheme="majorHAnsi" w:hAnsiTheme="majorHAnsi" w:cs="Calibri"/>
          <w:b/>
          <w:lang w:val="sk-SK"/>
        </w:rPr>
        <w:t>do iných právnických osôb:</w:t>
      </w:r>
    </w:p>
    <w:p w:rsidR="004677F5" w:rsidRPr="003A5736" w:rsidRDefault="004677F5" w:rsidP="004677F5">
      <w:pPr>
        <w:jc w:val="center"/>
        <w:rPr>
          <w:rFonts w:asciiTheme="majorHAnsi" w:hAnsiTheme="majorHAnsi" w:cs="Arial"/>
          <w:b/>
          <w:strike/>
          <w:lang w:val="sk-SK"/>
        </w:rPr>
      </w:pPr>
    </w:p>
    <w:p w:rsidR="004677F5" w:rsidRPr="003A5736" w:rsidRDefault="004677F5" w:rsidP="004677F5">
      <w:pPr>
        <w:jc w:val="center"/>
        <w:rPr>
          <w:rFonts w:asciiTheme="majorHAnsi" w:hAnsiTheme="majorHAnsi" w:cs="Arial"/>
          <w:b/>
          <w:lang w:val="sk-SK"/>
        </w:rPr>
      </w:pPr>
    </w:p>
    <w:p w:rsidR="004677F5" w:rsidRDefault="004677F5" w:rsidP="004677F5">
      <w:pPr>
        <w:jc w:val="center"/>
        <w:rPr>
          <w:rFonts w:asciiTheme="majorHAnsi" w:hAnsiTheme="majorHAnsi" w:cs="Arial"/>
          <w:b/>
          <w:lang w:val="sk-SK"/>
        </w:rPr>
      </w:pPr>
      <w:r w:rsidRPr="00B63AE9">
        <w:rPr>
          <w:rFonts w:asciiTheme="majorHAnsi" w:hAnsiTheme="majorHAnsi" w:cs="Arial"/>
          <w:b/>
          <w:lang w:val="sk-SK"/>
        </w:rPr>
        <w:t>Článok 1</w:t>
      </w:r>
    </w:p>
    <w:p w:rsidR="00B63AE9" w:rsidRDefault="00B63AE9" w:rsidP="004677F5">
      <w:pPr>
        <w:jc w:val="center"/>
        <w:rPr>
          <w:rFonts w:asciiTheme="majorHAnsi" w:hAnsiTheme="majorHAnsi" w:cs="Arial"/>
          <w:b/>
          <w:lang w:val="sk-SK"/>
        </w:rPr>
      </w:pPr>
      <w:r>
        <w:rPr>
          <w:rFonts w:asciiTheme="majorHAnsi" w:hAnsiTheme="majorHAnsi" w:cs="Arial"/>
          <w:b/>
          <w:lang w:val="sk-SK"/>
        </w:rPr>
        <w:t>Základné ustanovenia</w:t>
      </w:r>
    </w:p>
    <w:p w:rsidR="007118A0" w:rsidRDefault="007118A0" w:rsidP="004677F5">
      <w:pPr>
        <w:jc w:val="center"/>
        <w:rPr>
          <w:rFonts w:asciiTheme="majorHAnsi" w:hAnsiTheme="majorHAnsi" w:cs="Arial"/>
          <w:b/>
          <w:lang w:val="sk-SK"/>
        </w:rPr>
      </w:pPr>
      <w:r>
        <w:rPr>
          <w:rFonts w:asciiTheme="majorHAnsi" w:hAnsiTheme="majorHAnsi" w:cs="Arial"/>
          <w:b/>
          <w:lang w:val="sk-SK"/>
        </w:rPr>
        <w:t xml:space="preserve">a definície pojmov  </w:t>
      </w:r>
    </w:p>
    <w:p w:rsidR="004677F5" w:rsidRPr="003A5736" w:rsidRDefault="004677F5" w:rsidP="004677F5">
      <w:pPr>
        <w:jc w:val="center"/>
        <w:rPr>
          <w:rFonts w:asciiTheme="majorHAnsi" w:hAnsiTheme="majorHAnsi" w:cs="Arial"/>
          <w:lang w:val="sk-SK"/>
        </w:rPr>
      </w:pPr>
    </w:p>
    <w:p w:rsidR="00EE1C6A" w:rsidRDefault="00EE1C6A" w:rsidP="00B63AE9">
      <w:pPr>
        <w:pStyle w:val="Odsekzoznamu"/>
        <w:numPr>
          <w:ilvl w:val="0"/>
          <w:numId w:val="38"/>
        </w:numPr>
        <w:tabs>
          <w:tab w:val="left" w:pos="0"/>
        </w:tabs>
        <w:spacing w:after="0" w:line="240" w:lineRule="atLeast"/>
        <w:ind w:left="425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Pravidlá vkladania </w:t>
      </w:r>
      <w:r w:rsidR="00BA248E">
        <w:rPr>
          <w:rFonts w:ascii="Calibri" w:hAnsi="Calibri"/>
          <w:color w:val="262626" w:themeColor="text1" w:themeTint="D9"/>
        </w:rPr>
        <w:t xml:space="preserve">peňažných vkladov alebo nepeňažných vkladov </w:t>
      </w:r>
      <w:r>
        <w:rPr>
          <w:rFonts w:asciiTheme="majorHAnsi" w:hAnsiTheme="majorHAnsi" w:cs="Arial"/>
          <w:sz w:val="24"/>
          <w:szCs w:val="24"/>
        </w:rPr>
        <w:t xml:space="preserve">Slovenskej technickej univerzity v Bratislave </w:t>
      </w:r>
      <w:r w:rsidR="00BA248E">
        <w:rPr>
          <w:rFonts w:asciiTheme="majorHAnsi" w:hAnsiTheme="majorHAnsi" w:cs="Arial"/>
          <w:sz w:val="24"/>
          <w:szCs w:val="24"/>
        </w:rPr>
        <w:t xml:space="preserve">do iných právnických osôb </w:t>
      </w:r>
      <w:r>
        <w:rPr>
          <w:rFonts w:asciiTheme="majorHAnsi" w:hAnsiTheme="majorHAnsi" w:cs="Arial"/>
          <w:sz w:val="24"/>
          <w:szCs w:val="24"/>
        </w:rPr>
        <w:t>(ďalej len „pravidlá“) upravujú postup Slovenskej technickej univerzity v Bratislave (ďalej len „STU“)</w:t>
      </w:r>
      <w:r w:rsidR="007118A0">
        <w:rPr>
          <w:rFonts w:asciiTheme="majorHAnsi" w:hAnsiTheme="majorHAnsi" w:cs="Arial"/>
          <w:sz w:val="24"/>
          <w:szCs w:val="24"/>
        </w:rPr>
        <w:t xml:space="preserve"> v prípadoch, keď sa má </w:t>
      </w:r>
      <w:r w:rsidR="00BA248E">
        <w:rPr>
          <w:rFonts w:asciiTheme="majorHAnsi" w:hAnsiTheme="majorHAnsi" w:cs="Arial"/>
          <w:sz w:val="24"/>
          <w:szCs w:val="24"/>
        </w:rPr>
        <w:t xml:space="preserve">vložiť </w:t>
      </w:r>
      <w:r w:rsidR="007118A0">
        <w:rPr>
          <w:rFonts w:asciiTheme="majorHAnsi" w:hAnsiTheme="majorHAnsi" w:cs="Arial"/>
          <w:sz w:val="24"/>
          <w:szCs w:val="24"/>
        </w:rPr>
        <w:t xml:space="preserve">peňažný vklad alebo </w:t>
      </w:r>
      <w:r w:rsidR="0019717E">
        <w:rPr>
          <w:rFonts w:asciiTheme="majorHAnsi" w:hAnsiTheme="majorHAnsi" w:cs="Arial"/>
          <w:sz w:val="24"/>
          <w:szCs w:val="24"/>
        </w:rPr>
        <w:t xml:space="preserve">ako </w:t>
      </w:r>
      <w:r w:rsidR="007118A0">
        <w:rPr>
          <w:rFonts w:asciiTheme="majorHAnsi" w:hAnsiTheme="majorHAnsi" w:cs="Arial"/>
          <w:sz w:val="24"/>
          <w:szCs w:val="24"/>
        </w:rPr>
        <w:t xml:space="preserve">nepeňažný vklad </w:t>
      </w:r>
      <w:r w:rsidR="00BA248E">
        <w:rPr>
          <w:rFonts w:asciiTheme="majorHAnsi" w:hAnsiTheme="majorHAnsi" w:cs="Arial"/>
          <w:sz w:val="24"/>
          <w:szCs w:val="24"/>
        </w:rPr>
        <w:t xml:space="preserve">STU </w:t>
      </w:r>
      <w:r w:rsidR="007118A0">
        <w:rPr>
          <w:rFonts w:asciiTheme="majorHAnsi" w:hAnsiTheme="majorHAnsi" w:cs="Arial"/>
          <w:sz w:val="24"/>
          <w:szCs w:val="24"/>
        </w:rPr>
        <w:t xml:space="preserve">do inej právnickej osoby. </w:t>
      </w:r>
      <w:r>
        <w:rPr>
          <w:rFonts w:asciiTheme="majorHAnsi" w:hAnsiTheme="majorHAnsi" w:cs="Arial"/>
          <w:sz w:val="24"/>
          <w:szCs w:val="24"/>
        </w:rPr>
        <w:t xml:space="preserve">   </w:t>
      </w:r>
    </w:p>
    <w:p w:rsidR="009565B9" w:rsidRDefault="009565B9" w:rsidP="009565B9">
      <w:pPr>
        <w:pStyle w:val="Odsekzoznamu"/>
        <w:tabs>
          <w:tab w:val="left" w:pos="0"/>
        </w:tabs>
        <w:spacing w:after="0" w:line="240" w:lineRule="atLeast"/>
        <w:ind w:left="425"/>
        <w:jc w:val="both"/>
        <w:rPr>
          <w:rFonts w:asciiTheme="majorHAnsi" w:hAnsiTheme="majorHAnsi" w:cs="Arial"/>
          <w:sz w:val="24"/>
          <w:szCs w:val="24"/>
        </w:rPr>
      </w:pPr>
    </w:p>
    <w:p w:rsidR="0019717E" w:rsidRDefault="0019717E" w:rsidP="00B63AE9">
      <w:pPr>
        <w:pStyle w:val="Odsekzoznamu"/>
        <w:numPr>
          <w:ilvl w:val="0"/>
          <w:numId w:val="38"/>
        </w:numPr>
        <w:tabs>
          <w:tab w:val="left" w:pos="0"/>
        </w:tabs>
        <w:spacing w:after="0" w:line="240" w:lineRule="atLeast"/>
        <w:ind w:left="425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Tieto pravidlá sú záväzné pre všetky súčasti STU.</w:t>
      </w:r>
      <w:r>
        <w:rPr>
          <w:rStyle w:val="Odkaznapoznmkupodiarou"/>
          <w:rFonts w:asciiTheme="majorHAnsi" w:hAnsiTheme="majorHAnsi" w:cs="Arial"/>
          <w:sz w:val="24"/>
          <w:szCs w:val="24"/>
        </w:rPr>
        <w:footnoteReference w:id="1"/>
      </w:r>
    </w:p>
    <w:p w:rsidR="009565B9" w:rsidRPr="00BA248E" w:rsidRDefault="009565B9" w:rsidP="00BA248E">
      <w:pPr>
        <w:tabs>
          <w:tab w:val="left" w:pos="0"/>
        </w:tabs>
        <w:spacing w:line="240" w:lineRule="atLeast"/>
        <w:jc w:val="both"/>
        <w:rPr>
          <w:rFonts w:asciiTheme="majorHAnsi" w:hAnsiTheme="majorHAnsi" w:cs="Arial"/>
        </w:rPr>
      </w:pPr>
    </w:p>
    <w:p w:rsidR="00547AED" w:rsidRPr="009565B9" w:rsidRDefault="005D13F8" w:rsidP="00B63AE9">
      <w:pPr>
        <w:pStyle w:val="Odsekzoznamu"/>
        <w:numPr>
          <w:ilvl w:val="0"/>
          <w:numId w:val="38"/>
        </w:numPr>
        <w:tabs>
          <w:tab w:val="left" w:pos="0"/>
        </w:tabs>
        <w:spacing w:after="0" w:line="240" w:lineRule="atLeast"/>
        <w:ind w:left="425" w:hanging="425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5D13F8">
        <w:rPr>
          <w:rFonts w:asciiTheme="majorHAnsi" w:hAnsiTheme="majorHAnsi" w:cs="Arial"/>
          <w:sz w:val="24"/>
          <w:szCs w:val="24"/>
          <w:u w:val="single"/>
        </w:rPr>
        <w:t>Peňažný vklad</w:t>
      </w:r>
      <w:r w:rsidRPr="005D13F8">
        <w:rPr>
          <w:rFonts w:asciiTheme="majorHAnsi" w:hAnsiTheme="majorHAnsi" w:cs="Arial"/>
          <w:sz w:val="24"/>
          <w:szCs w:val="24"/>
        </w:rPr>
        <w:t xml:space="preserve"> je</w:t>
      </w:r>
      <w:r>
        <w:rPr>
          <w:rFonts w:asciiTheme="majorHAnsi" w:hAnsiTheme="majorHAnsi" w:cs="Arial"/>
          <w:sz w:val="24"/>
          <w:szCs w:val="24"/>
        </w:rPr>
        <w:t xml:space="preserve"> súhrn peňažných prostriedkov, ktoré STU vkladá do inej právnickej osoby a podieľa sa nimi na výsledku jej činnosti. Peňažným vkladom je aj členský príspevok, z ktorého sa tvorí majetok právnickej osoby. </w:t>
      </w:r>
    </w:p>
    <w:p w:rsidR="009565B9" w:rsidRPr="005D13F8" w:rsidRDefault="009565B9" w:rsidP="009565B9">
      <w:pPr>
        <w:pStyle w:val="Odsekzoznamu"/>
        <w:tabs>
          <w:tab w:val="left" w:pos="0"/>
        </w:tabs>
        <w:spacing w:after="0" w:line="240" w:lineRule="atLeast"/>
        <w:ind w:left="425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FF4D84" w:rsidRPr="00FF4D84" w:rsidRDefault="005D13F8" w:rsidP="00FF4D84">
      <w:pPr>
        <w:pStyle w:val="Odsekzoznamu"/>
        <w:numPr>
          <w:ilvl w:val="0"/>
          <w:numId w:val="38"/>
        </w:numPr>
        <w:tabs>
          <w:tab w:val="left" w:pos="0"/>
        </w:tabs>
        <w:spacing w:after="0" w:line="240" w:lineRule="atLeast"/>
        <w:ind w:left="425" w:hanging="425"/>
        <w:jc w:val="both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Nepeňažný vklad</w:t>
      </w:r>
      <w:r>
        <w:rPr>
          <w:rFonts w:asciiTheme="majorHAnsi" w:hAnsiTheme="majorHAnsi" w:cs="Arial"/>
          <w:sz w:val="24"/>
          <w:szCs w:val="24"/>
        </w:rPr>
        <w:t xml:space="preserve"> je peniazmi oceniteľný majetok</w:t>
      </w:r>
      <w:r w:rsidR="00FF4D84">
        <w:rPr>
          <w:rFonts w:asciiTheme="majorHAnsi" w:hAnsiTheme="majorHAnsi" w:cs="Arial"/>
          <w:sz w:val="24"/>
          <w:szCs w:val="24"/>
        </w:rPr>
        <w:t xml:space="preserve"> </w:t>
      </w:r>
      <w:r w:rsidR="0093422E">
        <w:rPr>
          <w:rFonts w:asciiTheme="majorHAnsi" w:hAnsiTheme="majorHAnsi" w:cs="Arial"/>
          <w:sz w:val="24"/>
          <w:szCs w:val="24"/>
        </w:rPr>
        <w:t xml:space="preserve">STU </w:t>
      </w:r>
      <w:r w:rsidR="00FF4D84">
        <w:rPr>
          <w:rFonts w:asciiTheme="majorHAnsi" w:hAnsiTheme="majorHAnsi" w:cs="Arial"/>
          <w:sz w:val="24"/>
          <w:szCs w:val="24"/>
        </w:rPr>
        <w:t xml:space="preserve">a činnosť zamestnancov STU, </w:t>
      </w:r>
      <w:r>
        <w:rPr>
          <w:rFonts w:asciiTheme="majorHAnsi" w:hAnsiTheme="majorHAnsi" w:cs="Arial"/>
          <w:sz w:val="24"/>
          <w:szCs w:val="24"/>
        </w:rPr>
        <w:t>ktorý STU vkladá do inej právnickej osoby a tak sa n</w:t>
      </w:r>
      <w:r w:rsidR="00FF4D84">
        <w:rPr>
          <w:rFonts w:asciiTheme="majorHAnsi" w:hAnsiTheme="majorHAnsi" w:cs="Arial"/>
          <w:sz w:val="24"/>
          <w:szCs w:val="24"/>
        </w:rPr>
        <w:t xml:space="preserve">imi </w:t>
      </w:r>
      <w:r>
        <w:rPr>
          <w:rFonts w:asciiTheme="majorHAnsi" w:hAnsiTheme="majorHAnsi" w:cs="Arial"/>
          <w:sz w:val="24"/>
          <w:szCs w:val="24"/>
        </w:rPr>
        <w:t>podieľa na výsledku jej</w:t>
      </w:r>
      <w:r w:rsidR="0093422E">
        <w:rPr>
          <w:rFonts w:asciiTheme="majorHAnsi" w:hAnsiTheme="majorHAnsi" w:cs="Arial"/>
          <w:sz w:val="24"/>
          <w:szCs w:val="24"/>
        </w:rPr>
        <w:t xml:space="preserve"> činnosti.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9717E">
        <w:rPr>
          <w:rFonts w:asciiTheme="majorHAnsi" w:hAnsiTheme="majorHAnsi" w:cs="Arial"/>
          <w:sz w:val="24"/>
          <w:szCs w:val="24"/>
        </w:rPr>
        <w:t>Nepeňažným vkladom sú aj práva z duševného vlastníctva, napr. z oblasti priemyselných práv.</w:t>
      </w:r>
    </w:p>
    <w:p w:rsidR="00FF4D84" w:rsidRPr="00FF4D84" w:rsidRDefault="00FF4D84" w:rsidP="00FF4D84">
      <w:pPr>
        <w:tabs>
          <w:tab w:val="left" w:pos="0"/>
        </w:tabs>
        <w:spacing w:line="240" w:lineRule="atLeast"/>
        <w:jc w:val="both"/>
        <w:rPr>
          <w:rFonts w:asciiTheme="majorHAnsi" w:hAnsiTheme="majorHAnsi" w:cs="Arial"/>
          <w:u w:val="single"/>
        </w:rPr>
      </w:pPr>
    </w:p>
    <w:p w:rsidR="005D13F8" w:rsidRPr="009565B9" w:rsidRDefault="0019717E" w:rsidP="00B63AE9">
      <w:pPr>
        <w:pStyle w:val="Odsekzoznamu"/>
        <w:numPr>
          <w:ilvl w:val="0"/>
          <w:numId w:val="38"/>
        </w:numPr>
        <w:tabs>
          <w:tab w:val="left" w:pos="0"/>
        </w:tabs>
        <w:spacing w:after="0" w:line="240" w:lineRule="atLeast"/>
        <w:ind w:left="425" w:hanging="425"/>
        <w:jc w:val="both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Iná právnická osoba</w:t>
      </w:r>
      <w:r>
        <w:rPr>
          <w:rFonts w:asciiTheme="majorHAnsi" w:hAnsiTheme="majorHAnsi" w:cs="Arial"/>
          <w:sz w:val="24"/>
          <w:szCs w:val="24"/>
        </w:rPr>
        <w:t xml:space="preserve"> je od STU odlišná právnická osoba, ktorá má spôsobilosť mať práva a povinnosti. </w:t>
      </w: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5D13F8">
        <w:rPr>
          <w:rFonts w:asciiTheme="majorHAnsi" w:hAnsiTheme="majorHAnsi" w:cs="Arial"/>
          <w:sz w:val="24"/>
          <w:szCs w:val="24"/>
        </w:rPr>
        <w:t xml:space="preserve">  </w:t>
      </w:r>
    </w:p>
    <w:p w:rsidR="009565B9" w:rsidRPr="00C270ED" w:rsidRDefault="009565B9" w:rsidP="009565B9">
      <w:pPr>
        <w:pStyle w:val="Odsekzoznamu"/>
        <w:tabs>
          <w:tab w:val="left" w:pos="0"/>
        </w:tabs>
        <w:spacing w:after="0" w:line="240" w:lineRule="atLeast"/>
        <w:ind w:left="425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C270ED" w:rsidRPr="005D13F8" w:rsidRDefault="00C270ED" w:rsidP="00B63AE9">
      <w:pPr>
        <w:pStyle w:val="Odsekzoznamu"/>
        <w:numPr>
          <w:ilvl w:val="0"/>
          <w:numId w:val="38"/>
        </w:numPr>
        <w:tabs>
          <w:tab w:val="left" w:pos="0"/>
        </w:tabs>
        <w:spacing w:after="0" w:line="240" w:lineRule="atLeast"/>
        <w:ind w:left="425" w:hanging="425"/>
        <w:jc w:val="both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Združenie podľa § 829</w:t>
      </w:r>
      <w:r w:rsidR="006C3291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6C3291" w:rsidRPr="009565B9">
        <w:rPr>
          <w:rFonts w:asciiTheme="majorHAnsi" w:hAnsiTheme="majorHAnsi" w:cs="Arial"/>
          <w:sz w:val="24"/>
          <w:szCs w:val="24"/>
        </w:rPr>
        <w:t>a </w:t>
      </w:r>
      <w:proofErr w:type="spellStart"/>
      <w:r w:rsidR="006C3291" w:rsidRPr="009565B9">
        <w:rPr>
          <w:rFonts w:asciiTheme="majorHAnsi" w:hAnsiTheme="majorHAnsi" w:cs="Arial"/>
          <w:sz w:val="24"/>
          <w:szCs w:val="24"/>
        </w:rPr>
        <w:t>nasl</w:t>
      </w:r>
      <w:proofErr w:type="spellEnd"/>
      <w:r w:rsidR="006C3291" w:rsidRPr="009565B9">
        <w:rPr>
          <w:rFonts w:asciiTheme="majorHAnsi" w:hAnsiTheme="majorHAnsi" w:cs="Arial"/>
          <w:sz w:val="24"/>
          <w:szCs w:val="24"/>
        </w:rPr>
        <w:t xml:space="preserve">. </w:t>
      </w:r>
      <w:r w:rsidRPr="009565B9">
        <w:rPr>
          <w:rFonts w:asciiTheme="majorHAnsi" w:hAnsiTheme="majorHAnsi" w:cs="Arial"/>
          <w:sz w:val="24"/>
          <w:szCs w:val="24"/>
        </w:rPr>
        <w:t xml:space="preserve"> Občianskeho zákonníka </w:t>
      </w:r>
      <w:r>
        <w:rPr>
          <w:rFonts w:asciiTheme="majorHAnsi" w:hAnsiTheme="majorHAnsi" w:cs="Arial"/>
          <w:sz w:val="24"/>
          <w:szCs w:val="24"/>
        </w:rPr>
        <w:t xml:space="preserve">je združenie bez právnej subjektivity, </w:t>
      </w:r>
      <w:r w:rsidR="006C3291">
        <w:rPr>
          <w:rFonts w:asciiTheme="majorHAnsi" w:hAnsiTheme="majorHAnsi" w:cs="Arial"/>
          <w:sz w:val="24"/>
          <w:szCs w:val="24"/>
        </w:rPr>
        <w:t xml:space="preserve">ktoré </w:t>
      </w:r>
      <w:r>
        <w:rPr>
          <w:rFonts w:asciiTheme="majorHAnsi" w:hAnsiTheme="majorHAnsi" w:cs="Arial"/>
          <w:sz w:val="24"/>
          <w:szCs w:val="24"/>
        </w:rPr>
        <w:t xml:space="preserve">nemôže v právnych vzťahoch vystupovať vo svojom mene a niesť zodpovednosť za svoje konanie; práva a povinnosti nevznikajú združeniu, ale jeho účastníkom. </w:t>
      </w:r>
    </w:p>
    <w:p w:rsidR="004677F5" w:rsidRPr="003A5736" w:rsidRDefault="004677F5" w:rsidP="006C3291">
      <w:pPr>
        <w:tabs>
          <w:tab w:val="left" w:pos="1134"/>
        </w:tabs>
        <w:jc w:val="both"/>
        <w:rPr>
          <w:rFonts w:asciiTheme="majorHAnsi" w:hAnsiTheme="majorHAnsi" w:cs="Arial"/>
          <w:lang w:val="sk-SK"/>
        </w:rPr>
      </w:pPr>
    </w:p>
    <w:p w:rsidR="006D4802" w:rsidRDefault="006D4802" w:rsidP="00050115">
      <w:pPr>
        <w:rPr>
          <w:rFonts w:asciiTheme="majorHAnsi" w:hAnsiTheme="majorHAnsi"/>
          <w:b/>
          <w:lang w:val="sk-SK"/>
        </w:rPr>
      </w:pPr>
    </w:p>
    <w:p w:rsidR="000F59EE" w:rsidRDefault="006C3291" w:rsidP="006C3291">
      <w:pPr>
        <w:jc w:val="center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Článok 2</w:t>
      </w:r>
    </w:p>
    <w:p w:rsidR="00BA248E" w:rsidRDefault="006C3291" w:rsidP="006C3291">
      <w:pPr>
        <w:jc w:val="center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 xml:space="preserve">Zásady </w:t>
      </w:r>
      <w:r w:rsidR="00BA248E">
        <w:rPr>
          <w:rFonts w:asciiTheme="majorHAnsi" w:hAnsiTheme="majorHAnsi"/>
          <w:b/>
          <w:lang w:val="sk-SK"/>
        </w:rPr>
        <w:t xml:space="preserve">vkladania peňažného vkladu </w:t>
      </w:r>
    </w:p>
    <w:p w:rsidR="006C3291" w:rsidRPr="006C3291" w:rsidRDefault="00BA248E" w:rsidP="006C3291">
      <w:pPr>
        <w:jc w:val="center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 xml:space="preserve">alebo nepeňažného vkladu STU </w:t>
      </w:r>
      <w:r w:rsidR="006C3291">
        <w:rPr>
          <w:rFonts w:asciiTheme="majorHAnsi" w:hAnsiTheme="majorHAnsi"/>
          <w:b/>
          <w:lang w:val="sk-SK"/>
        </w:rPr>
        <w:t>do inej právnickej osoby</w:t>
      </w:r>
    </w:p>
    <w:p w:rsidR="000F59EE" w:rsidRDefault="000F59EE" w:rsidP="000F59EE">
      <w:pPr>
        <w:jc w:val="both"/>
        <w:rPr>
          <w:rFonts w:asciiTheme="majorHAnsi" w:hAnsiTheme="majorHAnsi"/>
          <w:lang w:val="sk-SK"/>
        </w:rPr>
      </w:pPr>
    </w:p>
    <w:p w:rsidR="006C3291" w:rsidRDefault="006C3291" w:rsidP="006C3291">
      <w:pPr>
        <w:pStyle w:val="Odsekzoznamu"/>
        <w:numPr>
          <w:ilvl w:val="0"/>
          <w:numId w:val="40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6C3291">
        <w:rPr>
          <w:rFonts w:asciiTheme="majorHAnsi" w:hAnsiTheme="majorHAnsi"/>
          <w:sz w:val="24"/>
          <w:szCs w:val="24"/>
        </w:rPr>
        <w:t xml:space="preserve">STU nie je oprávnená uskutočňovať </w:t>
      </w:r>
      <w:r>
        <w:rPr>
          <w:rFonts w:asciiTheme="majorHAnsi" w:hAnsiTheme="majorHAnsi"/>
          <w:sz w:val="24"/>
          <w:szCs w:val="24"/>
        </w:rPr>
        <w:t>vklady do spoločností, v ktorých sa ručí celým majetkom (</w:t>
      </w:r>
      <w:r w:rsidR="005F6114">
        <w:rPr>
          <w:rFonts w:asciiTheme="majorHAnsi" w:hAnsiTheme="majorHAnsi"/>
          <w:sz w:val="24"/>
          <w:szCs w:val="24"/>
        </w:rPr>
        <w:t>verejná obchodná spoločnosť</w:t>
      </w:r>
      <w:r w:rsidR="005F6114">
        <w:rPr>
          <w:rStyle w:val="Odkaznapoznmkupodiarou"/>
          <w:rFonts w:asciiTheme="majorHAnsi" w:hAnsiTheme="majorHAnsi"/>
          <w:sz w:val="24"/>
          <w:szCs w:val="24"/>
        </w:rPr>
        <w:footnoteReference w:id="2"/>
      </w:r>
      <w:r w:rsidR="005F6114">
        <w:rPr>
          <w:rFonts w:asciiTheme="majorHAnsi" w:hAnsiTheme="majorHAnsi"/>
          <w:sz w:val="24"/>
          <w:szCs w:val="24"/>
        </w:rPr>
        <w:t>, komanditná spoločnosť</w:t>
      </w:r>
      <w:r w:rsidR="005F6114">
        <w:rPr>
          <w:rStyle w:val="Odkaznapoznmkupodiarou"/>
          <w:rFonts w:asciiTheme="majorHAnsi" w:hAnsiTheme="majorHAnsi"/>
          <w:sz w:val="24"/>
          <w:szCs w:val="24"/>
        </w:rPr>
        <w:footnoteReference w:id="3"/>
      </w:r>
      <w:r w:rsidR="005F611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9565B9" w:rsidRDefault="009565B9" w:rsidP="009565B9">
      <w:pPr>
        <w:pStyle w:val="Odsekzoznamu"/>
        <w:spacing w:after="0" w:line="240" w:lineRule="atLeast"/>
        <w:ind w:left="425"/>
        <w:jc w:val="both"/>
        <w:rPr>
          <w:rFonts w:asciiTheme="majorHAnsi" w:hAnsiTheme="majorHAnsi"/>
          <w:sz w:val="24"/>
          <w:szCs w:val="24"/>
        </w:rPr>
      </w:pPr>
    </w:p>
    <w:p w:rsidR="005F6114" w:rsidRDefault="005F6114" w:rsidP="006C3291">
      <w:pPr>
        <w:pStyle w:val="Odsekzoznamu"/>
        <w:numPr>
          <w:ilvl w:val="0"/>
          <w:numId w:val="40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 nie je oprávnená vkladať do obchodnej spoločnosti</w:t>
      </w:r>
      <w:r w:rsidR="008A01F6">
        <w:rPr>
          <w:rFonts w:asciiTheme="majorHAnsi" w:hAnsiTheme="majorHAnsi"/>
          <w:sz w:val="24"/>
          <w:szCs w:val="24"/>
        </w:rPr>
        <w:t xml:space="preserve"> (akciová spoločnosť</w:t>
      </w:r>
      <w:r w:rsidR="008A01F6">
        <w:rPr>
          <w:rStyle w:val="Odkaznapoznmkupodiarou"/>
          <w:rFonts w:asciiTheme="majorHAnsi" w:hAnsiTheme="majorHAnsi"/>
          <w:sz w:val="24"/>
          <w:szCs w:val="24"/>
        </w:rPr>
        <w:footnoteReference w:id="4"/>
      </w:r>
      <w:r w:rsidR="008A01F6">
        <w:rPr>
          <w:rFonts w:asciiTheme="majorHAnsi" w:hAnsiTheme="majorHAnsi"/>
          <w:sz w:val="24"/>
          <w:szCs w:val="24"/>
        </w:rPr>
        <w:t>, spoločnosť s ručením obmedzeným</w:t>
      </w:r>
      <w:r w:rsidR="008A01F6">
        <w:rPr>
          <w:rStyle w:val="Odkaznapoznmkupodiarou"/>
          <w:rFonts w:asciiTheme="majorHAnsi" w:hAnsiTheme="majorHAnsi"/>
          <w:sz w:val="24"/>
          <w:szCs w:val="24"/>
        </w:rPr>
        <w:footnoteReference w:id="5"/>
      </w:r>
      <w:r w:rsidR="008A01F6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alebo družstva</w:t>
      </w:r>
      <w:r w:rsidR="008A01F6">
        <w:rPr>
          <w:rStyle w:val="Odkaznapoznmkupodiarou"/>
          <w:rFonts w:asciiTheme="majorHAnsi" w:hAnsiTheme="majorHAnsi"/>
          <w:sz w:val="24"/>
          <w:szCs w:val="24"/>
        </w:rPr>
        <w:footnoteReference w:id="6"/>
      </w:r>
      <w:r w:rsidR="008A01F6">
        <w:rPr>
          <w:rFonts w:asciiTheme="majorHAnsi" w:hAnsiTheme="majorHAnsi"/>
          <w:sz w:val="24"/>
          <w:szCs w:val="24"/>
        </w:rPr>
        <w:t xml:space="preserve"> nehnuteľný majetok, ktorý získala prevodom od štátu a finančné prostriedky získané dotáciou zo štátneho rozpočtu podľa § 16 ods. 3 </w:t>
      </w:r>
      <w:r w:rsidR="009565B9">
        <w:rPr>
          <w:rFonts w:asciiTheme="majorHAnsi" w:hAnsiTheme="majorHAnsi"/>
          <w:sz w:val="24"/>
          <w:szCs w:val="24"/>
        </w:rPr>
        <w:t xml:space="preserve">písm. a) </w:t>
      </w:r>
      <w:r w:rsidR="008A01F6">
        <w:rPr>
          <w:rFonts w:asciiTheme="majorHAnsi" w:hAnsiTheme="majorHAnsi"/>
          <w:sz w:val="24"/>
          <w:szCs w:val="24"/>
        </w:rPr>
        <w:t>zákona</w:t>
      </w:r>
      <w:r w:rsidR="009565B9">
        <w:rPr>
          <w:rFonts w:asciiTheme="majorHAnsi" w:hAnsiTheme="majorHAnsi"/>
          <w:sz w:val="24"/>
          <w:szCs w:val="24"/>
        </w:rPr>
        <w:t>, t. j. dotácie zo štátneho rozpočtu podľa § 89 zákona, ktor</w:t>
      </w:r>
      <w:r w:rsidR="00A634CE">
        <w:rPr>
          <w:rFonts w:asciiTheme="majorHAnsi" w:hAnsiTheme="majorHAnsi"/>
          <w:sz w:val="24"/>
          <w:szCs w:val="24"/>
        </w:rPr>
        <w:t>ý</w:t>
      </w:r>
      <w:r w:rsidR="009565B9">
        <w:rPr>
          <w:rFonts w:asciiTheme="majorHAnsi" w:hAnsiTheme="majorHAnsi"/>
          <w:sz w:val="24"/>
          <w:szCs w:val="24"/>
        </w:rPr>
        <w:t xml:space="preserve"> upravuje financovanie verejných vysokých škôl</w:t>
      </w:r>
      <w:r w:rsidR="008A01F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565B9" w:rsidRPr="009565B9" w:rsidRDefault="009565B9" w:rsidP="009565B9">
      <w:pPr>
        <w:pStyle w:val="Odsekzoznamu"/>
        <w:rPr>
          <w:rFonts w:asciiTheme="majorHAnsi" w:hAnsiTheme="majorHAnsi"/>
          <w:sz w:val="24"/>
          <w:szCs w:val="24"/>
        </w:rPr>
      </w:pPr>
    </w:p>
    <w:p w:rsidR="009565B9" w:rsidRDefault="004B4FEB" w:rsidP="006C3291">
      <w:pPr>
        <w:pStyle w:val="Odsekzoznamu"/>
        <w:numPr>
          <w:ilvl w:val="0"/>
          <w:numId w:val="40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  môže vložiť svoj majetok ako vklad na účely zmluvy o združení podľa § 829 a </w:t>
      </w:r>
      <w:proofErr w:type="spellStart"/>
      <w:r>
        <w:rPr>
          <w:rFonts w:asciiTheme="majorHAnsi" w:hAnsiTheme="majorHAnsi"/>
          <w:sz w:val="24"/>
          <w:szCs w:val="24"/>
        </w:rPr>
        <w:t>nasl</w:t>
      </w:r>
      <w:proofErr w:type="spellEnd"/>
      <w:r>
        <w:rPr>
          <w:rFonts w:asciiTheme="majorHAnsi" w:hAnsiTheme="majorHAnsi"/>
          <w:sz w:val="24"/>
          <w:szCs w:val="24"/>
        </w:rPr>
        <w:t>. Občianskeho zákonníka len ak dohodnutý účel združenia súvisí s činnosťou STU</w:t>
      </w:r>
      <w:r w:rsidR="00A634CE">
        <w:rPr>
          <w:rFonts w:asciiTheme="majorHAnsi" w:hAnsiTheme="majorHAnsi"/>
          <w:sz w:val="24"/>
          <w:szCs w:val="24"/>
        </w:rPr>
        <w:t>, t. j. s plnením úloh vo vzdelávacej, výskumnej, vývojovej, umeleckej a v ďalšej tvorivej činnosti</w:t>
      </w:r>
      <w:r w:rsidR="00FF4D84">
        <w:rPr>
          <w:rFonts w:asciiTheme="majorHAnsi" w:hAnsiTheme="majorHAnsi"/>
          <w:sz w:val="24"/>
          <w:szCs w:val="24"/>
        </w:rPr>
        <w:t xml:space="preserve">. </w:t>
      </w:r>
    </w:p>
    <w:p w:rsidR="00A634CE" w:rsidRPr="00A634CE" w:rsidRDefault="00A634CE" w:rsidP="00A634CE">
      <w:pPr>
        <w:pStyle w:val="Odsekzoznamu"/>
        <w:rPr>
          <w:rFonts w:asciiTheme="majorHAnsi" w:hAnsiTheme="majorHAnsi"/>
          <w:sz w:val="24"/>
          <w:szCs w:val="24"/>
        </w:rPr>
      </w:pPr>
    </w:p>
    <w:p w:rsidR="00A634CE" w:rsidRDefault="00A634CE" w:rsidP="006C3291">
      <w:pPr>
        <w:pStyle w:val="Odsekzoznamu"/>
        <w:numPr>
          <w:ilvl w:val="0"/>
          <w:numId w:val="40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Akademick</w:t>
      </w:r>
      <w:r w:rsidR="0005187C">
        <w:rPr>
          <w:rFonts w:asciiTheme="majorHAnsi" w:hAnsiTheme="majorHAnsi"/>
          <w:sz w:val="24"/>
          <w:szCs w:val="24"/>
        </w:rPr>
        <w:t xml:space="preserve">ý </w:t>
      </w:r>
      <w:r>
        <w:rPr>
          <w:rFonts w:asciiTheme="majorHAnsi" w:hAnsiTheme="majorHAnsi"/>
          <w:sz w:val="24"/>
          <w:szCs w:val="24"/>
        </w:rPr>
        <w:t xml:space="preserve">senát STU </w:t>
      </w:r>
      <w:r w:rsidR="0005187C">
        <w:rPr>
          <w:rFonts w:asciiTheme="majorHAnsi" w:hAnsiTheme="majorHAnsi"/>
          <w:sz w:val="24"/>
          <w:szCs w:val="24"/>
        </w:rPr>
        <w:t>schvaľuje pred predložením na schválenie Správnej rade STU návrhy rektora na právne úkony, ktorými chce STU</w:t>
      </w:r>
      <w:r>
        <w:rPr>
          <w:rFonts w:asciiTheme="majorHAnsi" w:hAnsiTheme="majorHAnsi"/>
          <w:sz w:val="24"/>
          <w:szCs w:val="24"/>
        </w:rPr>
        <w:t>:</w:t>
      </w:r>
    </w:p>
    <w:p w:rsidR="00E91075" w:rsidRPr="00E91075" w:rsidRDefault="00E91075" w:rsidP="00E91075">
      <w:pPr>
        <w:spacing w:line="240" w:lineRule="atLeast"/>
        <w:jc w:val="both"/>
        <w:rPr>
          <w:rFonts w:asciiTheme="majorHAnsi" w:hAnsiTheme="majorHAnsi"/>
        </w:rPr>
      </w:pPr>
    </w:p>
    <w:p w:rsidR="0005187C" w:rsidRDefault="006D4802" w:rsidP="00A634CE">
      <w:pPr>
        <w:pStyle w:val="Odsekzoznamu"/>
        <w:numPr>
          <w:ilvl w:val="0"/>
          <w:numId w:val="4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05187C">
        <w:rPr>
          <w:rFonts w:asciiTheme="majorHAnsi" w:hAnsiTheme="majorHAnsi"/>
          <w:sz w:val="24"/>
          <w:szCs w:val="24"/>
        </w:rPr>
        <w:t>aložiť inú právnickú osobu alebo vložiť peňažný vklad alebo nepeňažný vklad do nej alebo do iných právnických osôb</w:t>
      </w:r>
      <w:r>
        <w:rPr>
          <w:rFonts w:asciiTheme="majorHAnsi" w:hAnsiTheme="majorHAnsi"/>
          <w:sz w:val="24"/>
          <w:szCs w:val="24"/>
        </w:rPr>
        <w:t>,</w:t>
      </w:r>
    </w:p>
    <w:p w:rsidR="00A634CE" w:rsidRDefault="00A634CE" w:rsidP="00A634CE">
      <w:pPr>
        <w:pStyle w:val="Odsekzoznamu"/>
        <w:numPr>
          <w:ilvl w:val="0"/>
          <w:numId w:val="4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6D4802">
        <w:rPr>
          <w:rFonts w:asciiTheme="majorHAnsi" w:hAnsiTheme="majorHAnsi"/>
          <w:sz w:val="24"/>
          <w:szCs w:val="24"/>
        </w:rPr>
        <w:t xml:space="preserve">ložiť </w:t>
      </w:r>
      <w:r>
        <w:rPr>
          <w:rFonts w:asciiTheme="majorHAnsi" w:hAnsiTheme="majorHAnsi"/>
          <w:sz w:val="24"/>
          <w:szCs w:val="24"/>
        </w:rPr>
        <w:t>majet</w:t>
      </w:r>
      <w:r w:rsidR="006D4802">
        <w:rPr>
          <w:rFonts w:asciiTheme="majorHAnsi" w:hAnsiTheme="majorHAnsi"/>
          <w:sz w:val="24"/>
          <w:szCs w:val="24"/>
        </w:rPr>
        <w:t>ok</w:t>
      </w:r>
      <w:r>
        <w:rPr>
          <w:rFonts w:asciiTheme="majorHAnsi" w:hAnsiTheme="majorHAnsi"/>
          <w:sz w:val="24"/>
          <w:szCs w:val="24"/>
        </w:rPr>
        <w:t xml:space="preserve"> STU do majetku inej právnickej osoby alebo </w:t>
      </w:r>
      <w:r w:rsidR="006D4802">
        <w:rPr>
          <w:rFonts w:asciiTheme="majorHAnsi" w:hAnsiTheme="majorHAnsi"/>
          <w:sz w:val="24"/>
          <w:szCs w:val="24"/>
        </w:rPr>
        <w:t>použiť majetok STU ako v</w:t>
      </w:r>
      <w:r>
        <w:rPr>
          <w:rFonts w:asciiTheme="majorHAnsi" w:hAnsiTheme="majorHAnsi"/>
          <w:sz w:val="24"/>
          <w:szCs w:val="24"/>
        </w:rPr>
        <w:t>klad pri založení inej právnickej osoby</w:t>
      </w:r>
      <w:r w:rsidR="004F4665">
        <w:rPr>
          <w:rFonts w:asciiTheme="majorHAnsi" w:hAnsiTheme="majorHAnsi"/>
          <w:sz w:val="24"/>
          <w:szCs w:val="24"/>
        </w:rPr>
        <w:t>,</w:t>
      </w:r>
      <w:r w:rsidR="004F4665">
        <w:rPr>
          <w:rStyle w:val="Odkaznapoznmkupodiarou"/>
          <w:rFonts w:asciiTheme="majorHAnsi" w:hAnsiTheme="majorHAnsi"/>
          <w:sz w:val="24"/>
          <w:szCs w:val="24"/>
        </w:rPr>
        <w:footnoteReference w:id="7"/>
      </w:r>
      <w:r w:rsidR="004F466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634CE" w:rsidRDefault="004F4665" w:rsidP="00BD404B">
      <w:pPr>
        <w:pStyle w:val="Odsekzoznamu"/>
        <w:numPr>
          <w:ilvl w:val="0"/>
          <w:numId w:val="4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6D4802">
        <w:rPr>
          <w:rFonts w:asciiTheme="majorHAnsi" w:hAnsiTheme="majorHAnsi"/>
          <w:sz w:val="24"/>
          <w:szCs w:val="24"/>
        </w:rPr>
        <w:t xml:space="preserve">ložiť majetok </w:t>
      </w:r>
      <w:r>
        <w:rPr>
          <w:rFonts w:asciiTheme="majorHAnsi" w:hAnsiTheme="majorHAnsi"/>
          <w:sz w:val="24"/>
          <w:szCs w:val="24"/>
        </w:rPr>
        <w:t xml:space="preserve">STU do obchodnej spoločnosti alebo </w:t>
      </w:r>
      <w:r w:rsidR="006D4802">
        <w:rPr>
          <w:rFonts w:asciiTheme="majorHAnsi" w:hAnsiTheme="majorHAnsi"/>
          <w:sz w:val="24"/>
          <w:szCs w:val="24"/>
        </w:rPr>
        <w:t xml:space="preserve">použiť majetok STU ako </w:t>
      </w:r>
      <w:r>
        <w:rPr>
          <w:rFonts w:asciiTheme="majorHAnsi" w:hAnsiTheme="majorHAnsi"/>
          <w:sz w:val="24"/>
          <w:szCs w:val="24"/>
        </w:rPr>
        <w:t>vklad pri založení obchodnej spoločnosti,</w:t>
      </w:r>
      <w:r>
        <w:rPr>
          <w:rStyle w:val="Odkaznapoznmkupodiarou"/>
          <w:rFonts w:asciiTheme="majorHAnsi" w:hAnsiTheme="majorHAnsi"/>
          <w:sz w:val="24"/>
          <w:szCs w:val="24"/>
        </w:rPr>
        <w:footnoteReference w:id="8"/>
      </w:r>
    </w:p>
    <w:p w:rsidR="006D4802" w:rsidRDefault="00BD404B" w:rsidP="00BD404B">
      <w:pPr>
        <w:pStyle w:val="Odsekzoznamu"/>
        <w:numPr>
          <w:ilvl w:val="0"/>
          <w:numId w:val="4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6D4802">
        <w:rPr>
          <w:rFonts w:asciiTheme="majorHAnsi" w:hAnsiTheme="majorHAnsi"/>
          <w:sz w:val="24"/>
          <w:szCs w:val="24"/>
        </w:rPr>
        <w:t xml:space="preserve">ložiť majetok </w:t>
      </w:r>
      <w:r>
        <w:rPr>
          <w:rFonts w:asciiTheme="majorHAnsi" w:hAnsiTheme="majorHAnsi"/>
          <w:sz w:val="24"/>
          <w:szCs w:val="24"/>
        </w:rPr>
        <w:t>špecializovaného výskumného a vývojového pracoviska a majetku špecializovaného umeleckého pracoviska (ďalej len „špecializované pracovisko“)</w:t>
      </w:r>
      <w:r>
        <w:rPr>
          <w:rStyle w:val="Odkaznapoznmkupodiarou"/>
          <w:rFonts w:asciiTheme="majorHAnsi" w:hAnsiTheme="majorHAnsi"/>
          <w:sz w:val="24"/>
          <w:szCs w:val="24"/>
        </w:rPr>
        <w:footnoteReference w:id="9"/>
      </w:r>
      <w:r>
        <w:rPr>
          <w:rFonts w:asciiTheme="majorHAnsi" w:hAnsiTheme="majorHAnsi"/>
          <w:sz w:val="24"/>
          <w:szCs w:val="24"/>
        </w:rPr>
        <w:t>, ktoré STU založila</w:t>
      </w:r>
      <w:r w:rsidR="0005187C">
        <w:rPr>
          <w:rFonts w:asciiTheme="majorHAnsi" w:hAnsiTheme="majorHAnsi"/>
          <w:sz w:val="24"/>
          <w:szCs w:val="24"/>
        </w:rPr>
        <w:t>, do inej právnickej osoby alebo do obchodnej spoločnosti</w:t>
      </w:r>
      <w:r w:rsidR="006D4802">
        <w:rPr>
          <w:rFonts w:asciiTheme="majorHAnsi" w:hAnsiTheme="majorHAnsi"/>
          <w:sz w:val="24"/>
          <w:szCs w:val="24"/>
        </w:rPr>
        <w:t>,</w:t>
      </w:r>
    </w:p>
    <w:p w:rsidR="00E91075" w:rsidRDefault="006D4802" w:rsidP="00050115">
      <w:pPr>
        <w:pStyle w:val="Odsekzoznamu"/>
        <w:numPr>
          <w:ilvl w:val="0"/>
          <w:numId w:val="4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E91075">
        <w:rPr>
          <w:rFonts w:asciiTheme="majorHAnsi" w:hAnsiTheme="majorHAnsi"/>
          <w:sz w:val="24"/>
          <w:szCs w:val="24"/>
        </w:rPr>
        <w:lastRenderedPageBreak/>
        <w:t>vložiť svoj majetok ako  vklad  na  účely  zmluvy o združení podľa § 829 a </w:t>
      </w:r>
      <w:proofErr w:type="spellStart"/>
      <w:r w:rsidRPr="00E91075">
        <w:rPr>
          <w:rFonts w:asciiTheme="majorHAnsi" w:hAnsiTheme="majorHAnsi"/>
          <w:sz w:val="24"/>
          <w:szCs w:val="24"/>
        </w:rPr>
        <w:t>nasl</w:t>
      </w:r>
      <w:proofErr w:type="spellEnd"/>
      <w:r w:rsidRPr="00E91075">
        <w:rPr>
          <w:rFonts w:asciiTheme="majorHAnsi" w:hAnsiTheme="majorHAnsi"/>
          <w:sz w:val="24"/>
          <w:szCs w:val="24"/>
        </w:rPr>
        <w:t>. Občianskeho zákonníka, ak jeho hodnota prevyšuje 6 638,50 eura</w:t>
      </w:r>
      <w:r w:rsidR="00E91075" w:rsidRPr="00E91075">
        <w:rPr>
          <w:rFonts w:asciiTheme="majorHAnsi" w:hAnsiTheme="majorHAnsi"/>
          <w:sz w:val="24"/>
          <w:szCs w:val="24"/>
        </w:rPr>
        <w:t>.</w:t>
      </w:r>
    </w:p>
    <w:p w:rsidR="00050115" w:rsidRPr="00050115" w:rsidRDefault="00050115" w:rsidP="00050115">
      <w:pPr>
        <w:ind w:left="426"/>
        <w:jc w:val="both"/>
        <w:rPr>
          <w:rFonts w:asciiTheme="majorHAnsi" w:hAnsiTheme="majorHAnsi"/>
        </w:rPr>
      </w:pPr>
    </w:p>
    <w:p w:rsidR="00E91075" w:rsidRDefault="00E91075" w:rsidP="00E91075">
      <w:pPr>
        <w:jc w:val="center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Článok 3</w:t>
      </w:r>
    </w:p>
    <w:p w:rsidR="000F59EE" w:rsidRDefault="000F59EE" w:rsidP="00E91075">
      <w:pPr>
        <w:jc w:val="center"/>
        <w:rPr>
          <w:rFonts w:asciiTheme="majorHAnsi" w:hAnsiTheme="majorHAnsi"/>
          <w:b/>
          <w:lang w:val="sk-SK"/>
        </w:rPr>
      </w:pPr>
      <w:r w:rsidRPr="00E91075">
        <w:rPr>
          <w:rFonts w:asciiTheme="majorHAnsi" w:hAnsiTheme="majorHAnsi"/>
          <w:b/>
          <w:lang w:val="sk-SK"/>
        </w:rPr>
        <w:t>Postup pri schvaľovaní vkladov</w:t>
      </w:r>
    </w:p>
    <w:p w:rsidR="00E91075" w:rsidRPr="00E91075" w:rsidRDefault="00E91075" w:rsidP="00E91075">
      <w:pPr>
        <w:jc w:val="center"/>
        <w:rPr>
          <w:rFonts w:asciiTheme="majorHAnsi" w:hAnsiTheme="majorHAnsi"/>
          <w:b/>
          <w:lang w:val="sk-SK"/>
        </w:rPr>
      </w:pPr>
    </w:p>
    <w:p w:rsidR="000F59EE" w:rsidRDefault="000F59EE" w:rsidP="00E91075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>Vypracovanie návrhu na vklad môžu iniciovať členovia kolégia rektora.</w:t>
      </w:r>
    </w:p>
    <w:p w:rsidR="00E91075" w:rsidRPr="000F59EE" w:rsidRDefault="00E91075" w:rsidP="00E91075">
      <w:pPr>
        <w:pStyle w:val="Odsekzoznamu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E91075" w:rsidRDefault="000F59EE" w:rsidP="00E91075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 xml:space="preserve">Návrh na vklad vypracúva osoba poverená rektorom v písomnej forme s odôvodnením. </w:t>
      </w:r>
    </w:p>
    <w:p w:rsidR="00E91075" w:rsidRPr="00E91075" w:rsidRDefault="00E91075" w:rsidP="00E91075">
      <w:pPr>
        <w:pStyle w:val="Odsekzoznamu"/>
        <w:rPr>
          <w:rFonts w:asciiTheme="majorHAnsi" w:hAnsiTheme="majorHAnsi"/>
          <w:sz w:val="24"/>
          <w:szCs w:val="24"/>
        </w:rPr>
      </w:pPr>
    </w:p>
    <w:p w:rsidR="000F59EE" w:rsidRPr="000F59EE" w:rsidRDefault="000F59EE" w:rsidP="00E91075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 xml:space="preserve">Návrh </w:t>
      </w:r>
      <w:r w:rsidR="00E91075">
        <w:rPr>
          <w:rFonts w:asciiTheme="majorHAnsi" w:hAnsiTheme="majorHAnsi"/>
          <w:sz w:val="24"/>
          <w:szCs w:val="24"/>
        </w:rPr>
        <w:t xml:space="preserve">na vklad (ďalej len „návrh“) </w:t>
      </w:r>
      <w:r w:rsidRPr="000F59EE">
        <w:rPr>
          <w:rFonts w:asciiTheme="majorHAnsi" w:hAnsiTheme="majorHAnsi"/>
          <w:sz w:val="24"/>
          <w:szCs w:val="24"/>
        </w:rPr>
        <w:t>obsahuje najmä:</w:t>
      </w:r>
    </w:p>
    <w:p w:rsidR="000F59EE" w:rsidRPr="000F59EE" w:rsidRDefault="000F59EE" w:rsidP="00E91075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>predmet vkladu a výšku vkladu vo finančnom vyjadrení,</w:t>
      </w:r>
    </w:p>
    <w:p w:rsidR="000F59EE" w:rsidRPr="000F59EE" w:rsidRDefault="000F59EE" w:rsidP="00E91075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 xml:space="preserve">zdroje krytia vkladu aj so súhlasom </w:t>
      </w:r>
      <w:r w:rsidR="00E91075">
        <w:rPr>
          <w:rFonts w:asciiTheme="majorHAnsi" w:hAnsiTheme="majorHAnsi"/>
          <w:sz w:val="24"/>
          <w:szCs w:val="24"/>
        </w:rPr>
        <w:t xml:space="preserve">súčasti STU, </w:t>
      </w:r>
      <w:r w:rsidRPr="000F59EE">
        <w:rPr>
          <w:rFonts w:asciiTheme="majorHAnsi" w:hAnsiTheme="majorHAnsi"/>
          <w:sz w:val="24"/>
          <w:szCs w:val="24"/>
        </w:rPr>
        <w:t xml:space="preserve">ktorá </w:t>
      </w:r>
      <w:r w:rsidR="00E91075">
        <w:rPr>
          <w:rFonts w:asciiTheme="majorHAnsi" w:hAnsiTheme="majorHAnsi"/>
          <w:sz w:val="24"/>
          <w:szCs w:val="24"/>
        </w:rPr>
        <w:t xml:space="preserve">s </w:t>
      </w:r>
      <w:r w:rsidRPr="000F59EE">
        <w:rPr>
          <w:rFonts w:asciiTheme="majorHAnsi" w:hAnsiTheme="majorHAnsi"/>
          <w:sz w:val="24"/>
          <w:szCs w:val="24"/>
        </w:rPr>
        <w:t>týmito zdrojmi disponuje,</w:t>
      </w:r>
    </w:p>
    <w:p w:rsidR="000F59EE" w:rsidRPr="000F59EE" w:rsidRDefault="000F59EE" w:rsidP="00E91075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>označenie – špecifikácia právnickej osoby, do ktorej sa vklad má uskutočniť (resp. budúcej právnickej osoby, pokiaľ ide o založenie právnickej osoby),</w:t>
      </w:r>
    </w:p>
    <w:p w:rsidR="000F59EE" w:rsidRPr="000F59EE" w:rsidRDefault="000F59EE" w:rsidP="00E91075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 xml:space="preserve">zdôvodnenie vkladu STU vrátane označenia významu a výhod </w:t>
      </w:r>
      <w:r w:rsidR="00E91075">
        <w:rPr>
          <w:rFonts w:asciiTheme="majorHAnsi" w:hAnsiTheme="majorHAnsi"/>
          <w:sz w:val="24"/>
          <w:szCs w:val="24"/>
        </w:rPr>
        <w:t xml:space="preserve">vkladu </w:t>
      </w:r>
      <w:r w:rsidRPr="000F59EE">
        <w:rPr>
          <w:rFonts w:asciiTheme="majorHAnsi" w:hAnsiTheme="majorHAnsi"/>
          <w:sz w:val="24"/>
          <w:szCs w:val="24"/>
        </w:rPr>
        <w:t>pre STU,</w:t>
      </w:r>
    </w:p>
    <w:p w:rsidR="000F59EE" w:rsidRPr="000F59EE" w:rsidRDefault="000F59EE" w:rsidP="00E91075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>spôsob zabezpečenia napĺňania cieľov vkladu a záujmov STU v právnickej osobe,</w:t>
      </w:r>
    </w:p>
    <w:p w:rsidR="000F59EE" w:rsidRDefault="000F59EE" w:rsidP="00E91075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>iné rozhodujúce okolnosti.</w:t>
      </w:r>
    </w:p>
    <w:p w:rsidR="00E91075" w:rsidRPr="000F59EE" w:rsidRDefault="00E91075" w:rsidP="00E91075">
      <w:pPr>
        <w:pStyle w:val="Odsekzoznamu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0F59EE" w:rsidRDefault="000F59EE" w:rsidP="00E91075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>Návrh po schválení vo vedení STU rektor predloží na schválenie do Akademického senátu STU</w:t>
      </w:r>
      <w:r w:rsidR="00E91075">
        <w:rPr>
          <w:rFonts w:asciiTheme="majorHAnsi" w:hAnsiTheme="majorHAnsi"/>
          <w:sz w:val="24"/>
          <w:szCs w:val="24"/>
        </w:rPr>
        <w:t xml:space="preserve"> (ďalej tiež ako AS STU“)</w:t>
      </w:r>
      <w:r w:rsidRPr="000F59EE">
        <w:rPr>
          <w:rFonts w:asciiTheme="majorHAnsi" w:hAnsiTheme="majorHAnsi"/>
          <w:sz w:val="24"/>
          <w:szCs w:val="24"/>
        </w:rPr>
        <w:t xml:space="preserve">. Ak sa návrh týka zdrojov, ktorými disponuje fakulta </w:t>
      </w:r>
      <w:r w:rsidR="00E91075">
        <w:rPr>
          <w:rFonts w:asciiTheme="majorHAnsi" w:hAnsiTheme="majorHAnsi"/>
          <w:sz w:val="24"/>
          <w:szCs w:val="24"/>
        </w:rPr>
        <w:t xml:space="preserve">alebo </w:t>
      </w:r>
      <w:r w:rsidRPr="000F59EE">
        <w:rPr>
          <w:rFonts w:asciiTheme="majorHAnsi" w:hAnsiTheme="majorHAnsi"/>
          <w:sz w:val="24"/>
          <w:szCs w:val="24"/>
        </w:rPr>
        <w:t>slúžia na plnenie úloh fakulty</w:t>
      </w:r>
      <w:r w:rsidR="00E91075">
        <w:rPr>
          <w:rFonts w:asciiTheme="majorHAnsi" w:hAnsiTheme="majorHAnsi"/>
          <w:sz w:val="24"/>
          <w:szCs w:val="24"/>
        </w:rPr>
        <w:t xml:space="preserve">, </w:t>
      </w:r>
      <w:r w:rsidRPr="000F59EE">
        <w:rPr>
          <w:rFonts w:asciiTheme="majorHAnsi" w:hAnsiTheme="majorHAnsi"/>
          <w:sz w:val="24"/>
          <w:szCs w:val="24"/>
        </w:rPr>
        <w:t xml:space="preserve">k návrhu je potrebné priložiť aj vyjadrenie </w:t>
      </w:r>
      <w:r w:rsidR="00E91075">
        <w:rPr>
          <w:rFonts w:asciiTheme="majorHAnsi" w:hAnsiTheme="majorHAnsi"/>
          <w:sz w:val="24"/>
          <w:szCs w:val="24"/>
        </w:rPr>
        <w:t xml:space="preserve">príslušného </w:t>
      </w:r>
      <w:r w:rsidRPr="000F59EE">
        <w:rPr>
          <w:rFonts w:asciiTheme="majorHAnsi" w:hAnsiTheme="majorHAnsi"/>
          <w:sz w:val="24"/>
          <w:szCs w:val="24"/>
        </w:rPr>
        <w:t>akademického senátu fakulty.</w:t>
      </w:r>
    </w:p>
    <w:p w:rsidR="00E91075" w:rsidRPr="000F59EE" w:rsidRDefault="00E91075" w:rsidP="00E91075">
      <w:pPr>
        <w:pStyle w:val="Odsekzoznamu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0F59EE" w:rsidRDefault="000F59EE" w:rsidP="00E91075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>Po schválení návrhu v AS STU rektor návrh spolu s uznesením AS STU predloží v písomnej forme na schválenie v Správnej rade STU.</w:t>
      </w:r>
    </w:p>
    <w:p w:rsidR="00E91075" w:rsidRPr="00E91075" w:rsidRDefault="00E91075" w:rsidP="00E91075">
      <w:pPr>
        <w:pStyle w:val="Odsekzoznamu"/>
        <w:rPr>
          <w:rFonts w:asciiTheme="majorHAnsi" w:hAnsiTheme="majorHAnsi"/>
          <w:sz w:val="24"/>
          <w:szCs w:val="24"/>
        </w:rPr>
      </w:pPr>
    </w:p>
    <w:p w:rsidR="000F59EE" w:rsidRPr="00E91075" w:rsidRDefault="000F59EE" w:rsidP="00E91075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91075">
        <w:rPr>
          <w:rFonts w:asciiTheme="majorHAnsi" w:hAnsiTheme="majorHAnsi"/>
          <w:sz w:val="24"/>
          <w:szCs w:val="24"/>
        </w:rPr>
        <w:t xml:space="preserve">Po schválení návrhu v správnej rade rektor uloží zrealizovať úkony súvisiace s realizáciou vkladu príslušným </w:t>
      </w:r>
      <w:r w:rsidR="00E91075">
        <w:rPr>
          <w:rFonts w:asciiTheme="majorHAnsi" w:hAnsiTheme="majorHAnsi"/>
          <w:sz w:val="24"/>
          <w:szCs w:val="24"/>
        </w:rPr>
        <w:t xml:space="preserve">organizačným zložkám Rektorátu STU. </w:t>
      </w:r>
    </w:p>
    <w:p w:rsidR="000F59EE" w:rsidRPr="000F59EE" w:rsidRDefault="000F59EE" w:rsidP="000F59EE">
      <w:pPr>
        <w:jc w:val="both"/>
        <w:rPr>
          <w:rFonts w:asciiTheme="majorHAnsi" w:hAnsiTheme="majorHAnsi"/>
          <w:lang w:val="sk-SK"/>
        </w:rPr>
      </w:pPr>
    </w:p>
    <w:p w:rsidR="000F59EE" w:rsidRDefault="00034D5C" w:rsidP="00034D5C">
      <w:pPr>
        <w:pStyle w:val="Odsekzoznamu"/>
        <w:numPr>
          <w:ilvl w:val="0"/>
          <w:numId w:val="27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034D5C">
        <w:rPr>
          <w:rFonts w:asciiTheme="majorHAnsi" w:hAnsiTheme="majorHAnsi"/>
          <w:sz w:val="24"/>
          <w:szCs w:val="24"/>
        </w:rPr>
        <w:t xml:space="preserve">Postup uvedený v bodoch 1 až 6 tohto článku sa použije aj </w:t>
      </w:r>
      <w:r w:rsidR="000F59EE" w:rsidRPr="00034D5C">
        <w:rPr>
          <w:rFonts w:asciiTheme="majorHAnsi" w:hAnsiTheme="majorHAnsi"/>
          <w:sz w:val="24"/>
          <w:szCs w:val="24"/>
        </w:rPr>
        <w:t>pri návrhu na vklad pri založení inej právnickej osoby.</w:t>
      </w:r>
    </w:p>
    <w:p w:rsidR="00034D5C" w:rsidRPr="00034D5C" w:rsidRDefault="00034D5C" w:rsidP="00034D5C">
      <w:pPr>
        <w:pStyle w:val="Odsekzoznamu"/>
        <w:rPr>
          <w:rFonts w:asciiTheme="majorHAnsi" w:hAnsiTheme="majorHAnsi"/>
          <w:sz w:val="24"/>
          <w:szCs w:val="24"/>
        </w:rPr>
      </w:pPr>
    </w:p>
    <w:p w:rsidR="00034D5C" w:rsidRPr="00034D5C" w:rsidRDefault="00034D5C" w:rsidP="00034D5C">
      <w:pPr>
        <w:pStyle w:val="Odsekzoznamu"/>
        <w:numPr>
          <w:ilvl w:val="0"/>
          <w:numId w:val="27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Postup uvedený v bodoch 1 až 6 tohto článku sa primerane použije aj na zánik účasti STU v obchodnej spoločnosti alebo v inej právnickej osobe, ako aj v prípade zvýšenia alebo zníženia majetkovej účasti STU v obchodnej spoločnosti alebo v inej právnickej osobe.</w:t>
      </w:r>
    </w:p>
    <w:p w:rsidR="00687A6D" w:rsidRDefault="00687A6D" w:rsidP="00034D5C">
      <w:pPr>
        <w:jc w:val="center"/>
        <w:rPr>
          <w:rFonts w:asciiTheme="majorHAnsi" w:hAnsiTheme="majorHAnsi"/>
          <w:b/>
          <w:lang w:val="sk-SK"/>
        </w:rPr>
      </w:pPr>
    </w:p>
    <w:p w:rsidR="00687A6D" w:rsidRDefault="00687A6D" w:rsidP="00034D5C">
      <w:pPr>
        <w:jc w:val="center"/>
        <w:rPr>
          <w:rFonts w:asciiTheme="majorHAnsi" w:hAnsiTheme="majorHAnsi"/>
          <w:b/>
          <w:lang w:val="sk-SK"/>
        </w:rPr>
      </w:pPr>
    </w:p>
    <w:p w:rsidR="00687A6D" w:rsidRDefault="00687A6D" w:rsidP="00034D5C">
      <w:pPr>
        <w:jc w:val="center"/>
        <w:rPr>
          <w:rFonts w:asciiTheme="majorHAnsi" w:hAnsiTheme="majorHAnsi"/>
          <w:b/>
          <w:lang w:val="sk-SK"/>
        </w:rPr>
      </w:pPr>
    </w:p>
    <w:p w:rsidR="00687A6D" w:rsidRDefault="00687A6D" w:rsidP="00034D5C">
      <w:pPr>
        <w:jc w:val="center"/>
        <w:rPr>
          <w:rFonts w:asciiTheme="majorHAnsi" w:hAnsiTheme="majorHAnsi"/>
          <w:b/>
          <w:lang w:val="sk-SK"/>
        </w:rPr>
      </w:pPr>
    </w:p>
    <w:p w:rsidR="00687A6D" w:rsidRDefault="00687A6D" w:rsidP="00034D5C">
      <w:pPr>
        <w:jc w:val="center"/>
        <w:rPr>
          <w:rFonts w:asciiTheme="majorHAnsi" w:hAnsiTheme="majorHAnsi"/>
          <w:b/>
          <w:lang w:val="sk-SK"/>
        </w:rPr>
      </w:pPr>
    </w:p>
    <w:p w:rsidR="00034D5C" w:rsidRDefault="00034D5C" w:rsidP="00034D5C">
      <w:pPr>
        <w:jc w:val="center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lastRenderedPageBreak/>
        <w:t>Článok 4</w:t>
      </w:r>
    </w:p>
    <w:p w:rsidR="00034D5C" w:rsidRDefault="00034D5C" w:rsidP="00034D5C">
      <w:pPr>
        <w:jc w:val="center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 xml:space="preserve">Ochrana záujmov STU </w:t>
      </w:r>
    </w:p>
    <w:p w:rsidR="00034D5C" w:rsidRPr="00034D5C" w:rsidRDefault="00034D5C" w:rsidP="00034D5C">
      <w:pPr>
        <w:jc w:val="center"/>
        <w:rPr>
          <w:rFonts w:asciiTheme="majorHAnsi" w:hAnsiTheme="majorHAnsi"/>
          <w:b/>
          <w:lang w:val="sk-SK"/>
        </w:rPr>
      </w:pPr>
    </w:p>
    <w:p w:rsidR="000F59EE" w:rsidRDefault="00034D5C" w:rsidP="00034D5C">
      <w:pPr>
        <w:pStyle w:val="Odsekzoznamu"/>
        <w:numPr>
          <w:ilvl w:val="0"/>
          <w:numId w:val="29"/>
        </w:numPr>
        <w:spacing w:after="0" w:line="240" w:lineRule="atLeast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Výkon </w:t>
      </w:r>
      <w:r w:rsidR="000F59EE" w:rsidRPr="00034D5C">
        <w:rPr>
          <w:rFonts w:asciiTheme="majorHAnsi" w:hAnsiTheme="majorHAnsi"/>
          <w:sz w:val="24"/>
          <w:szCs w:val="24"/>
        </w:rPr>
        <w:t xml:space="preserve">práv a povinností </w:t>
      </w:r>
      <w:r>
        <w:rPr>
          <w:rFonts w:asciiTheme="majorHAnsi" w:hAnsiTheme="majorHAnsi"/>
          <w:sz w:val="24"/>
          <w:szCs w:val="24"/>
        </w:rPr>
        <w:t xml:space="preserve">STU </w:t>
      </w:r>
      <w:r w:rsidR="000F59EE" w:rsidRPr="00034D5C">
        <w:rPr>
          <w:rFonts w:asciiTheme="majorHAnsi" w:hAnsiTheme="majorHAnsi"/>
          <w:sz w:val="24"/>
          <w:szCs w:val="24"/>
        </w:rPr>
        <w:t xml:space="preserve">a ochrana záujmov </w:t>
      </w:r>
      <w:r>
        <w:rPr>
          <w:rFonts w:asciiTheme="majorHAnsi" w:hAnsiTheme="majorHAnsi"/>
          <w:sz w:val="24"/>
          <w:szCs w:val="24"/>
        </w:rPr>
        <w:t xml:space="preserve">STU </w:t>
      </w:r>
      <w:r w:rsidR="000F59EE" w:rsidRPr="00034D5C">
        <w:rPr>
          <w:rFonts w:asciiTheme="majorHAnsi" w:hAnsiTheme="majorHAnsi"/>
          <w:sz w:val="24"/>
          <w:szCs w:val="24"/>
        </w:rPr>
        <w:t>v právnických osobách, ktoré založila alebo do ktorých uskutočnila vklady</w:t>
      </w:r>
      <w:r>
        <w:rPr>
          <w:rFonts w:asciiTheme="majorHAnsi" w:hAnsiTheme="majorHAnsi"/>
          <w:sz w:val="24"/>
          <w:szCs w:val="24"/>
        </w:rPr>
        <w:t>, sa zabezpečuje postupom uvedeným v tomto článku.</w:t>
      </w:r>
    </w:p>
    <w:p w:rsidR="00034D5C" w:rsidRPr="00034D5C" w:rsidRDefault="00034D5C" w:rsidP="00034D5C">
      <w:pPr>
        <w:pStyle w:val="Odsekzoznamu"/>
        <w:spacing w:after="0" w:line="240" w:lineRule="atLeast"/>
        <w:ind w:left="426"/>
        <w:jc w:val="both"/>
        <w:rPr>
          <w:rFonts w:asciiTheme="majorHAnsi" w:hAnsiTheme="majorHAnsi"/>
          <w:sz w:val="24"/>
          <w:szCs w:val="24"/>
        </w:rPr>
      </w:pPr>
    </w:p>
    <w:p w:rsidR="0020174E" w:rsidRDefault="000F59EE" w:rsidP="00034D5C">
      <w:pPr>
        <w:pStyle w:val="Odsekzoznamu"/>
        <w:numPr>
          <w:ilvl w:val="0"/>
          <w:numId w:val="29"/>
        </w:numPr>
        <w:spacing w:after="0" w:line="240" w:lineRule="atLeas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34D5C">
        <w:rPr>
          <w:rFonts w:asciiTheme="majorHAnsi" w:hAnsiTheme="majorHAnsi"/>
          <w:sz w:val="24"/>
          <w:szCs w:val="24"/>
        </w:rPr>
        <w:t xml:space="preserve">Rektor poverí konkrétnu osobu alebo viacero osôb zabezpečením napĺňania </w:t>
      </w:r>
      <w:r w:rsidRPr="000F59EE">
        <w:rPr>
          <w:rFonts w:asciiTheme="majorHAnsi" w:hAnsiTheme="majorHAnsi"/>
          <w:sz w:val="24"/>
          <w:szCs w:val="24"/>
        </w:rPr>
        <w:t>cieľov a</w:t>
      </w:r>
      <w:r w:rsidR="00034D5C">
        <w:rPr>
          <w:rFonts w:asciiTheme="majorHAnsi" w:hAnsiTheme="majorHAnsi"/>
          <w:sz w:val="24"/>
          <w:szCs w:val="24"/>
        </w:rPr>
        <w:t> </w:t>
      </w:r>
      <w:r w:rsidRPr="000F59EE">
        <w:rPr>
          <w:rFonts w:asciiTheme="majorHAnsi" w:hAnsiTheme="majorHAnsi"/>
          <w:sz w:val="24"/>
          <w:szCs w:val="24"/>
        </w:rPr>
        <w:t>záujmov</w:t>
      </w:r>
      <w:r w:rsidR="00034D5C">
        <w:rPr>
          <w:rFonts w:asciiTheme="majorHAnsi" w:hAnsiTheme="majorHAnsi"/>
          <w:sz w:val="24"/>
          <w:szCs w:val="24"/>
        </w:rPr>
        <w:t xml:space="preserve">, </w:t>
      </w:r>
      <w:r w:rsidRPr="000F59EE">
        <w:rPr>
          <w:rFonts w:asciiTheme="majorHAnsi" w:hAnsiTheme="majorHAnsi"/>
          <w:sz w:val="24"/>
          <w:szCs w:val="24"/>
        </w:rPr>
        <w:t>pre ktoré STU vklad do právnickej osoby uskutočnila</w:t>
      </w:r>
      <w:r w:rsidR="00034D5C">
        <w:rPr>
          <w:rFonts w:asciiTheme="majorHAnsi" w:hAnsiTheme="majorHAnsi"/>
          <w:sz w:val="24"/>
          <w:szCs w:val="24"/>
        </w:rPr>
        <w:t xml:space="preserve"> (ďalej len „poverená osoba“)</w:t>
      </w:r>
      <w:r w:rsidRPr="000F59EE">
        <w:rPr>
          <w:rFonts w:asciiTheme="majorHAnsi" w:hAnsiTheme="majorHAnsi"/>
          <w:sz w:val="24"/>
          <w:szCs w:val="24"/>
        </w:rPr>
        <w:t>, a to najmä</w:t>
      </w:r>
      <w:r w:rsidR="003308F9">
        <w:rPr>
          <w:rFonts w:asciiTheme="majorHAnsi" w:hAnsiTheme="majorHAnsi"/>
          <w:sz w:val="24"/>
          <w:szCs w:val="24"/>
        </w:rPr>
        <w:t>:</w:t>
      </w:r>
    </w:p>
    <w:p w:rsidR="0020174E" w:rsidRPr="0020174E" w:rsidRDefault="0020174E" w:rsidP="0020174E">
      <w:pPr>
        <w:pStyle w:val="Odsekzoznamu"/>
        <w:rPr>
          <w:rFonts w:asciiTheme="majorHAnsi" w:hAnsiTheme="majorHAnsi"/>
          <w:sz w:val="24"/>
          <w:szCs w:val="24"/>
        </w:rPr>
      </w:pPr>
    </w:p>
    <w:p w:rsidR="00E210D0" w:rsidRDefault="0020174E" w:rsidP="00E210D0">
      <w:pPr>
        <w:pStyle w:val="Odsekzoznamu"/>
        <w:spacing w:after="0" w:line="240" w:lineRule="atLeast"/>
        <w:ind w:left="851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C56BD2">
        <w:rPr>
          <w:rFonts w:asciiTheme="majorHAnsi" w:hAnsiTheme="majorHAnsi"/>
          <w:sz w:val="24"/>
          <w:szCs w:val="24"/>
        </w:rPr>
        <w:t xml:space="preserve"> </w:t>
      </w:r>
      <w:r w:rsidR="00E210D0">
        <w:rPr>
          <w:rFonts w:asciiTheme="majorHAnsi" w:hAnsiTheme="majorHAnsi"/>
          <w:sz w:val="24"/>
          <w:szCs w:val="24"/>
        </w:rPr>
        <w:t>primeraným zastúpením v predstavenstve obchodnej spoločnosti alebo v inom riadiacom orgáne inej právnickej osoby, a to s ohľadom na výšku podielu vkladu v tejto právnickej osobe,</w:t>
      </w:r>
    </w:p>
    <w:p w:rsidR="00C56BD2" w:rsidRPr="00E210D0" w:rsidRDefault="00E210D0" w:rsidP="00E210D0">
      <w:pPr>
        <w:pStyle w:val="Odsekzoznamu"/>
        <w:spacing w:after="0" w:line="240" w:lineRule="atLeast"/>
        <w:ind w:left="851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  </w:t>
      </w:r>
      <w:r w:rsidR="000F59EE" w:rsidRPr="00E210D0">
        <w:rPr>
          <w:rFonts w:asciiTheme="majorHAnsi" w:hAnsiTheme="majorHAnsi"/>
          <w:sz w:val="24"/>
          <w:szCs w:val="24"/>
        </w:rPr>
        <w:t>formou poverenia na členstvo v dozornej rade obchodnej spoločnosti alebo v</w:t>
      </w:r>
      <w:r w:rsidR="0020174E" w:rsidRPr="00E210D0">
        <w:rPr>
          <w:rFonts w:asciiTheme="majorHAnsi" w:hAnsiTheme="majorHAnsi"/>
          <w:sz w:val="24"/>
          <w:szCs w:val="24"/>
        </w:rPr>
        <w:t xml:space="preserve"> inom </w:t>
      </w:r>
      <w:r w:rsidR="000F59EE" w:rsidRPr="00E210D0">
        <w:rPr>
          <w:rFonts w:asciiTheme="majorHAnsi" w:hAnsiTheme="majorHAnsi"/>
          <w:sz w:val="24"/>
          <w:szCs w:val="24"/>
        </w:rPr>
        <w:t xml:space="preserve">kontrolnom orgáne </w:t>
      </w:r>
      <w:r w:rsidR="00034D5C" w:rsidRPr="00E210D0">
        <w:rPr>
          <w:rFonts w:asciiTheme="majorHAnsi" w:hAnsiTheme="majorHAnsi"/>
          <w:sz w:val="24"/>
          <w:szCs w:val="24"/>
        </w:rPr>
        <w:t xml:space="preserve">inej </w:t>
      </w:r>
      <w:r w:rsidR="000F59EE" w:rsidRPr="00E210D0">
        <w:rPr>
          <w:rFonts w:asciiTheme="majorHAnsi" w:hAnsiTheme="majorHAnsi"/>
          <w:sz w:val="24"/>
          <w:szCs w:val="24"/>
        </w:rPr>
        <w:t>právnickej osoby</w:t>
      </w:r>
      <w:r>
        <w:rPr>
          <w:rFonts w:asciiTheme="majorHAnsi" w:hAnsiTheme="majorHAnsi"/>
          <w:sz w:val="24"/>
          <w:szCs w:val="24"/>
        </w:rPr>
        <w:t>.</w:t>
      </w:r>
    </w:p>
    <w:p w:rsidR="00034D5C" w:rsidRPr="00034D5C" w:rsidRDefault="00034D5C" w:rsidP="00034D5C">
      <w:pPr>
        <w:spacing w:line="240" w:lineRule="atLeast"/>
        <w:jc w:val="both"/>
        <w:rPr>
          <w:rFonts w:asciiTheme="majorHAnsi" w:hAnsiTheme="majorHAnsi"/>
        </w:rPr>
      </w:pPr>
    </w:p>
    <w:p w:rsidR="000F59EE" w:rsidRDefault="000F59EE" w:rsidP="00034D5C">
      <w:pPr>
        <w:pStyle w:val="Odsekzoznamu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>Poverená osoba predkladá rektorovi raz ročne informáciu o činnosti právnickej osoby, do ktorej STU vklad uskutočnila a stav napĺňania cieľov, pre ktoré tak urobila.</w:t>
      </w:r>
    </w:p>
    <w:p w:rsidR="00034D5C" w:rsidRPr="00034D5C" w:rsidRDefault="00034D5C" w:rsidP="00034D5C">
      <w:pPr>
        <w:jc w:val="both"/>
        <w:rPr>
          <w:rFonts w:asciiTheme="majorHAnsi" w:hAnsiTheme="majorHAnsi"/>
        </w:rPr>
      </w:pPr>
    </w:p>
    <w:p w:rsidR="000F59EE" w:rsidRPr="000F59EE" w:rsidRDefault="000F59EE" w:rsidP="00034D5C">
      <w:pPr>
        <w:pStyle w:val="Odsekzoznamu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z w:val="24"/>
          <w:szCs w:val="24"/>
        </w:rPr>
        <w:t xml:space="preserve">Zastupovanie STU na valných zhromaždeniach obchodných spoločností vykonáva rektor alebo ním </w:t>
      </w:r>
      <w:r w:rsidR="00034D5C">
        <w:rPr>
          <w:rFonts w:asciiTheme="majorHAnsi" w:hAnsiTheme="majorHAnsi"/>
          <w:sz w:val="24"/>
          <w:szCs w:val="24"/>
        </w:rPr>
        <w:t xml:space="preserve">písomne </w:t>
      </w:r>
      <w:r w:rsidRPr="000F59EE">
        <w:rPr>
          <w:rFonts w:asciiTheme="majorHAnsi" w:hAnsiTheme="majorHAnsi"/>
          <w:sz w:val="24"/>
          <w:szCs w:val="24"/>
        </w:rPr>
        <w:t>poverený zástupca.</w:t>
      </w:r>
    </w:p>
    <w:p w:rsidR="000F59EE" w:rsidRPr="000F59EE" w:rsidRDefault="000F59EE" w:rsidP="000F59EE">
      <w:pPr>
        <w:jc w:val="both"/>
        <w:rPr>
          <w:rFonts w:asciiTheme="majorHAnsi" w:hAnsiTheme="majorHAnsi"/>
          <w:lang w:val="sk-SK"/>
        </w:rPr>
      </w:pPr>
    </w:p>
    <w:p w:rsidR="000F59EE" w:rsidRPr="000F59EE" w:rsidRDefault="000F59EE" w:rsidP="000F59EE">
      <w:pPr>
        <w:jc w:val="both"/>
        <w:rPr>
          <w:rFonts w:asciiTheme="majorHAnsi" w:hAnsiTheme="majorHAnsi"/>
          <w:lang w:val="sk-SK"/>
        </w:rPr>
      </w:pPr>
    </w:p>
    <w:p w:rsidR="000F59EE" w:rsidRPr="00FF4D84" w:rsidRDefault="00FF4D84" w:rsidP="00FF4D84">
      <w:pPr>
        <w:spacing w:line="240" w:lineRule="atLeast"/>
        <w:jc w:val="center"/>
        <w:rPr>
          <w:rFonts w:asciiTheme="majorHAnsi" w:hAnsiTheme="majorHAnsi"/>
          <w:b/>
          <w:lang w:val="sk-SK"/>
        </w:rPr>
      </w:pPr>
      <w:r w:rsidRPr="00FF4D84">
        <w:rPr>
          <w:rFonts w:asciiTheme="majorHAnsi" w:hAnsiTheme="majorHAnsi"/>
          <w:b/>
          <w:lang w:val="sk-SK"/>
        </w:rPr>
        <w:t>Článok 5</w:t>
      </w:r>
    </w:p>
    <w:p w:rsidR="00FF4D84" w:rsidRPr="00FF4D84" w:rsidRDefault="00FF4D84" w:rsidP="00FF4D84">
      <w:pPr>
        <w:spacing w:line="240" w:lineRule="atLeast"/>
        <w:jc w:val="center"/>
        <w:rPr>
          <w:rFonts w:asciiTheme="majorHAnsi" w:hAnsiTheme="majorHAnsi"/>
          <w:b/>
          <w:lang w:val="sk-SK"/>
        </w:rPr>
      </w:pPr>
      <w:r w:rsidRPr="00FF4D84">
        <w:rPr>
          <w:rFonts w:asciiTheme="majorHAnsi" w:hAnsiTheme="majorHAnsi"/>
          <w:b/>
          <w:lang w:val="sk-SK"/>
        </w:rPr>
        <w:t>Záverečné ustanovenia</w:t>
      </w:r>
    </w:p>
    <w:p w:rsidR="00FF4D84" w:rsidRPr="00FF4D84" w:rsidRDefault="00FF4D84" w:rsidP="00FF4D84">
      <w:pPr>
        <w:spacing w:line="240" w:lineRule="atLeast"/>
        <w:jc w:val="center"/>
        <w:rPr>
          <w:rFonts w:asciiTheme="majorHAnsi" w:hAnsiTheme="majorHAnsi"/>
          <w:b/>
          <w:lang w:val="sk-SK"/>
        </w:rPr>
      </w:pPr>
    </w:p>
    <w:p w:rsidR="00FF4D84" w:rsidRDefault="00FF4D84" w:rsidP="00FF4D84">
      <w:pPr>
        <w:pStyle w:val="Odsekzoznamu"/>
        <w:numPr>
          <w:ilvl w:val="0"/>
          <w:numId w:val="42"/>
        </w:numPr>
        <w:spacing w:after="0" w:line="240" w:lineRule="atLeas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F4D84">
        <w:rPr>
          <w:rFonts w:asciiTheme="majorHAnsi" w:hAnsiTheme="majorHAnsi"/>
          <w:sz w:val="24"/>
          <w:szCs w:val="24"/>
        </w:rPr>
        <w:t xml:space="preserve">Akékoľvek zmeny a doplnenia týchto pravidiel </w:t>
      </w:r>
      <w:r>
        <w:rPr>
          <w:rFonts w:asciiTheme="majorHAnsi" w:hAnsiTheme="majorHAnsi"/>
          <w:sz w:val="24"/>
          <w:szCs w:val="24"/>
        </w:rPr>
        <w:t>sú</w:t>
      </w:r>
      <w:r w:rsidRPr="00FF4D84">
        <w:rPr>
          <w:rFonts w:asciiTheme="majorHAnsi" w:hAnsiTheme="majorHAnsi"/>
          <w:sz w:val="24"/>
          <w:szCs w:val="24"/>
        </w:rPr>
        <w:t xml:space="preserve"> možné </w:t>
      </w:r>
      <w:r>
        <w:rPr>
          <w:rFonts w:asciiTheme="majorHAnsi" w:hAnsiTheme="majorHAnsi"/>
          <w:sz w:val="24"/>
          <w:szCs w:val="24"/>
        </w:rPr>
        <w:t>len na základe číslovaných písomných dodatkov k nim, po schválení v Akademickom senáte STU.</w:t>
      </w:r>
    </w:p>
    <w:p w:rsidR="00FF4D84" w:rsidRDefault="00FF4D84" w:rsidP="00FF4D84">
      <w:pPr>
        <w:pStyle w:val="Odsekzoznamu"/>
        <w:spacing w:after="0" w:line="240" w:lineRule="atLeast"/>
        <w:ind w:left="426"/>
        <w:jc w:val="both"/>
        <w:rPr>
          <w:rFonts w:asciiTheme="majorHAnsi" w:hAnsiTheme="majorHAnsi"/>
          <w:sz w:val="24"/>
          <w:szCs w:val="24"/>
        </w:rPr>
      </w:pPr>
    </w:p>
    <w:p w:rsidR="00FF4D84" w:rsidRDefault="00FF4D84" w:rsidP="00FF4D84">
      <w:pPr>
        <w:pStyle w:val="Odsekzoznamu"/>
        <w:numPr>
          <w:ilvl w:val="0"/>
          <w:numId w:val="42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0F59EE">
        <w:rPr>
          <w:rFonts w:asciiTheme="majorHAnsi" w:hAnsiTheme="majorHAnsi"/>
          <w:spacing w:val="-1"/>
          <w:sz w:val="24"/>
          <w:szCs w:val="24"/>
        </w:rPr>
        <w:t>Ruší sa vnútorný predpis STU číslo 6</w:t>
      </w:r>
      <w:r w:rsidRPr="000F59EE">
        <w:rPr>
          <w:rFonts w:asciiTheme="majorHAnsi" w:hAnsiTheme="majorHAnsi"/>
          <w:sz w:val="24"/>
          <w:szCs w:val="24"/>
        </w:rPr>
        <w:t xml:space="preserve">/2007 – N zo dňa 19. 11. 2007 </w:t>
      </w:r>
      <w:r>
        <w:rPr>
          <w:rFonts w:asciiTheme="majorHAnsi" w:hAnsiTheme="majorHAnsi"/>
          <w:sz w:val="24"/>
          <w:szCs w:val="24"/>
        </w:rPr>
        <w:t>P</w:t>
      </w:r>
      <w:r w:rsidRPr="000F59EE">
        <w:rPr>
          <w:rFonts w:asciiTheme="majorHAnsi" w:hAnsiTheme="majorHAnsi"/>
          <w:sz w:val="24"/>
          <w:szCs w:val="24"/>
        </w:rPr>
        <w:t>ravidlá vkladania peňažných vkladov alebo nepeňažných vkladov STU do iných právnických osôb</w:t>
      </w:r>
      <w:r>
        <w:rPr>
          <w:rFonts w:asciiTheme="majorHAnsi" w:hAnsiTheme="majorHAnsi"/>
          <w:sz w:val="24"/>
          <w:szCs w:val="24"/>
        </w:rPr>
        <w:t>.</w:t>
      </w:r>
    </w:p>
    <w:p w:rsidR="00FF4D84" w:rsidRPr="00FF4D84" w:rsidRDefault="00FF4D84" w:rsidP="00FF4D84">
      <w:pPr>
        <w:pStyle w:val="Odsekzoznamu"/>
        <w:rPr>
          <w:rFonts w:asciiTheme="majorHAnsi" w:hAnsiTheme="majorHAnsi"/>
          <w:sz w:val="24"/>
          <w:szCs w:val="24"/>
        </w:rPr>
      </w:pPr>
    </w:p>
    <w:p w:rsidR="000F59EE" w:rsidRDefault="000F59EE" w:rsidP="00FF4D84">
      <w:pPr>
        <w:pStyle w:val="Odsekzoznamu"/>
        <w:numPr>
          <w:ilvl w:val="0"/>
          <w:numId w:val="42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FF4D84">
        <w:rPr>
          <w:rFonts w:asciiTheme="majorHAnsi" w:hAnsiTheme="majorHAnsi"/>
          <w:sz w:val="24"/>
          <w:szCs w:val="24"/>
        </w:rPr>
        <w:t xml:space="preserve">Tieto pravidlá boli schválené v Akademickom senáte STU dňa </w:t>
      </w:r>
      <w:r w:rsidR="00FF4D84">
        <w:rPr>
          <w:rFonts w:asciiTheme="majorHAnsi" w:hAnsiTheme="majorHAnsi"/>
          <w:sz w:val="24"/>
          <w:szCs w:val="24"/>
        </w:rPr>
        <w:t xml:space="preserve">13. marca 2017. </w:t>
      </w:r>
      <w:r w:rsidRPr="00FF4D84">
        <w:rPr>
          <w:rFonts w:asciiTheme="majorHAnsi" w:hAnsiTheme="majorHAnsi"/>
          <w:sz w:val="24"/>
          <w:szCs w:val="24"/>
        </w:rPr>
        <w:t xml:space="preserve"> </w:t>
      </w:r>
    </w:p>
    <w:p w:rsidR="00FF4D84" w:rsidRPr="00FF4D84" w:rsidRDefault="00FF4D84" w:rsidP="00FF4D84">
      <w:pPr>
        <w:pStyle w:val="Odsekzoznamu"/>
        <w:rPr>
          <w:rFonts w:asciiTheme="majorHAnsi" w:hAnsiTheme="majorHAnsi"/>
          <w:sz w:val="24"/>
          <w:szCs w:val="24"/>
        </w:rPr>
      </w:pPr>
    </w:p>
    <w:p w:rsidR="000F59EE" w:rsidRPr="00FF4D84" w:rsidRDefault="00FF4D84" w:rsidP="00FF4D84">
      <w:pPr>
        <w:pStyle w:val="Odsekzoznamu"/>
        <w:numPr>
          <w:ilvl w:val="0"/>
          <w:numId w:val="42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FF4D84">
        <w:rPr>
          <w:rFonts w:asciiTheme="majorHAnsi" w:hAnsiTheme="majorHAnsi"/>
          <w:sz w:val="24"/>
          <w:szCs w:val="24"/>
        </w:rPr>
        <w:t>P</w:t>
      </w:r>
      <w:r w:rsidR="000F59EE" w:rsidRPr="00FF4D84">
        <w:rPr>
          <w:rFonts w:asciiTheme="majorHAnsi" w:hAnsiTheme="majorHAnsi"/>
          <w:sz w:val="24"/>
          <w:szCs w:val="24"/>
        </w:rPr>
        <w:t xml:space="preserve">ravidlá nadobúdajú platnosť </w:t>
      </w:r>
      <w:r w:rsidRPr="00FF4D84">
        <w:rPr>
          <w:rFonts w:asciiTheme="majorHAnsi" w:hAnsiTheme="majorHAnsi"/>
          <w:sz w:val="24"/>
          <w:szCs w:val="24"/>
        </w:rPr>
        <w:t xml:space="preserve">dňom ich schválenia v Akademickom senáte STU </w:t>
      </w:r>
      <w:r w:rsidR="000F59EE" w:rsidRPr="00FF4D84">
        <w:rPr>
          <w:rFonts w:asciiTheme="majorHAnsi" w:hAnsiTheme="majorHAnsi"/>
          <w:sz w:val="24"/>
          <w:szCs w:val="24"/>
        </w:rPr>
        <w:t xml:space="preserve">a účinnosť </w:t>
      </w:r>
      <w:r w:rsidRPr="00FF4D84">
        <w:rPr>
          <w:rFonts w:asciiTheme="majorHAnsi" w:hAnsiTheme="majorHAnsi"/>
          <w:sz w:val="24"/>
          <w:szCs w:val="24"/>
        </w:rPr>
        <w:t>dňom 1. apríl 2017.</w:t>
      </w:r>
    </w:p>
    <w:p w:rsidR="00960CAF" w:rsidRPr="00986229" w:rsidRDefault="00960CAF" w:rsidP="00986229">
      <w:pPr>
        <w:widowControl w:val="0"/>
        <w:autoSpaceDE w:val="0"/>
        <w:autoSpaceDN w:val="0"/>
        <w:adjustRightInd w:val="0"/>
        <w:ind w:right="-20"/>
        <w:jc w:val="both"/>
        <w:rPr>
          <w:rFonts w:asciiTheme="majorHAnsi" w:hAnsiTheme="majorHAnsi"/>
          <w:spacing w:val="-1"/>
        </w:rPr>
      </w:pPr>
    </w:p>
    <w:p w:rsidR="00DC3A7C" w:rsidRDefault="00DC3A7C" w:rsidP="00B5102B">
      <w:pPr>
        <w:widowControl w:val="0"/>
        <w:autoSpaceDE w:val="0"/>
        <w:autoSpaceDN w:val="0"/>
        <w:adjustRightInd w:val="0"/>
        <w:ind w:right="-20"/>
        <w:jc w:val="both"/>
        <w:rPr>
          <w:rFonts w:asciiTheme="majorHAnsi" w:hAnsiTheme="majorHAnsi"/>
          <w:spacing w:val="-1"/>
          <w:lang w:val="sk-SK"/>
        </w:rPr>
      </w:pPr>
    </w:p>
    <w:p w:rsidR="00050115" w:rsidRPr="000F59EE" w:rsidRDefault="00050115" w:rsidP="00B5102B">
      <w:pPr>
        <w:widowControl w:val="0"/>
        <w:autoSpaceDE w:val="0"/>
        <w:autoSpaceDN w:val="0"/>
        <w:adjustRightInd w:val="0"/>
        <w:ind w:right="-20"/>
        <w:jc w:val="both"/>
        <w:rPr>
          <w:rFonts w:asciiTheme="majorHAnsi" w:hAnsiTheme="majorHAnsi"/>
          <w:spacing w:val="-1"/>
          <w:lang w:val="sk-SK"/>
        </w:rPr>
      </w:pPr>
    </w:p>
    <w:p w:rsidR="000B396B" w:rsidRPr="000F59EE" w:rsidRDefault="000B396B" w:rsidP="000B396B">
      <w:pPr>
        <w:pStyle w:val="Default"/>
        <w:spacing w:line="240" w:lineRule="atLeast"/>
        <w:ind w:firstLine="720"/>
        <w:jc w:val="both"/>
        <w:rPr>
          <w:rFonts w:asciiTheme="majorHAnsi" w:hAnsiTheme="majorHAnsi" w:cs="Cambria"/>
          <w:lang w:val="sk-SK"/>
        </w:rPr>
      </w:pPr>
      <w:r w:rsidRPr="000F59EE">
        <w:rPr>
          <w:rFonts w:asciiTheme="majorHAnsi" w:hAnsiTheme="majorHAnsi" w:cs="Cambria"/>
          <w:lang w:val="sk-SK"/>
        </w:rPr>
        <w:t xml:space="preserve">prof. Ing. Ján </w:t>
      </w:r>
      <w:proofErr w:type="spellStart"/>
      <w:r w:rsidRPr="000F59EE">
        <w:rPr>
          <w:rFonts w:asciiTheme="majorHAnsi" w:hAnsiTheme="majorHAnsi" w:cs="Cambria"/>
          <w:lang w:val="sk-SK"/>
        </w:rPr>
        <w:t>Híveš</w:t>
      </w:r>
      <w:proofErr w:type="spellEnd"/>
      <w:r w:rsidRPr="000F59EE">
        <w:rPr>
          <w:rFonts w:asciiTheme="majorHAnsi" w:hAnsiTheme="majorHAnsi" w:cs="Cambria"/>
          <w:lang w:val="sk-SK"/>
        </w:rPr>
        <w:t xml:space="preserve">, PhD. </w:t>
      </w:r>
      <w:r w:rsidRPr="000F59EE">
        <w:rPr>
          <w:rFonts w:asciiTheme="majorHAnsi" w:hAnsiTheme="majorHAnsi" w:cs="Cambria"/>
          <w:lang w:val="sk-SK"/>
        </w:rPr>
        <w:tab/>
      </w:r>
      <w:r w:rsidRPr="000F59EE">
        <w:rPr>
          <w:rFonts w:asciiTheme="majorHAnsi" w:hAnsiTheme="majorHAnsi" w:cs="Cambria"/>
          <w:lang w:val="sk-SK"/>
        </w:rPr>
        <w:tab/>
        <w:t xml:space="preserve">          prof. Ing. Robert Redhammer, PhD.</w:t>
      </w:r>
    </w:p>
    <w:p w:rsidR="000B396B" w:rsidRPr="000F59EE" w:rsidRDefault="000B396B" w:rsidP="000B396B">
      <w:pPr>
        <w:pStyle w:val="Default"/>
        <w:spacing w:line="240" w:lineRule="atLeast"/>
        <w:ind w:left="720" w:firstLine="720"/>
        <w:jc w:val="both"/>
        <w:rPr>
          <w:rFonts w:asciiTheme="majorHAnsi" w:hAnsiTheme="majorHAnsi" w:cs="Cambria"/>
          <w:lang w:val="sk-SK"/>
        </w:rPr>
      </w:pPr>
      <w:r w:rsidRPr="000F59EE">
        <w:rPr>
          <w:rFonts w:asciiTheme="majorHAnsi" w:hAnsiTheme="majorHAnsi" w:cs="Cambria"/>
          <w:lang w:val="sk-SK"/>
        </w:rPr>
        <w:t>predseda</w:t>
      </w:r>
      <w:r w:rsidRPr="000F59EE">
        <w:rPr>
          <w:rFonts w:asciiTheme="majorHAnsi" w:hAnsiTheme="majorHAnsi" w:cs="Cambria"/>
          <w:lang w:val="sk-SK"/>
        </w:rPr>
        <w:tab/>
      </w:r>
      <w:r w:rsidRPr="000F59EE">
        <w:rPr>
          <w:rFonts w:asciiTheme="majorHAnsi" w:hAnsiTheme="majorHAnsi" w:cs="Cambria"/>
          <w:lang w:val="sk-SK"/>
        </w:rPr>
        <w:tab/>
      </w:r>
      <w:r w:rsidRPr="000F59EE">
        <w:rPr>
          <w:rFonts w:asciiTheme="majorHAnsi" w:hAnsiTheme="majorHAnsi" w:cs="Cambria"/>
          <w:lang w:val="sk-SK"/>
        </w:rPr>
        <w:tab/>
      </w:r>
      <w:r w:rsidRPr="000F59EE">
        <w:rPr>
          <w:rFonts w:asciiTheme="majorHAnsi" w:hAnsiTheme="majorHAnsi" w:cs="Cambria"/>
          <w:lang w:val="sk-SK"/>
        </w:rPr>
        <w:tab/>
      </w:r>
      <w:r w:rsidRPr="000F59EE">
        <w:rPr>
          <w:rFonts w:asciiTheme="majorHAnsi" w:hAnsiTheme="majorHAnsi" w:cs="Cambria"/>
          <w:lang w:val="sk-SK"/>
        </w:rPr>
        <w:tab/>
        <w:t xml:space="preserve">      rektor</w:t>
      </w:r>
    </w:p>
    <w:p w:rsidR="00B5102B" w:rsidRPr="00FF4D84" w:rsidRDefault="000B396B" w:rsidP="00FF4D84">
      <w:pPr>
        <w:pStyle w:val="Default"/>
        <w:spacing w:line="240" w:lineRule="atLeast"/>
        <w:ind w:firstLine="720"/>
        <w:jc w:val="both"/>
        <w:rPr>
          <w:rFonts w:asciiTheme="majorHAnsi" w:hAnsiTheme="majorHAnsi" w:cs="Cambria"/>
          <w:lang w:val="sk-SK"/>
        </w:rPr>
      </w:pPr>
      <w:r w:rsidRPr="000F59EE">
        <w:rPr>
          <w:rFonts w:asciiTheme="majorHAnsi" w:hAnsiTheme="majorHAnsi" w:cs="Cambria"/>
          <w:lang w:val="sk-SK"/>
        </w:rPr>
        <w:t>Akademického senátu STU</w:t>
      </w:r>
    </w:p>
    <w:sectPr w:rsidR="00B5102B" w:rsidRPr="00FF4D84" w:rsidSect="004677F5">
      <w:headerReference w:type="default" r:id="rId9"/>
      <w:footerReference w:type="default" r:id="rId10"/>
      <w:headerReference w:type="first" r:id="rId11"/>
      <w:pgSz w:w="11900" w:h="16840"/>
      <w:pgMar w:top="156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0D" w:rsidRDefault="003D540D" w:rsidP="0030006A">
      <w:r>
        <w:separator/>
      </w:r>
    </w:p>
  </w:endnote>
  <w:endnote w:type="continuationSeparator" w:id="0">
    <w:p w:rsidR="003D540D" w:rsidRDefault="003D540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Pr="00F72759" w:rsidRDefault="00B502F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032B5E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3578AE">
      <w:rPr>
        <w:rStyle w:val="slostrany"/>
        <w:rFonts w:asciiTheme="majorHAnsi" w:hAnsiTheme="majorHAnsi"/>
        <w:noProof/>
      </w:rPr>
      <w:t>6</w:t>
    </w:r>
    <w:r w:rsidRPr="00F72759">
      <w:rPr>
        <w:rStyle w:val="slostrany"/>
        <w:rFonts w:asciiTheme="majorHAnsi" w:hAnsiTheme="majorHAnsi"/>
      </w:rPr>
      <w:fldChar w:fldCharType="end"/>
    </w:r>
  </w:p>
  <w:p w:rsidR="00032B5E" w:rsidRDefault="00032B5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0D" w:rsidRDefault="003D540D" w:rsidP="0030006A">
      <w:r>
        <w:separator/>
      </w:r>
    </w:p>
  </w:footnote>
  <w:footnote w:type="continuationSeparator" w:id="0">
    <w:p w:rsidR="003D540D" w:rsidRDefault="003D540D" w:rsidP="0030006A">
      <w:r>
        <w:continuationSeparator/>
      </w:r>
    </w:p>
  </w:footnote>
  <w:footnote w:id="1">
    <w:p w:rsidR="0019717E" w:rsidRPr="0019717E" w:rsidRDefault="0019717E">
      <w:pPr>
        <w:pStyle w:val="Textpoznmkypodiarou"/>
        <w:rPr>
          <w:rFonts w:asciiTheme="majorHAnsi" w:hAnsiTheme="majorHAnsi"/>
          <w:lang w:val="sk-SK"/>
        </w:rPr>
      </w:pPr>
      <w:r w:rsidRPr="0019717E">
        <w:rPr>
          <w:rStyle w:val="Odkaznapoznmkupodiarou"/>
          <w:rFonts w:asciiTheme="majorHAnsi" w:hAnsiTheme="majorHAnsi"/>
        </w:rPr>
        <w:footnoteRef/>
      </w:r>
      <w:r w:rsidRPr="0019717E">
        <w:rPr>
          <w:rFonts w:asciiTheme="majorHAnsi" w:hAnsiTheme="majorHAnsi"/>
        </w:rPr>
        <w:t xml:space="preserve"> </w:t>
      </w:r>
      <w:r w:rsidRPr="0019717E">
        <w:rPr>
          <w:rFonts w:asciiTheme="majorHAnsi" w:hAnsiTheme="majorHAnsi"/>
          <w:lang w:val="sk-SK"/>
        </w:rPr>
        <w:t>Článok 2 bod 2 až 4 Organizačného poriadku Slovenskej technickej univerzity v Bratislave.</w:t>
      </w:r>
    </w:p>
  </w:footnote>
  <w:footnote w:id="2">
    <w:p w:rsidR="005F6114" w:rsidRPr="00BD404B" w:rsidRDefault="005F6114">
      <w:pPr>
        <w:pStyle w:val="Textpoznmkypodiarou"/>
        <w:rPr>
          <w:rFonts w:asciiTheme="majorHAnsi" w:hAnsiTheme="majorHAnsi"/>
          <w:lang w:val="sk-SK"/>
        </w:rPr>
      </w:pPr>
      <w:r w:rsidRPr="00BD404B">
        <w:rPr>
          <w:rStyle w:val="Odkaznapoznmkupodiarou"/>
          <w:rFonts w:asciiTheme="majorHAnsi" w:hAnsiTheme="majorHAnsi"/>
        </w:rPr>
        <w:footnoteRef/>
      </w:r>
      <w:r w:rsidRPr="00BD404B">
        <w:rPr>
          <w:rFonts w:asciiTheme="majorHAnsi" w:hAnsiTheme="majorHAnsi"/>
        </w:rPr>
        <w:t xml:space="preserve"> </w:t>
      </w:r>
      <w:r w:rsidRPr="00BD404B">
        <w:rPr>
          <w:rFonts w:asciiTheme="majorHAnsi" w:hAnsiTheme="majorHAnsi"/>
          <w:lang w:val="sk-SK"/>
        </w:rPr>
        <w:t>§ 76 a </w:t>
      </w:r>
      <w:proofErr w:type="spellStart"/>
      <w:r w:rsidRPr="00BD404B">
        <w:rPr>
          <w:rFonts w:asciiTheme="majorHAnsi" w:hAnsiTheme="majorHAnsi"/>
          <w:lang w:val="sk-SK"/>
        </w:rPr>
        <w:t>nasl</w:t>
      </w:r>
      <w:proofErr w:type="spellEnd"/>
      <w:r w:rsidRPr="00BD404B">
        <w:rPr>
          <w:rFonts w:asciiTheme="majorHAnsi" w:hAnsiTheme="majorHAnsi"/>
          <w:lang w:val="sk-SK"/>
        </w:rPr>
        <w:t>. Obchodného zákonníka.</w:t>
      </w:r>
    </w:p>
  </w:footnote>
  <w:footnote w:id="3">
    <w:p w:rsidR="005F6114" w:rsidRPr="00BD404B" w:rsidRDefault="005F6114">
      <w:pPr>
        <w:pStyle w:val="Textpoznmkypodiarou"/>
        <w:rPr>
          <w:rFonts w:asciiTheme="majorHAnsi" w:hAnsiTheme="majorHAnsi"/>
          <w:lang w:val="sk-SK"/>
        </w:rPr>
      </w:pPr>
      <w:r w:rsidRPr="00BD404B">
        <w:rPr>
          <w:rStyle w:val="Odkaznapoznmkupodiarou"/>
          <w:rFonts w:asciiTheme="majorHAnsi" w:hAnsiTheme="majorHAnsi"/>
        </w:rPr>
        <w:footnoteRef/>
      </w:r>
      <w:r w:rsidRPr="00BD404B">
        <w:rPr>
          <w:rFonts w:asciiTheme="majorHAnsi" w:hAnsiTheme="majorHAnsi"/>
        </w:rPr>
        <w:t xml:space="preserve"> </w:t>
      </w:r>
      <w:r w:rsidRPr="00BD404B">
        <w:rPr>
          <w:rFonts w:asciiTheme="majorHAnsi" w:hAnsiTheme="majorHAnsi"/>
          <w:lang w:val="sk-SK"/>
        </w:rPr>
        <w:t>§ 93 a </w:t>
      </w:r>
      <w:proofErr w:type="spellStart"/>
      <w:r w:rsidRPr="00BD404B">
        <w:rPr>
          <w:rFonts w:asciiTheme="majorHAnsi" w:hAnsiTheme="majorHAnsi"/>
          <w:lang w:val="sk-SK"/>
        </w:rPr>
        <w:t>nasl</w:t>
      </w:r>
      <w:proofErr w:type="spellEnd"/>
      <w:r w:rsidRPr="00BD404B">
        <w:rPr>
          <w:rFonts w:asciiTheme="majorHAnsi" w:hAnsiTheme="majorHAnsi"/>
          <w:lang w:val="sk-SK"/>
        </w:rPr>
        <w:t>. Obchodného zákonníka.</w:t>
      </w:r>
    </w:p>
  </w:footnote>
  <w:footnote w:id="4">
    <w:p w:rsidR="008A01F6" w:rsidRPr="00BD404B" w:rsidRDefault="008A01F6">
      <w:pPr>
        <w:pStyle w:val="Textpoznmkypodiarou"/>
        <w:rPr>
          <w:rFonts w:asciiTheme="majorHAnsi" w:hAnsiTheme="majorHAnsi"/>
          <w:lang w:val="sk-SK"/>
        </w:rPr>
      </w:pPr>
      <w:r w:rsidRPr="00BD404B">
        <w:rPr>
          <w:rStyle w:val="Odkaznapoznmkupodiarou"/>
          <w:rFonts w:asciiTheme="majorHAnsi" w:hAnsiTheme="majorHAnsi"/>
        </w:rPr>
        <w:footnoteRef/>
      </w:r>
      <w:r w:rsidRPr="00BD404B">
        <w:rPr>
          <w:rFonts w:asciiTheme="majorHAnsi" w:hAnsiTheme="majorHAnsi"/>
        </w:rPr>
        <w:t xml:space="preserve"> </w:t>
      </w:r>
      <w:r w:rsidRPr="00BD404B">
        <w:rPr>
          <w:rFonts w:asciiTheme="majorHAnsi" w:hAnsiTheme="majorHAnsi"/>
          <w:lang w:val="sk-SK"/>
        </w:rPr>
        <w:t>§ 154 a </w:t>
      </w:r>
      <w:proofErr w:type="spellStart"/>
      <w:r w:rsidRPr="00BD404B">
        <w:rPr>
          <w:rFonts w:asciiTheme="majorHAnsi" w:hAnsiTheme="majorHAnsi"/>
          <w:lang w:val="sk-SK"/>
        </w:rPr>
        <w:t>nasl</w:t>
      </w:r>
      <w:proofErr w:type="spellEnd"/>
      <w:r w:rsidRPr="00BD404B">
        <w:rPr>
          <w:rFonts w:asciiTheme="majorHAnsi" w:hAnsiTheme="majorHAnsi"/>
          <w:lang w:val="sk-SK"/>
        </w:rPr>
        <w:t>. Obchodného zákonníka.</w:t>
      </w:r>
    </w:p>
  </w:footnote>
  <w:footnote w:id="5">
    <w:p w:rsidR="008A01F6" w:rsidRPr="00BD404B" w:rsidRDefault="008A01F6">
      <w:pPr>
        <w:pStyle w:val="Textpoznmkypodiarou"/>
        <w:rPr>
          <w:rFonts w:asciiTheme="majorHAnsi" w:hAnsiTheme="majorHAnsi"/>
          <w:lang w:val="sk-SK"/>
        </w:rPr>
      </w:pPr>
      <w:r w:rsidRPr="00BD404B">
        <w:rPr>
          <w:rStyle w:val="Odkaznapoznmkupodiarou"/>
          <w:rFonts w:asciiTheme="majorHAnsi" w:hAnsiTheme="majorHAnsi"/>
        </w:rPr>
        <w:footnoteRef/>
      </w:r>
      <w:r w:rsidRPr="00BD404B">
        <w:rPr>
          <w:rFonts w:asciiTheme="majorHAnsi" w:hAnsiTheme="majorHAnsi"/>
        </w:rPr>
        <w:t xml:space="preserve"> § 105 a </w:t>
      </w:r>
      <w:proofErr w:type="spellStart"/>
      <w:r w:rsidRPr="00BD404B">
        <w:rPr>
          <w:rFonts w:asciiTheme="majorHAnsi" w:hAnsiTheme="majorHAnsi"/>
        </w:rPr>
        <w:t>nasl</w:t>
      </w:r>
      <w:proofErr w:type="spellEnd"/>
      <w:r w:rsidRPr="00BD404B">
        <w:rPr>
          <w:rFonts w:asciiTheme="majorHAnsi" w:hAnsiTheme="majorHAnsi"/>
        </w:rPr>
        <w:t xml:space="preserve">. </w:t>
      </w:r>
      <w:r w:rsidRPr="00BD404B">
        <w:rPr>
          <w:rFonts w:asciiTheme="majorHAnsi" w:hAnsiTheme="majorHAnsi"/>
          <w:lang w:val="sk-SK"/>
        </w:rPr>
        <w:t>Obchodného zákonníka.</w:t>
      </w:r>
    </w:p>
  </w:footnote>
  <w:footnote w:id="6">
    <w:p w:rsidR="008A01F6" w:rsidRPr="00BD404B" w:rsidRDefault="008A01F6">
      <w:pPr>
        <w:pStyle w:val="Textpoznmkypodiarou"/>
        <w:rPr>
          <w:rFonts w:asciiTheme="majorHAnsi" w:hAnsiTheme="majorHAnsi"/>
          <w:lang w:val="sk-SK"/>
        </w:rPr>
      </w:pPr>
      <w:r w:rsidRPr="00BD404B">
        <w:rPr>
          <w:rStyle w:val="Odkaznapoznmkupodiarou"/>
          <w:rFonts w:asciiTheme="majorHAnsi" w:hAnsiTheme="majorHAnsi"/>
        </w:rPr>
        <w:footnoteRef/>
      </w:r>
      <w:r w:rsidRPr="00BD404B">
        <w:rPr>
          <w:rFonts w:asciiTheme="majorHAnsi" w:hAnsiTheme="majorHAnsi"/>
        </w:rPr>
        <w:t xml:space="preserve"> </w:t>
      </w:r>
      <w:r w:rsidRPr="00BD404B">
        <w:rPr>
          <w:rFonts w:asciiTheme="majorHAnsi" w:hAnsiTheme="majorHAnsi"/>
          <w:lang w:val="sk-SK"/>
        </w:rPr>
        <w:t>§ 221 a </w:t>
      </w:r>
      <w:proofErr w:type="spellStart"/>
      <w:r w:rsidRPr="00BD404B">
        <w:rPr>
          <w:rFonts w:asciiTheme="majorHAnsi" w:hAnsiTheme="majorHAnsi"/>
          <w:lang w:val="sk-SK"/>
        </w:rPr>
        <w:t>nasl</w:t>
      </w:r>
      <w:proofErr w:type="spellEnd"/>
      <w:r w:rsidRPr="00BD404B">
        <w:rPr>
          <w:rFonts w:asciiTheme="majorHAnsi" w:hAnsiTheme="majorHAnsi"/>
          <w:lang w:val="sk-SK"/>
        </w:rPr>
        <w:t>. Obchodného zákonníka.</w:t>
      </w:r>
    </w:p>
  </w:footnote>
  <w:footnote w:id="7">
    <w:p w:rsidR="004F4665" w:rsidRPr="00BD404B" w:rsidRDefault="004F4665">
      <w:pPr>
        <w:pStyle w:val="Textpoznmkypodiarou"/>
        <w:rPr>
          <w:rFonts w:asciiTheme="majorHAnsi" w:hAnsiTheme="majorHAnsi"/>
          <w:lang w:val="sk-SK"/>
        </w:rPr>
      </w:pPr>
      <w:r w:rsidRPr="00BD404B">
        <w:rPr>
          <w:rStyle w:val="Odkaznapoznmkupodiarou"/>
          <w:rFonts w:asciiTheme="majorHAnsi" w:hAnsiTheme="majorHAnsi"/>
        </w:rPr>
        <w:footnoteRef/>
      </w:r>
      <w:r w:rsidRPr="00BD404B">
        <w:rPr>
          <w:rFonts w:asciiTheme="majorHAnsi" w:hAnsiTheme="majorHAnsi"/>
        </w:rPr>
        <w:t xml:space="preserve"> </w:t>
      </w:r>
      <w:r w:rsidRPr="00BD404B">
        <w:rPr>
          <w:rFonts w:asciiTheme="majorHAnsi" w:hAnsiTheme="majorHAnsi"/>
          <w:lang w:val="sk-SK"/>
        </w:rPr>
        <w:t>§ 13 ods. 1 písm. a) v spojení s § 4 ods. 2 zákona č. 176/2004 Z. z. o nakladaní s majetkom verejnoprávnych inštitúcií  (...) v znení neskorších predpisov.</w:t>
      </w:r>
    </w:p>
  </w:footnote>
  <w:footnote w:id="8">
    <w:p w:rsidR="004F4665" w:rsidRPr="00BD404B" w:rsidRDefault="004F4665">
      <w:pPr>
        <w:pStyle w:val="Textpoznmkypodiarou"/>
        <w:rPr>
          <w:rFonts w:asciiTheme="majorHAnsi" w:hAnsiTheme="majorHAnsi"/>
          <w:lang w:val="sk-SK"/>
        </w:rPr>
      </w:pPr>
      <w:r w:rsidRPr="00BD404B">
        <w:rPr>
          <w:rStyle w:val="Odkaznapoznmkupodiarou"/>
          <w:rFonts w:asciiTheme="majorHAnsi" w:hAnsiTheme="majorHAnsi"/>
        </w:rPr>
        <w:footnoteRef/>
      </w:r>
      <w:r w:rsidRPr="00BD404B">
        <w:rPr>
          <w:rFonts w:asciiTheme="majorHAnsi" w:hAnsiTheme="majorHAnsi"/>
        </w:rPr>
        <w:t xml:space="preserve"> </w:t>
      </w:r>
      <w:r w:rsidRPr="00BD404B">
        <w:rPr>
          <w:rFonts w:asciiTheme="majorHAnsi" w:hAnsiTheme="majorHAnsi"/>
          <w:lang w:val="sk-SK"/>
        </w:rPr>
        <w:t>§ 13 ods. 1 písm. b) v spojení s § 4 ods. 1 zákona č. 176/2004 Z. z. o nakladaní s majetkom verejnoprávnych inštitúcií  (...) v znení neskorších predpisov</w:t>
      </w:r>
    </w:p>
  </w:footnote>
  <w:footnote w:id="9">
    <w:p w:rsidR="00BD404B" w:rsidRPr="00BD404B" w:rsidRDefault="00BD404B">
      <w:pPr>
        <w:pStyle w:val="Textpoznmkypodiarou"/>
        <w:rPr>
          <w:lang w:val="sk-SK"/>
        </w:rPr>
      </w:pPr>
      <w:r w:rsidRPr="00BD404B">
        <w:rPr>
          <w:rStyle w:val="Odkaznapoznmkupodiarou"/>
          <w:rFonts w:asciiTheme="majorHAnsi" w:hAnsiTheme="majorHAnsi"/>
        </w:rPr>
        <w:footnoteRef/>
      </w:r>
      <w:r w:rsidRPr="00BD404B">
        <w:rPr>
          <w:rFonts w:asciiTheme="majorHAnsi" w:hAnsiTheme="majorHAnsi"/>
        </w:rPr>
        <w:t xml:space="preserve"> </w:t>
      </w:r>
      <w:r w:rsidRPr="00BD404B">
        <w:rPr>
          <w:rFonts w:asciiTheme="majorHAnsi" w:hAnsiTheme="majorHAnsi"/>
          <w:lang w:val="sk-SK"/>
        </w:rPr>
        <w:t>§ 39a ods. 2 zákona č. 131/2002 Z. z. o vysokých školách a o zmene a doplnení niektorých zákonov v 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C91CE9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42BB1" wp14:editId="6FCCEE94">
              <wp:simplePos x="0" y="0"/>
              <wp:positionH relativeFrom="column">
                <wp:posOffset>1635760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42DB" w:rsidRDefault="002A4A70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STU, 13. 03</w:t>
                          </w:r>
                          <w:r w:rsidR="001F42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2017</w:t>
                          </w:r>
                        </w:p>
                        <w:p w:rsidR="000F291E" w:rsidRPr="00BA248E" w:rsidRDefault="001F42DB" w:rsidP="00BA248E">
                          <w:pPr>
                            <w:jc w:val="right"/>
                            <w:rPr>
                              <w:rFonts w:ascii="Calibri" w:hAnsi="Calibri"/>
                              <w:color w:val="262626" w:themeColor="text1" w:themeTint="D9"/>
                              <w:sz w:val="16"/>
                              <w:szCs w:val="16"/>
                              <w:lang w:val="sk-SK"/>
                            </w:rPr>
                          </w:pPr>
                          <w:r w:rsidRPr="00BA248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Pravidlá vkladania </w:t>
                          </w:r>
                          <w:r w:rsidR="00BA248E" w:rsidRPr="00BA248E">
                            <w:rPr>
                              <w:rFonts w:ascii="Calibri" w:hAnsi="Calibri"/>
                              <w:color w:val="262626" w:themeColor="text1" w:themeTint="D9"/>
                              <w:sz w:val="16"/>
                              <w:szCs w:val="16"/>
                              <w:lang w:val="sk-SK"/>
                            </w:rPr>
                            <w:t xml:space="preserve">peňažných vkladov alebo nepeňažných vkladov </w:t>
                          </w:r>
                          <w:r w:rsidRPr="00BA248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STU </w:t>
                          </w:r>
                          <w:r w:rsidR="005C6A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do iných </w:t>
                          </w:r>
                          <w:r w:rsidR="00BA248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</w:t>
                          </w:r>
                        </w:p>
                        <w:p w:rsidR="00032B5E" w:rsidRPr="00A20866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1F42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4351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Robert </w:t>
                          </w:r>
                          <w:r w:rsidR="002A4A7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Redhammer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8.8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" filled="f" stroked="f">
              <v:path arrowok="t"/>
              <v:textbox>
                <w:txbxContent>
                  <w:p w:rsidR="001F42DB" w:rsidRDefault="002A4A70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STU, 13. 03</w:t>
                    </w:r>
                    <w:r w:rsidR="001F42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:rsidR="000F291E" w:rsidRPr="00BA248E" w:rsidRDefault="001F42DB" w:rsidP="00BA248E">
                    <w:pPr>
                      <w:jc w:val="right"/>
                      <w:rPr>
                        <w:rFonts w:ascii="Calibri" w:hAnsi="Calibri"/>
                        <w:color w:val="262626" w:themeColor="text1" w:themeTint="D9"/>
                        <w:sz w:val="16"/>
                        <w:szCs w:val="16"/>
                        <w:lang w:val="sk-SK"/>
                      </w:rPr>
                    </w:pPr>
                    <w:r w:rsidRPr="00BA248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Pravidlá vkladania </w:t>
                    </w:r>
                    <w:r w:rsidR="00BA248E" w:rsidRPr="00BA248E">
                      <w:rPr>
                        <w:rFonts w:ascii="Calibri" w:hAnsi="Calibri"/>
                        <w:color w:val="262626" w:themeColor="text1" w:themeTint="D9"/>
                        <w:sz w:val="16"/>
                        <w:szCs w:val="16"/>
                        <w:lang w:val="sk-SK"/>
                      </w:rPr>
                      <w:t xml:space="preserve">peňažných vkladov alebo nepeňažných vkladov </w:t>
                    </w:r>
                    <w:r w:rsidRPr="00BA248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STU </w:t>
                    </w:r>
                    <w:r w:rsidR="005C6A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do iných </w:t>
                    </w:r>
                    <w:r w:rsidR="00BA248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</w:t>
                    </w:r>
                  </w:p>
                  <w:p w:rsidR="00032B5E" w:rsidRPr="00A20866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1F42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4351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proofErr w:type="spellStart"/>
                    <w:r w:rsidR="004351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4351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2A4A7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2A4A7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23E99655" wp14:editId="53390A61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032B5E" w:rsidP="000E400D">
    <w:pPr>
      <w:pStyle w:val="Hlavika"/>
      <w:ind w:hanging="284"/>
    </w:pPr>
    <w:r>
      <w:rPr>
        <w:noProof/>
        <w:lang w:val="sk-SK" w:eastAsia="sk-SK"/>
      </w:rPr>
      <w:drawing>
        <wp:inline distT="0" distB="0" distL="0" distR="0" wp14:anchorId="4E4FFA5D" wp14:editId="6D44946E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C8"/>
    <w:multiLevelType w:val="hybridMultilevel"/>
    <w:tmpl w:val="97AAE9D0"/>
    <w:lvl w:ilvl="0" w:tplc="29CCE41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</w:lvl>
    <w:lvl w:ilvl="3" w:tplc="041B000F" w:tentative="1">
      <w:start w:val="1"/>
      <w:numFmt w:val="decimal"/>
      <w:lvlText w:val="%4."/>
      <w:lvlJc w:val="left"/>
      <w:pPr>
        <w:ind w:left="2637" w:hanging="360"/>
      </w:p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</w:lvl>
    <w:lvl w:ilvl="6" w:tplc="041B000F" w:tentative="1">
      <w:start w:val="1"/>
      <w:numFmt w:val="decimal"/>
      <w:lvlText w:val="%7."/>
      <w:lvlJc w:val="left"/>
      <w:pPr>
        <w:ind w:left="4797" w:hanging="360"/>
      </w:p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08D62CCA"/>
    <w:multiLevelType w:val="hybridMultilevel"/>
    <w:tmpl w:val="185841E0"/>
    <w:lvl w:ilvl="0" w:tplc="7578E2CA">
      <w:start w:val="1"/>
      <w:numFmt w:val="decimal"/>
      <w:lvlText w:val="%1)"/>
      <w:lvlJc w:val="left"/>
      <w:pPr>
        <w:ind w:left="1077" w:hanging="360"/>
      </w:pPr>
      <w:rPr>
        <w:rFonts w:ascii="Calibri" w:eastAsiaTheme="minorEastAsia" w:hAnsi="Calibri" w:cstheme="minorBidi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rPr>
        <w:rFonts w:cs="Times New Roman"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27485"/>
    <w:multiLevelType w:val="hybridMultilevel"/>
    <w:tmpl w:val="5B5C4636"/>
    <w:lvl w:ilvl="0" w:tplc="8578C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7D6C96"/>
    <w:multiLevelType w:val="hybridMultilevel"/>
    <w:tmpl w:val="2C10DC60"/>
    <w:lvl w:ilvl="0" w:tplc="10F61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C4B1B"/>
    <w:multiLevelType w:val="hybridMultilevel"/>
    <w:tmpl w:val="A3E04912"/>
    <w:lvl w:ilvl="0" w:tplc="53680E3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5A4BB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67356"/>
    <w:multiLevelType w:val="hybridMultilevel"/>
    <w:tmpl w:val="E8AA8686"/>
    <w:lvl w:ilvl="0" w:tplc="68AC0384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39A31EB"/>
    <w:multiLevelType w:val="hybridMultilevel"/>
    <w:tmpl w:val="5094C2C4"/>
    <w:lvl w:ilvl="0" w:tplc="69BA7DF4">
      <w:start w:val="1"/>
      <w:numFmt w:val="decimal"/>
      <w:lvlText w:val="%1)"/>
      <w:lvlJc w:val="left"/>
      <w:pPr>
        <w:ind w:left="476" w:hanging="360"/>
      </w:pPr>
      <w:rPr>
        <w:rFonts w:ascii="Calibri" w:eastAsiaTheme="minorEastAsia" w:hAnsi="Calibr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>
    <w:nsid w:val="16B25C90"/>
    <w:multiLevelType w:val="hybridMultilevel"/>
    <w:tmpl w:val="B4EEA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7F77"/>
    <w:multiLevelType w:val="hybridMultilevel"/>
    <w:tmpl w:val="82520286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1BB06C9F"/>
    <w:multiLevelType w:val="hybridMultilevel"/>
    <w:tmpl w:val="D702F4CE"/>
    <w:lvl w:ilvl="0" w:tplc="C9240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B70A0"/>
    <w:multiLevelType w:val="hybridMultilevel"/>
    <w:tmpl w:val="03F664CA"/>
    <w:lvl w:ilvl="0" w:tplc="71D45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C4376FB"/>
    <w:multiLevelType w:val="hybridMultilevel"/>
    <w:tmpl w:val="1974D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2409C"/>
    <w:multiLevelType w:val="hybridMultilevel"/>
    <w:tmpl w:val="8D3A5324"/>
    <w:lvl w:ilvl="0" w:tplc="C952CBE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20445B68">
      <w:start w:val="1"/>
      <w:numFmt w:val="bullet"/>
      <w:lvlText w:val="-"/>
      <w:lvlJc w:val="left"/>
      <w:pPr>
        <w:ind w:left="2157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2A2F02E1"/>
    <w:multiLevelType w:val="hybridMultilevel"/>
    <w:tmpl w:val="B6FA386C"/>
    <w:lvl w:ilvl="0" w:tplc="9AC26C56">
      <w:start w:val="1"/>
      <w:numFmt w:val="decimalZero"/>
      <w:lvlText w:val="%1."/>
      <w:lvlJc w:val="left"/>
      <w:pPr>
        <w:ind w:left="383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14A2411"/>
    <w:multiLevelType w:val="hybridMultilevel"/>
    <w:tmpl w:val="D724FBC8"/>
    <w:lvl w:ilvl="0" w:tplc="7234BBD8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>
    <w:nsid w:val="3330087B"/>
    <w:multiLevelType w:val="hybridMultilevel"/>
    <w:tmpl w:val="02EA185A"/>
    <w:lvl w:ilvl="0" w:tplc="894C9F5C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048CD"/>
    <w:multiLevelType w:val="hybridMultilevel"/>
    <w:tmpl w:val="A9B2BA52"/>
    <w:lvl w:ilvl="0" w:tplc="B3B24EE8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9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7A04624"/>
    <w:multiLevelType w:val="hybridMultilevel"/>
    <w:tmpl w:val="B26C5BC0"/>
    <w:lvl w:ilvl="0" w:tplc="98C8D08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37CE2774"/>
    <w:multiLevelType w:val="hybridMultilevel"/>
    <w:tmpl w:val="83F6060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30EB1"/>
    <w:multiLevelType w:val="hybridMultilevel"/>
    <w:tmpl w:val="F96A23BE"/>
    <w:lvl w:ilvl="0" w:tplc="692AE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937F6B"/>
    <w:multiLevelType w:val="hybridMultilevel"/>
    <w:tmpl w:val="607E230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558A5"/>
    <w:multiLevelType w:val="hybridMultilevel"/>
    <w:tmpl w:val="0DF26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07E16"/>
    <w:multiLevelType w:val="hybridMultilevel"/>
    <w:tmpl w:val="C67E7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ABF4D13"/>
    <w:multiLevelType w:val="hybridMultilevel"/>
    <w:tmpl w:val="44BEB6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6701E"/>
    <w:multiLevelType w:val="hybridMultilevel"/>
    <w:tmpl w:val="188AE03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43944F1"/>
    <w:multiLevelType w:val="hybridMultilevel"/>
    <w:tmpl w:val="089A73C8"/>
    <w:lvl w:ilvl="0" w:tplc="307A3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A2A4460"/>
    <w:multiLevelType w:val="hybridMultilevel"/>
    <w:tmpl w:val="F32A25BE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ECA792">
      <w:start w:val="1"/>
      <w:numFmt w:val="decimal"/>
      <w:lvlText w:val="(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DF66E9A"/>
    <w:multiLevelType w:val="hybridMultilevel"/>
    <w:tmpl w:val="BBF09350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F7434C3"/>
    <w:multiLevelType w:val="hybridMultilevel"/>
    <w:tmpl w:val="593CD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22137"/>
    <w:multiLevelType w:val="hybridMultilevel"/>
    <w:tmpl w:val="045EE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96B87"/>
    <w:multiLevelType w:val="hybridMultilevel"/>
    <w:tmpl w:val="62EA0756"/>
    <w:lvl w:ilvl="0" w:tplc="3F7005B6">
      <w:start w:val="1"/>
      <w:numFmt w:val="lowerLetter"/>
      <w:lvlText w:val="%1)"/>
      <w:lvlJc w:val="left"/>
      <w:pPr>
        <w:ind w:left="2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6">
    <w:nsid w:val="696509D5"/>
    <w:multiLevelType w:val="hybridMultilevel"/>
    <w:tmpl w:val="F592A99E"/>
    <w:lvl w:ilvl="0" w:tplc="23AAB7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76557226"/>
    <w:multiLevelType w:val="hybridMultilevel"/>
    <w:tmpl w:val="A258A0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F1B2A"/>
    <w:multiLevelType w:val="hybridMultilevel"/>
    <w:tmpl w:val="6FE8A66C"/>
    <w:lvl w:ilvl="0" w:tplc="0910FEE2">
      <w:start w:val="1"/>
      <w:numFmt w:val="lowerLetter"/>
      <w:lvlText w:val="%1)"/>
      <w:lvlJc w:val="left"/>
      <w:pPr>
        <w:ind w:left="1440" w:hanging="360"/>
      </w:pPr>
      <w:rPr>
        <w:rFonts w:ascii="Calibri" w:eastAsia="Cambria" w:hAnsi="Calibri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752D8C"/>
    <w:multiLevelType w:val="hybridMultilevel"/>
    <w:tmpl w:val="0BF2C3CE"/>
    <w:lvl w:ilvl="0" w:tplc="894C9F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6"/>
  </w:num>
  <w:num w:numId="4">
    <w:abstractNumId w:val="31"/>
  </w:num>
  <w:num w:numId="5">
    <w:abstractNumId w:val="10"/>
  </w:num>
  <w:num w:numId="6">
    <w:abstractNumId w:val="18"/>
  </w:num>
  <w:num w:numId="7">
    <w:abstractNumId w:val="2"/>
  </w:num>
  <w:num w:numId="8">
    <w:abstractNumId w:val="1"/>
  </w:num>
  <w:num w:numId="9">
    <w:abstractNumId w:val="12"/>
  </w:num>
  <w:num w:numId="10">
    <w:abstractNumId w:val="35"/>
  </w:num>
  <w:num w:numId="11">
    <w:abstractNumId w:val="7"/>
  </w:num>
  <w:num w:numId="12">
    <w:abstractNumId w:val="16"/>
  </w:num>
  <w:num w:numId="13">
    <w:abstractNumId w:val="22"/>
  </w:num>
  <w:num w:numId="14">
    <w:abstractNumId w:val="4"/>
  </w:num>
  <w:num w:numId="15">
    <w:abstractNumId w:val="29"/>
  </w:num>
  <w:num w:numId="16">
    <w:abstractNumId w:val="3"/>
  </w:num>
  <w:num w:numId="17">
    <w:abstractNumId w:val="39"/>
  </w:num>
  <w:num w:numId="18">
    <w:abstractNumId w:val="20"/>
  </w:num>
  <w:num w:numId="19">
    <w:abstractNumId w:val="5"/>
  </w:num>
  <w:num w:numId="20">
    <w:abstractNumId w:val="0"/>
  </w:num>
  <w:num w:numId="21">
    <w:abstractNumId w:val="28"/>
  </w:num>
  <w:num w:numId="22">
    <w:abstractNumId w:val="14"/>
  </w:num>
  <w:num w:numId="23">
    <w:abstractNumId w:val="8"/>
  </w:num>
  <w:num w:numId="24">
    <w:abstractNumId w:val="9"/>
  </w:num>
  <w:num w:numId="25">
    <w:abstractNumId w:val="32"/>
  </w:num>
  <w:num w:numId="26">
    <w:abstractNumId w:val="15"/>
  </w:num>
  <w:num w:numId="27">
    <w:abstractNumId w:val="24"/>
  </w:num>
  <w:num w:numId="28">
    <w:abstractNumId w:val="27"/>
  </w:num>
  <w:num w:numId="29">
    <w:abstractNumId w:val="25"/>
  </w:num>
  <w:num w:numId="30">
    <w:abstractNumId w:val="34"/>
  </w:num>
  <w:num w:numId="31">
    <w:abstractNumId w:val="38"/>
  </w:num>
  <w:num w:numId="32">
    <w:abstractNumId w:val="36"/>
  </w:num>
  <w:num w:numId="33">
    <w:abstractNumId w:val="4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7"/>
  </w:num>
  <w:num w:numId="39">
    <w:abstractNumId w:val="6"/>
  </w:num>
  <w:num w:numId="40">
    <w:abstractNumId w:val="33"/>
  </w:num>
  <w:num w:numId="41">
    <w:abstractNumId w:val="1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2B"/>
    <w:rsid w:val="00023469"/>
    <w:rsid w:val="00025B8D"/>
    <w:rsid w:val="00032B5E"/>
    <w:rsid w:val="00034D5C"/>
    <w:rsid w:val="00040A79"/>
    <w:rsid w:val="00042D41"/>
    <w:rsid w:val="00050115"/>
    <w:rsid w:val="0005187C"/>
    <w:rsid w:val="00056E67"/>
    <w:rsid w:val="0006307B"/>
    <w:rsid w:val="00065421"/>
    <w:rsid w:val="000948D8"/>
    <w:rsid w:val="000B396B"/>
    <w:rsid w:val="000E15CA"/>
    <w:rsid w:val="000E400D"/>
    <w:rsid w:val="000F291E"/>
    <w:rsid w:val="000F59EE"/>
    <w:rsid w:val="0013153A"/>
    <w:rsid w:val="001353B9"/>
    <w:rsid w:val="00136F2C"/>
    <w:rsid w:val="00151B58"/>
    <w:rsid w:val="0019717E"/>
    <w:rsid w:val="00197EE8"/>
    <w:rsid w:val="001C16CE"/>
    <w:rsid w:val="001E4E8B"/>
    <w:rsid w:val="001F42DB"/>
    <w:rsid w:val="0020174E"/>
    <w:rsid w:val="00237799"/>
    <w:rsid w:val="00256756"/>
    <w:rsid w:val="00257A05"/>
    <w:rsid w:val="00266290"/>
    <w:rsid w:val="002A4A70"/>
    <w:rsid w:val="002B740B"/>
    <w:rsid w:val="002C346D"/>
    <w:rsid w:val="002D0998"/>
    <w:rsid w:val="002D16DB"/>
    <w:rsid w:val="002D3436"/>
    <w:rsid w:val="002D54E6"/>
    <w:rsid w:val="002E64B8"/>
    <w:rsid w:val="0030006A"/>
    <w:rsid w:val="003308F9"/>
    <w:rsid w:val="003578AE"/>
    <w:rsid w:val="00372AE1"/>
    <w:rsid w:val="003B5DD2"/>
    <w:rsid w:val="003D540D"/>
    <w:rsid w:val="003D54D2"/>
    <w:rsid w:val="003E2BEE"/>
    <w:rsid w:val="003E7E54"/>
    <w:rsid w:val="003F369D"/>
    <w:rsid w:val="00420971"/>
    <w:rsid w:val="00433979"/>
    <w:rsid w:val="004351A4"/>
    <w:rsid w:val="00451AFC"/>
    <w:rsid w:val="004677F5"/>
    <w:rsid w:val="004A015F"/>
    <w:rsid w:val="004B4FEB"/>
    <w:rsid w:val="004C1599"/>
    <w:rsid w:val="004C24C8"/>
    <w:rsid w:val="004D0E36"/>
    <w:rsid w:val="004E4A5E"/>
    <w:rsid w:val="004E722C"/>
    <w:rsid w:val="004F4665"/>
    <w:rsid w:val="00523499"/>
    <w:rsid w:val="00533D72"/>
    <w:rsid w:val="0054409F"/>
    <w:rsid w:val="00546A05"/>
    <w:rsid w:val="00547AED"/>
    <w:rsid w:val="00552A42"/>
    <w:rsid w:val="005550B9"/>
    <w:rsid w:val="00587603"/>
    <w:rsid w:val="00597587"/>
    <w:rsid w:val="005A1790"/>
    <w:rsid w:val="005A37A6"/>
    <w:rsid w:val="005A4D89"/>
    <w:rsid w:val="005C1E70"/>
    <w:rsid w:val="005C6AF3"/>
    <w:rsid w:val="005D13F8"/>
    <w:rsid w:val="005D37E7"/>
    <w:rsid w:val="005F0AF4"/>
    <w:rsid w:val="005F334B"/>
    <w:rsid w:val="005F6114"/>
    <w:rsid w:val="006361DE"/>
    <w:rsid w:val="00657746"/>
    <w:rsid w:val="00660937"/>
    <w:rsid w:val="0067023A"/>
    <w:rsid w:val="00675862"/>
    <w:rsid w:val="00687A6D"/>
    <w:rsid w:val="006918FC"/>
    <w:rsid w:val="00694D5A"/>
    <w:rsid w:val="006A5B8D"/>
    <w:rsid w:val="006B5B1C"/>
    <w:rsid w:val="006B6338"/>
    <w:rsid w:val="006C3291"/>
    <w:rsid w:val="006D15EE"/>
    <w:rsid w:val="006D4802"/>
    <w:rsid w:val="006E310F"/>
    <w:rsid w:val="006F4AFD"/>
    <w:rsid w:val="007046AC"/>
    <w:rsid w:val="007118A0"/>
    <w:rsid w:val="00714E06"/>
    <w:rsid w:val="007609D9"/>
    <w:rsid w:val="0076207F"/>
    <w:rsid w:val="00774D8A"/>
    <w:rsid w:val="007909AF"/>
    <w:rsid w:val="00793F66"/>
    <w:rsid w:val="007A790C"/>
    <w:rsid w:val="007C5F23"/>
    <w:rsid w:val="007F56CA"/>
    <w:rsid w:val="007F5771"/>
    <w:rsid w:val="00804FBE"/>
    <w:rsid w:val="00822D98"/>
    <w:rsid w:val="0085193C"/>
    <w:rsid w:val="008600BE"/>
    <w:rsid w:val="00864A22"/>
    <w:rsid w:val="0086767B"/>
    <w:rsid w:val="00880B69"/>
    <w:rsid w:val="00891977"/>
    <w:rsid w:val="00891CB2"/>
    <w:rsid w:val="008A01F6"/>
    <w:rsid w:val="008B59E7"/>
    <w:rsid w:val="008C48EC"/>
    <w:rsid w:val="008E56D0"/>
    <w:rsid w:val="00907321"/>
    <w:rsid w:val="009233E8"/>
    <w:rsid w:val="00932C37"/>
    <w:rsid w:val="0093422E"/>
    <w:rsid w:val="009565B9"/>
    <w:rsid w:val="00960CAF"/>
    <w:rsid w:val="0096605A"/>
    <w:rsid w:val="00986229"/>
    <w:rsid w:val="009B13A6"/>
    <w:rsid w:val="009C6FB9"/>
    <w:rsid w:val="009D29BA"/>
    <w:rsid w:val="009D2E9C"/>
    <w:rsid w:val="009E1D33"/>
    <w:rsid w:val="009E7C65"/>
    <w:rsid w:val="00A11A31"/>
    <w:rsid w:val="00A2065C"/>
    <w:rsid w:val="00A20866"/>
    <w:rsid w:val="00A21045"/>
    <w:rsid w:val="00A22B18"/>
    <w:rsid w:val="00A33160"/>
    <w:rsid w:val="00A42EEB"/>
    <w:rsid w:val="00A43A57"/>
    <w:rsid w:val="00A52585"/>
    <w:rsid w:val="00A61B83"/>
    <w:rsid w:val="00A634CE"/>
    <w:rsid w:val="00A6520B"/>
    <w:rsid w:val="00AA5FA6"/>
    <w:rsid w:val="00AB495A"/>
    <w:rsid w:val="00AF4AE5"/>
    <w:rsid w:val="00AF7046"/>
    <w:rsid w:val="00B023F2"/>
    <w:rsid w:val="00B1194E"/>
    <w:rsid w:val="00B21CC6"/>
    <w:rsid w:val="00B26CD4"/>
    <w:rsid w:val="00B458E0"/>
    <w:rsid w:val="00B4779A"/>
    <w:rsid w:val="00B5027E"/>
    <w:rsid w:val="00B502FF"/>
    <w:rsid w:val="00B5102B"/>
    <w:rsid w:val="00B5500C"/>
    <w:rsid w:val="00B63AE9"/>
    <w:rsid w:val="00B72349"/>
    <w:rsid w:val="00B86382"/>
    <w:rsid w:val="00BA248E"/>
    <w:rsid w:val="00BB2076"/>
    <w:rsid w:val="00BD404B"/>
    <w:rsid w:val="00BE2546"/>
    <w:rsid w:val="00BE52F4"/>
    <w:rsid w:val="00BF3B73"/>
    <w:rsid w:val="00C10B9F"/>
    <w:rsid w:val="00C25631"/>
    <w:rsid w:val="00C270ED"/>
    <w:rsid w:val="00C56BD2"/>
    <w:rsid w:val="00C65620"/>
    <w:rsid w:val="00C70A06"/>
    <w:rsid w:val="00C71A17"/>
    <w:rsid w:val="00C72725"/>
    <w:rsid w:val="00C7524F"/>
    <w:rsid w:val="00C830D9"/>
    <w:rsid w:val="00C91CE9"/>
    <w:rsid w:val="00C975A4"/>
    <w:rsid w:val="00CA3C3F"/>
    <w:rsid w:val="00CB15AF"/>
    <w:rsid w:val="00CE6990"/>
    <w:rsid w:val="00CE6ECF"/>
    <w:rsid w:val="00CF42A0"/>
    <w:rsid w:val="00D04C0E"/>
    <w:rsid w:val="00D34342"/>
    <w:rsid w:val="00D87CE4"/>
    <w:rsid w:val="00D9774F"/>
    <w:rsid w:val="00DC0770"/>
    <w:rsid w:val="00DC3A7C"/>
    <w:rsid w:val="00DD7F9D"/>
    <w:rsid w:val="00E210D0"/>
    <w:rsid w:val="00E2193C"/>
    <w:rsid w:val="00E225D4"/>
    <w:rsid w:val="00E22A43"/>
    <w:rsid w:val="00E26DF2"/>
    <w:rsid w:val="00E35A85"/>
    <w:rsid w:val="00E54F1B"/>
    <w:rsid w:val="00E777F0"/>
    <w:rsid w:val="00E91075"/>
    <w:rsid w:val="00EA11FA"/>
    <w:rsid w:val="00EE1C6A"/>
    <w:rsid w:val="00EE31B3"/>
    <w:rsid w:val="00EE6C30"/>
    <w:rsid w:val="00EF3953"/>
    <w:rsid w:val="00EF79EF"/>
    <w:rsid w:val="00F10836"/>
    <w:rsid w:val="00F11632"/>
    <w:rsid w:val="00F22E33"/>
    <w:rsid w:val="00F230E8"/>
    <w:rsid w:val="00F24DC7"/>
    <w:rsid w:val="00F346C4"/>
    <w:rsid w:val="00F63224"/>
    <w:rsid w:val="00F71DD5"/>
    <w:rsid w:val="00F72759"/>
    <w:rsid w:val="00F84035"/>
    <w:rsid w:val="00F94316"/>
    <w:rsid w:val="00FD73A5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C8013-4005-4C2F-9CCB-E51717DA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2016-11-03T10:45:00Z</cp:lastPrinted>
  <dcterms:created xsi:type="dcterms:W3CDTF">2017-02-28T11:13:00Z</dcterms:created>
  <dcterms:modified xsi:type="dcterms:W3CDTF">2017-02-28T11:13:00Z</dcterms:modified>
</cp:coreProperties>
</file>