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FF0CC7" w:rsidP="002C26B8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2C26B8" w:rsidP="002C26B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  </w:t>
      </w:r>
      <w:r w:rsidR="00972AB6">
        <w:rPr>
          <w:rFonts w:asciiTheme="majorHAnsi" w:hAnsiTheme="majorHAnsi"/>
          <w:sz w:val="36"/>
          <w:szCs w:val="36"/>
          <w:lang w:val="sk-SK"/>
        </w:rPr>
        <w:t>20.10</w:t>
      </w:r>
      <w:r w:rsidR="000E3588">
        <w:rPr>
          <w:rFonts w:asciiTheme="majorHAnsi" w:hAnsiTheme="majorHAnsi"/>
          <w:sz w:val="36"/>
          <w:szCs w:val="36"/>
          <w:lang w:val="sk-SK"/>
        </w:rPr>
        <w:t>. 2014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E328B" w:rsidRPr="00AF7046" w:rsidRDefault="00EE328B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7A04E2" w:rsidRDefault="00B66E15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Žiadosť o predchádzajúci písomný súhlas</w:t>
      </w:r>
      <w:r w:rsidR="000E3588">
        <w:rPr>
          <w:rFonts w:asciiTheme="majorHAnsi" w:hAnsiTheme="majorHAnsi"/>
          <w:b/>
          <w:sz w:val="36"/>
          <w:szCs w:val="36"/>
          <w:lang w:val="sk-SK"/>
        </w:rPr>
        <w:t xml:space="preserve"> Akademického 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4776F3" w:rsidRDefault="000E3588" w:rsidP="004776F3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senátu</w:t>
      </w:r>
      <w:r w:rsidR="007A04E2">
        <w:rPr>
          <w:rFonts w:asciiTheme="majorHAnsi" w:hAnsiTheme="majorHAnsi"/>
          <w:b/>
          <w:sz w:val="36"/>
          <w:szCs w:val="36"/>
          <w:lang w:val="sk-SK"/>
        </w:rPr>
        <w:t xml:space="preserve"> S</w:t>
      </w:r>
      <w:r>
        <w:rPr>
          <w:rFonts w:asciiTheme="majorHAnsi" w:hAnsiTheme="majorHAnsi"/>
          <w:b/>
          <w:sz w:val="36"/>
          <w:szCs w:val="36"/>
          <w:lang w:val="sk-SK"/>
        </w:rPr>
        <w:t>lovenskej technickej univerzity</w:t>
      </w:r>
      <w:r w:rsidR="004776F3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A66DFA">
        <w:rPr>
          <w:rFonts w:asciiTheme="majorHAnsi" w:hAnsiTheme="majorHAnsi"/>
          <w:b/>
          <w:sz w:val="36"/>
          <w:szCs w:val="36"/>
          <w:lang w:val="sk-SK"/>
        </w:rPr>
        <w:t>na nájom</w:t>
      </w:r>
    </w:p>
    <w:p w:rsidR="0030006A" w:rsidRPr="00AF7046" w:rsidRDefault="00A66DFA" w:rsidP="004776F3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nehnuteľných vecí STU</w:t>
      </w:r>
      <w:r w:rsidR="00B66E1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66DFA" w:rsidRDefault="00A66DF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66DFA" w:rsidRPr="00AF7046" w:rsidRDefault="00A66DF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F0CC7">
        <w:rPr>
          <w:rFonts w:asciiTheme="majorHAnsi" w:hAnsiTheme="majorHAnsi"/>
          <w:b/>
          <w:lang w:val="sk-SK"/>
        </w:rPr>
        <w:t>prof. Ing. Robert Redhammer, PhD.</w:t>
      </w:r>
    </w:p>
    <w:p w:rsidR="0030006A" w:rsidRPr="00AF7046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11711C">
        <w:rPr>
          <w:rFonts w:asciiTheme="majorHAnsi" w:hAnsiTheme="majorHAnsi"/>
          <w:b/>
          <w:lang w:val="sk-SK"/>
        </w:rPr>
        <w:t>Ing. Dušan Faktor</w:t>
      </w:r>
      <w:r w:rsidR="002E723C">
        <w:rPr>
          <w:rFonts w:asciiTheme="majorHAnsi" w:hAnsiTheme="majorHAnsi"/>
          <w:b/>
          <w:lang w:val="sk-SK"/>
        </w:rPr>
        <w:t>, PhD.</w:t>
      </w:r>
    </w:p>
    <w:p w:rsidR="0011711C" w:rsidRPr="0011711C" w:rsidRDefault="0011711C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11711C">
        <w:rPr>
          <w:rFonts w:asciiTheme="majorHAnsi" w:hAnsiTheme="majorHAnsi"/>
          <w:lang w:val="sk-SK"/>
        </w:rPr>
        <w:t>kvestor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B6982" w:rsidRDefault="000B6982" w:rsidP="00F401C3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30006A" w:rsidRPr="00C630AC" w:rsidRDefault="0030006A" w:rsidP="00F401C3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464F9">
        <w:rPr>
          <w:rFonts w:asciiTheme="majorHAnsi" w:hAnsiTheme="majorHAnsi"/>
          <w:lang w:val="sk-SK"/>
        </w:rPr>
        <w:tab/>
      </w:r>
      <w:r w:rsidR="00B530C4">
        <w:rPr>
          <w:rFonts w:asciiTheme="majorHAnsi" w:hAnsiTheme="majorHAnsi"/>
          <w:lang w:val="sk-SK"/>
        </w:rPr>
        <w:t>P</w:t>
      </w:r>
      <w:r w:rsidR="00A66DFA">
        <w:rPr>
          <w:rFonts w:asciiTheme="majorHAnsi" w:hAnsiTheme="majorHAnsi"/>
          <w:lang w:val="sk-SK"/>
        </w:rPr>
        <w:t xml:space="preserve">ostup podľa článku </w:t>
      </w:r>
      <w:r w:rsidR="00050E1B">
        <w:rPr>
          <w:rFonts w:asciiTheme="majorHAnsi" w:hAnsiTheme="majorHAnsi"/>
          <w:lang w:val="sk-SK"/>
        </w:rPr>
        <w:t>3 bod 3 smernice rektora číslo 9/2013-SR zo dňa 12. 12. 2013 Nájom ne</w:t>
      </w:r>
      <w:r w:rsidR="007433A9">
        <w:rPr>
          <w:rFonts w:asciiTheme="majorHAnsi" w:hAnsiTheme="majorHAnsi"/>
          <w:lang w:val="sk-SK"/>
        </w:rPr>
        <w:t>hnuteľného majetku vo vlastníct</w:t>
      </w:r>
      <w:r w:rsidR="00050E1B">
        <w:rPr>
          <w:rFonts w:asciiTheme="majorHAnsi" w:hAnsiTheme="majorHAnsi"/>
          <w:lang w:val="sk-SK"/>
        </w:rPr>
        <w:t xml:space="preserve">ve </w:t>
      </w:r>
      <w:r w:rsidR="00641651">
        <w:rPr>
          <w:rFonts w:asciiTheme="majorHAnsi" w:hAnsiTheme="majorHAnsi"/>
          <w:lang w:val="sk-SK"/>
        </w:rPr>
        <w:t xml:space="preserve">  </w:t>
      </w:r>
      <w:r w:rsidR="00641651" w:rsidRPr="00C630AC">
        <w:rPr>
          <w:rFonts w:asciiTheme="majorHAnsi" w:hAnsiTheme="majorHAnsi"/>
          <w:lang w:val="sk-SK"/>
        </w:rPr>
        <w:t>Slovenskej tec</w:t>
      </w:r>
      <w:r w:rsidR="000B1A3B" w:rsidRPr="00C630AC">
        <w:rPr>
          <w:rFonts w:asciiTheme="majorHAnsi" w:hAnsiTheme="majorHAnsi"/>
          <w:lang w:val="sk-SK"/>
        </w:rPr>
        <w:t>hnickej univerzity v Bratislave</w:t>
      </w:r>
    </w:p>
    <w:p w:rsidR="0030006A" w:rsidRPr="00C630AC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B6982" w:rsidRDefault="000B698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7A04E2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41651">
        <w:rPr>
          <w:rFonts w:asciiTheme="majorHAnsi" w:hAnsiTheme="majorHAnsi"/>
          <w:lang w:val="sk-SK"/>
        </w:rPr>
        <w:t>AS S</w:t>
      </w:r>
      <w:r w:rsidR="00EA203A">
        <w:rPr>
          <w:rFonts w:asciiTheme="majorHAnsi" w:hAnsiTheme="majorHAnsi"/>
          <w:lang w:val="sk-SK"/>
        </w:rPr>
        <w:t xml:space="preserve">TU </w:t>
      </w:r>
      <w:r w:rsidR="006901DA">
        <w:rPr>
          <w:rFonts w:asciiTheme="majorHAnsi" w:hAnsiTheme="majorHAnsi"/>
          <w:lang w:val="sk-SK"/>
        </w:rPr>
        <w:t xml:space="preserve">schvaľuje žiadosť o nájom </w:t>
      </w:r>
      <w:r w:rsidR="00050E1B">
        <w:rPr>
          <w:rFonts w:asciiTheme="majorHAnsi" w:hAnsiTheme="majorHAnsi"/>
          <w:lang w:val="sk-SK"/>
        </w:rPr>
        <w:t>dočasne nepotrebného nehnuteľného majetku uvedeného</w:t>
      </w:r>
      <w:r w:rsidR="00C630AC">
        <w:rPr>
          <w:rFonts w:asciiTheme="majorHAnsi" w:hAnsiTheme="majorHAnsi"/>
          <w:lang w:val="sk-SK"/>
        </w:rPr>
        <w:t xml:space="preserve"> </w:t>
      </w:r>
      <w:r w:rsidR="007A04E2">
        <w:rPr>
          <w:rFonts w:asciiTheme="majorHAnsi" w:hAnsiTheme="majorHAnsi"/>
          <w:lang w:val="sk-SK"/>
        </w:rPr>
        <w:t>v</w:t>
      </w:r>
      <w:r w:rsidR="00C630AC">
        <w:rPr>
          <w:rFonts w:asciiTheme="majorHAnsi" w:hAnsiTheme="majorHAnsi"/>
          <w:lang w:val="sk-SK"/>
        </w:rPr>
        <w:t xml:space="preserve"> </w:t>
      </w:r>
      <w:r w:rsidR="006901DA">
        <w:rPr>
          <w:rFonts w:asciiTheme="majorHAnsi" w:hAnsiTheme="majorHAnsi"/>
          <w:lang w:val="sk-SK"/>
        </w:rPr>
        <w:t>tabuľke číslo 1</w:t>
      </w:r>
      <w:r w:rsidR="00443F2C">
        <w:rPr>
          <w:rFonts w:asciiTheme="majorHAnsi" w:hAnsiTheme="majorHAnsi"/>
          <w:lang w:val="sk-SK"/>
        </w:rPr>
        <w:t xml:space="preserve"> až </w:t>
      </w:r>
      <w:r w:rsidR="003A4248">
        <w:rPr>
          <w:rFonts w:asciiTheme="majorHAnsi" w:hAnsiTheme="majorHAnsi"/>
          <w:lang w:val="sk-SK"/>
        </w:rPr>
        <w:t>12</w:t>
      </w:r>
      <w:r w:rsidR="007A04E2">
        <w:rPr>
          <w:rFonts w:asciiTheme="majorHAnsi" w:hAnsiTheme="majorHAnsi"/>
          <w:lang w:val="sk-SK"/>
        </w:rPr>
        <w:t xml:space="preserve"> tohto materiálu. </w:t>
      </w:r>
    </w:p>
    <w:p w:rsidR="003419F5" w:rsidRDefault="003419F5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3419F5" w:rsidRDefault="003419F5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190578" w:rsidRDefault="00190578" w:rsidP="002A0E1D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190578" w:rsidRDefault="00190578" w:rsidP="002A0E1D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190578" w:rsidRDefault="00190578" w:rsidP="002A0E1D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DA1FA9" w:rsidRDefault="00DA1FA9" w:rsidP="00643DDA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0B1A3B" w:rsidRDefault="000B1A3B" w:rsidP="00643DDA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E36FFE" w:rsidRDefault="00CF557B" w:rsidP="00DC29AA">
      <w:pPr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lastRenderedPageBreak/>
        <w:t xml:space="preserve">       </w:t>
      </w:r>
    </w:p>
    <w:tbl>
      <w:tblPr>
        <w:tblStyle w:val="Mriekatabuky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61691D" w:rsidRPr="00DC29AA" w:rsidTr="0061691D">
        <w:tc>
          <w:tcPr>
            <w:tcW w:w="426" w:type="dxa"/>
          </w:tcPr>
          <w:p w:rsidR="0061691D" w:rsidRPr="007C340F" w:rsidRDefault="0061691D" w:rsidP="00E259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843" w:type="dxa"/>
          </w:tcPr>
          <w:p w:rsidR="0061691D" w:rsidRPr="007C340F" w:rsidRDefault="0061691D" w:rsidP="00E259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61691D" w:rsidRPr="00E92671" w:rsidRDefault="0061691D" w:rsidP="008B67C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Jana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Glonecová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Mierová 18, 821 05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Bratislava-Ružinov</w:t>
            </w:r>
            <w:proofErr w:type="spellEnd"/>
          </w:p>
          <w:p w:rsidR="0061691D" w:rsidRPr="00493318" w:rsidRDefault="0061691D" w:rsidP="008B67C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 na OÚ Bratislava,  Živnostenský reg.  č. 110-158101. </w:t>
            </w:r>
          </w:p>
        </w:tc>
      </w:tr>
      <w:tr w:rsidR="0061691D" w:rsidRPr="00DC29AA" w:rsidTr="0061691D">
        <w:tc>
          <w:tcPr>
            <w:tcW w:w="426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61691D" w:rsidRDefault="0061691D" w:rsidP="008B67C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majetok, nebytové priestory (NP)nachádzajúce sa v ŠD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Nikosa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Belojanisa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>, miestnosť č. 02 NB   1 023 nachádzajúci sa v suteréne o výmere 10,92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spoločné priestory(pomerná časť chodby , WC),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61691D" w:rsidRPr="007B0C3B" w:rsidRDefault="0061691D" w:rsidP="008B67C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predmet nájmu spolu vo výmere 10,92m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61691D" w:rsidRPr="00DC29AA" w:rsidTr="0061691D">
        <w:tc>
          <w:tcPr>
            <w:tcW w:w="426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61691D" w:rsidRPr="008E454E" w:rsidRDefault="0061691D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krajčírska dielnička.</w:t>
            </w:r>
          </w:p>
        </w:tc>
      </w:tr>
      <w:tr w:rsidR="0061691D" w:rsidRPr="00DC29AA" w:rsidTr="0061691D">
        <w:trPr>
          <w:trHeight w:val="259"/>
        </w:trPr>
        <w:tc>
          <w:tcPr>
            <w:tcW w:w="426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61691D" w:rsidRPr="008E454E" w:rsidRDefault="0061691D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01.11.2014 do 31.12.2016</w:t>
            </w:r>
          </w:p>
        </w:tc>
      </w:tr>
      <w:tr w:rsidR="0061691D" w:rsidRPr="00DC29AA" w:rsidTr="0061691D">
        <w:trPr>
          <w:trHeight w:val="478"/>
        </w:trPr>
        <w:tc>
          <w:tcPr>
            <w:tcW w:w="426" w:type="dxa"/>
            <w:tcBorders>
              <w:right w:val="single" w:sz="4" w:space="0" w:color="auto"/>
            </w:tcBorders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91D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  <w:p w:rsidR="0061691D" w:rsidRPr="000B1A3B" w:rsidRDefault="0061691D" w:rsidP="004857D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1691D" w:rsidRDefault="0061691D" w:rsidP="008B67C2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skladový priestor 24,00€/m2/rok – 262,08 € a pomerná časť spoločných priestorov a</w:t>
            </w:r>
          </w:p>
          <w:p w:rsidR="0061691D" w:rsidRPr="002004EF" w:rsidRDefault="0061691D" w:rsidP="008B67C2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WC 30,00 € ročne</w:t>
            </w:r>
            <w:r w:rsidRPr="002004E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, t. j. </w:t>
            </w:r>
            <w:r w:rsidRPr="002004E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nájomné spolu ročne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292,08</w:t>
            </w:r>
            <w:r w:rsidRPr="002004E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€,</w:t>
            </w:r>
          </w:p>
          <w:p w:rsidR="0061691D" w:rsidRDefault="0061691D" w:rsidP="008B67C2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 vopred vždy k 15. dňu prvého mesiaca daného</w:t>
            </w:r>
          </w:p>
          <w:p w:rsidR="0061691D" w:rsidRDefault="0061691D" w:rsidP="008B67C2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štvrťroka vo výške 73,02 €, </w:t>
            </w:r>
          </w:p>
          <w:p w:rsidR="0061691D" w:rsidRPr="00986D11" w:rsidRDefault="0061691D" w:rsidP="008B67C2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="00B90F41">
              <w:rPr>
                <w:rStyle w:val="Odkaznapoznmkupodiarou"/>
                <w:rFonts w:asciiTheme="majorHAnsi" w:hAnsiTheme="majorHAnsi"/>
                <w:sz w:val="20"/>
                <w:szCs w:val="20"/>
                <w:lang w:val="sk-SK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61691D" w:rsidRPr="00DC29AA" w:rsidTr="0061691D">
        <w:trPr>
          <w:trHeight w:val="50"/>
        </w:trPr>
        <w:tc>
          <w:tcPr>
            <w:tcW w:w="426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3629E1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Služby :</w:t>
            </w:r>
          </w:p>
        </w:tc>
        <w:tc>
          <w:tcPr>
            <w:tcW w:w="7513" w:type="dxa"/>
          </w:tcPr>
          <w:p w:rsidR="0061691D" w:rsidRDefault="0061691D" w:rsidP="008B67C2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61691D" w:rsidRDefault="0061691D" w:rsidP="008B67C2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 po</w:t>
            </w:r>
          </w:p>
          <w:p w:rsidR="0061691D" w:rsidRDefault="0061691D" w:rsidP="008B67C2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61691D" w:rsidRDefault="0061691D" w:rsidP="008B67C2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obdržaní</w:t>
            </w:r>
            <w:proofErr w:type="spellEnd"/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zúčtovacích</w:t>
            </w:r>
          </w:p>
          <w:p w:rsidR="00A974A1" w:rsidRDefault="0061691D" w:rsidP="00A974A1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faktúr od dodávateľov energií </w:t>
            </w:r>
            <w:r w:rsidR="00A974A1"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vyhotoví nájomcovi vyúčtovaciu faktúru za príslušný</w:t>
            </w:r>
          </w:p>
          <w:p w:rsidR="00A974A1" w:rsidRDefault="00A974A1" w:rsidP="00A974A1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 zúčtovacej faktúry je 15</w:t>
            </w:r>
          </w:p>
          <w:p w:rsidR="0061691D" w:rsidRPr="00427FCF" w:rsidRDefault="00A974A1" w:rsidP="00A974A1">
            <w:pPr>
              <w:pStyle w:val="Zkladntext"/>
              <w:rPr>
                <w:rFonts w:asciiTheme="majorHAnsi" w:hAnsiTheme="majorHAnsi"/>
                <w:sz w:val="20"/>
              </w:rPr>
            </w:pP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</w:p>
        </w:tc>
      </w:tr>
      <w:tr w:rsidR="0061691D" w:rsidRPr="00DC29AA" w:rsidTr="0061691D">
        <w:tc>
          <w:tcPr>
            <w:tcW w:w="426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61691D" w:rsidRPr="008A745F" w:rsidRDefault="0061691D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riaditeľ  ÚZ ŠD a J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STU</w:t>
            </w:r>
          </w:p>
        </w:tc>
      </w:tr>
      <w:tr w:rsidR="0061691D" w:rsidRPr="00DC29AA" w:rsidTr="0061691D">
        <w:tc>
          <w:tcPr>
            <w:tcW w:w="426" w:type="dxa"/>
          </w:tcPr>
          <w:p w:rsidR="0061691D" w:rsidRPr="00DC29AA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DC29AA" w:rsidRDefault="0061691D" w:rsidP="00667FAB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dňa:</w:t>
            </w:r>
          </w:p>
        </w:tc>
        <w:tc>
          <w:tcPr>
            <w:tcW w:w="7513" w:type="dxa"/>
          </w:tcPr>
          <w:p w:rsidR="0061691D" w:rsidRPr="00DC29AA" w:rsidRDefault="0061691D" w:rsidP="00E259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27.08.2014</w:t>
            </w:r>
          </w:p>
        </w:tc>
      </w:tr>
    </w:tbl>
    <w:p w:rsidR="003801CF" w:rsidRDefault="003801CF" w:rsidP="00AD640A">
      <w:pPr>
        <w:ind w:right="-489"/>
        <w:jc w:val="both"/>
        <w:rPr>
          <w:rFonts w:asciiTheme="majorHAnsi" w:hAnsiTheme="majorHAnsi"/>
          <w:sz w:val="20"/>
          <w:szCs w:val="20"/>
          <w:lang w:val="sk-SK"/>
        </w:rPr>
      </w:pPr>
    </w:p>
    <w:p w:rsidR="005D309D" w:rsidRDefault="005D309D" w:rsidP="00AD640A">
      <w:pPr>
        <w:ind w:right="-489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61691D" w:rsidRPr="009C2067" w:rsidTr="0061691D">
        <w:tc>
          <w:tcPr>
            <w:tcW w:w="426" w:type="dxa"/>
          </w:tcPr>
          <w:p w:rsidR="0061691D" w:rsidRPr="00526420" w:rsidRDefault="0061691D" w:rsidP="00E259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</w:t>
            </w:r>
            <w:r w:rsidRPr="0052642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61691D" w:rsidRPr="00302217" w:rsidRDefault="0061691D" w:rsidP="00E259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61691D" w:rsidRPr="002104EE" w:rsidRDefault="0061691D" w:rsidP="008B67C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Sebastian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Křeček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 w:rsidRPr="00BB52B7">
              <w:rPr>
                <w:rFonts w:asciiTheme="majorHAnsi" w:hAnsiTheme="majorHAnsi"/>
                <w:sz w:val="20"/>
                <w:szCs w:val="20"/>
                <w:lang w:val="sk-SK"/>
              </w:rPr>
              <w:t>Kukučínova 10, 831 03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Bratislava,</w:t>
            </w:r>
          </w:p>
          <w:p w:rsidR="0061691D" w:rsidRPr="00493318" w:rsidRDefault="0061691D" w:rsidP="008B67C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súkromná osoba.</w:t>
            </w:r>
          </w:p>
        </w:tc>
      </w:tr>
      <w:tr w:rsidR="0061691D" w:rsidRPr="009C2067" w:rsidTr="0061691D">
        <w:tc>
          <w:tcPr>
            <w:tcW w:w="426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61691D" w:rsidRDefault="0061691D" w:rsidP="008B67C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jedná sa o predloženie </w:t>
            </w:r>
            <w:r w:rsidR="00D1086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dodatku č. 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Nájomnej zmluve ÚZ ŠD a J ST</w:t>
            </w:r>
            <w:r w:rsidR="00D10868">
              <w:rPr>
                <w:rFonts w:asciiTheme="majorHAnsi" w:hAnsiTheme="majorHAnsi"/>
                <w:sz w:val="20"/>
                <w:szCs w:val="20"/>
                <w:lang w:val="sk-SK"/>
              </w:rPr>
              <w:t>U č. 711-13-2013; 66/2013 R-STU a v znení dodatku č. 1,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ktorým sa predlžuje  doba nájmu  nebytových priestorov</w:t>
            </w:r>
            <w:r w:rsidR="00BA787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 celkovej výmere 60,06m</w:t>
            </w:r>
            <w:r w:rsidR="00BA7873" w:rsidRPr="00BA787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30.09.2016 a  dopĺňa sa:</w:t>
            </w:r>
          </w:p>
          <w:p w:rsidR="0061691D" w:rsidRPr="008E454E" w:rsidRDefault="0061691D" w:rsidP="008B67C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40575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Čl. VI – skončenie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 bod 6. a 7.:  mení sa znenie pri skončení nájmu a dopĺňa sa  o povinnosti pri odovzdávaní prenajatého priestoru. 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61691D" w:rsidRPr="009C2067" w:rsidTr="0061691D">
        <w:tc>
          <w:tcPr>
            <w:tcW w:w="426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61691D" w:rsidRPr="008E454E" w:rsidRDefault="009519F1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nebytové priestory využíva</w:t>
            </w:r>
            <w:r w:rsidR="00BA787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ako sklad.</w:t>
            </w:r>
          </w:p>
        </w:tc>
      </w:tr>
      <w:tr w:rsidR="0061691D" w:rsidRPr="009C2067" w:rsidTr="0061691D">
        <w:trPr>
          <w:trHeight w:val="259"/>
        </w:trPr>
        <w:tc>
          <w:tcPr>
            <w:tcW w:w="426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61691D" w:rsidRPr="008E454E" w:rsidRDefault="0061691D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 30.09.2016</w:t>
            </w:r>
          </w:p>
        </w:tc>
      </w:tr>
      <w:tr w:rsidR="0061691D" w:rsidRPr="009C2067" w:rsidTr="0061691D">
        <w:tc>
          <w:tcPr>
            <w:tcW w:w="426" w:type="dxa"/>
            <w:tcBorders>
              <w:right w:val="single" w:sz="4" w:space="0" w:color="auto"/>
            </w:tcBorders>
          </w:tcPr>
          <w:p w:rsidR="0061691D" w:rsidRPr="00BE3D00" w:rsidRDefault="0061691D" w:rsidP="00E2593E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91D" w:rsidRPr="003629E1" w:rsidRDefault="0061691D" w:rsidP="009630AD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A7873" w:rsidRDefault="00BA7873" w:rsidP="008B67C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20,00€/m2/rok – sklad a 10,00€/m2/rok – sociálne zariadenie</w:t>
            </w:r>
            <w:r w:rsidR="009519F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sa nemení -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spolu ročne </w:t>
            </w:r>
            <w:r w:rsidR="000B20F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BA787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1 146,00 €</w:t>
            </w:r>
            <w:r w:rsidR="009519F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</w:p>
          <w:p w:rsidR="0061691D" w:rsidRPr="008E454E" w:rsidRDefault="0061691D" w:rsidP="008B67C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1 </w:t>
            </w:r>
          </w:p>
        </w:tc>
      </w:tr>
      <w:tr w:rsidR="0061691D" w:rsidRPr="009C2067" w:rsidTr="0061691D">
        <w:trPr>
          <w:trHeight w:val="50"/>
        </w:trPr>
        <w:tc>
          <w:tcPr>
            <w:tcW w:w="426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371" w:type="dxa"/>
          </w:tcPr>
          <w:p w:rsidR="00A974A1" w:rsidRDefault="00A974A1" w:rsidP="00A974A1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A974A1" w:rsidRDefault="00A974A1" w:rsidP="00A974A1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fakturovať štvrťročne; za dodanie en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ergií vyfakturuje prenajímateľ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do 15dní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</w:p>
          <w:p w:rsidR="00A974A1" w:rsidRDefault="00A974A1" w:rsidP="00A974A1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uplynutí daného štvrťroka.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Náklady za dodanie služieb budú fakturované paušálnou</w:t>
            </w:r>
          </w:p>
          <w:p w:rsidR="0061691D" w:rsidRDefault="00A974A1" w:rsidP="00A974A1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ného štvrťroka. Prenajímateľ po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k-SK"/>
              </w:rPr>
              <w:t>obdržaní</w:t>
            </w:r>
            <w:proofErr w:type="spellEnd"/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</w:p>
          <w:p w:rsidR="00A974A1" w:rsidRPr="005D309D" w:rsidRDefault="00A974A1" w:rsidP="005D309D">
            <w:pPr>
              <w:pStyle w:val="Bezriadkovania"/>
              <w:rPr>
                <w:rFonts w:asciiTheme="majorHAnsi" w:hAnsiTheme="majorHAnsi"/>
                <w:lang w:val="sk-SK"/>
              </w:rPr>
            </w:pPr>
            <w:r w:rsidRPr="003801CF">
              <w:rPr>
                <w:rFonts w:asciiTheme="majorHAnsi" w:hAnsiTheme="majorHAnsi"/>
                <w:sz w:val="20"/>
                <w:szCs w:val="20"/>
                <w:lang w:val="sk-SK"/>
              </w:rPr>
              <w:t>zúčtovacích faktúr od dodávateľov energií vyhotoví nájomcovi</w:t>
            </w:r>
            <w:r w:rsidRPr="003801CF">
              <w:rPr>
                <w:rFonts w:asciiTheme="majorHAnsi" w:hAnsiTheme="majorHAnsi"/>
                <w:lang w:val="sk-SK"/>
              </w:rPr>
              <w:t xml:space="preserve"> </w:t>
            </w:r>
            <w:r w:rsidRPr="003801CF">
              <w:rPr>
                <w:rFonts w:asciiTheme="majorHAnsi" w:hAnsiTheme="majorHAnsi"/>
                <w:sz w:val="20"/>
                <w:szCs w:val="20"/>
                <w:lang w:val="sk-SK"/>
              </w:rPr>
              <w:t>vyúčtovaciu</w:t>
            </w:r>
            <w:r w:rsidRPr="003801CF">
              <w:rPr>
                <w:rFonts w:asciiTheme="majorHAnsi" w:hAnsiTheme="majorHAnsi"/>
                <w:lang w:val="sk-SK"/>
              </w:rPr>
              <w:t xml:space="preserve"> </w:t>
            </w:r>
            <w:r w:rsidRPr="003801CF">
              <w:rPr>
                <w:rFonts w:asciiTheme="majorHAnsi" w:hAnsiTheme="majorHAnsi"/>
                <w:sz w:val="20"/>
                <w:szCs w:val="20"/>
                <w:lang w:val="sk-SK"/>
              </w:rPr>
              <w:t>faktúru za prí</w:t>
            </w:r>
            <w:r w:rsidR="0058254B" w:rsidRPr="003801CF">
              <w:rPr>
                <w:rFonts w:asciiTheme="majorHAnsi" w:hAnsiTheme="majorHAnsi"/>
                <w:sz w:val="20"/>
                <w:szCs w:val="20"/>
                <w:lang w:val="sk-SK"/>
              </w:rPr>
              <w:t>slušný kalendárny rok. Splatnosť nedoplatku alebo preplatku zo zúčtovacej faktúry je 15 kalendárnych dní odo dňa doručenia vyúčtovania nájomcovi.</w:t>
            </w:r>
          </w:p>
        </w:tc>
      </w:tr>
      <w:tr w:rsidR="0061691D" w:rsidRPr="009C2067" w:rsidTr="0061691D">
        <w:tc>
          <w:tcPr>
            <w:tcW w:w="426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61691D" w:rsidRPr="008A745F" w:rsidRDefault="0061691D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riaditeľ  ÚZ ŠD a J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61691D" w:rsidRPr="009C2067" w:rsidTr="0061691D">
        <w:tc>
          <w:tcPr>
            <w:tcW w:w="426" w:type="dxa"/>
          </w:tcPr>
          <w:p w:rsidR="0061691D" w:rsidRPr="008A745F" w:rsidRDefault="0061691D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1691D" w:rsidRPr="008A745F" w:rsidRDefault="0061691D" w:rsidP="00AD640A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61691D" w:rsidRPr="008A745F" w:rsidRDefault="0061691D" w:rsidP="00E259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27.08.2014</w:t>
            </w:r>
          </w:p>
        </w:tc>
      </w:tr>
    </w:tbl>
    <w:p w:rsidR="00F30275" w:rsidRDefault="00F30275" w:rsidP="00667FAB">
      <w:pPr>
        <w:jc w:val="both"/>
        <w:rPr>
          <w:rFonts w:asciiTheme="majorHAnsi" w:hAnsiTheme="majorHAnsi"/>
          <w:sz w:val="20"/>
          <w:szCs w:val="20"/>
          <w:lang w:val="sk-SK"/>
        </w:rPr>
      </w:pPr>
    </w:p>
    <w:p w:rsidR="00482D4C" w:rsidRDefault="00482D4C" w:rsidP="00667FAB">
      <w:pPr>
        <w:jc w:val="both"/>
        <w:rPr>
          <w:rFonts w:asciiTheme="majorHAnsi" w:hAnsiTheme="majorHAnsi"/>
          <w:sz w:val="20"/>
          <w:szCs w:val="20"/>
          <w:lang w:val="sk-SK"/>
        </w:rPr>
      </w:pPr>
    </w:p>
    <w:p w:rsidR="00482D4C" w:rsidRDefault="00482D4C" w:rsidP="00667FAB">
      <w:pPr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482D4C" w:rsidRPr="00233685" w:rsidTr="004423A0">
        <w:tc>
          <w:tcPr>
            <w:tcW w:w="426" w:type="dxa"/>
          </w:tcPr>
          <w:p w:rsidR="00482D4C" w:rsidRPr="007C340F" w:rsidRDefault="00482D4C" w:rsidP="00E259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843" w:type="dxa"/>
          </w:tcPr>
          <w:p w:rsidR="00482D4C" w:rsidRPr="007C340F" w:rsidRDefault="00482D4C" w:rsidP="00E259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482D4C" w:rsidRPr="002104EE" w:rsidRDefault="00482D4C" w:rsidP="008B67C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Farbeza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s. r. o.,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Bagárova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2, 851 01 Bratislava</w:t>
            </w:r>
          </w:p>
          <w:p w:rsidR="00482D4C" w:rsidRPr="00493318" w:rsidRDefault="00482D4C" w:rsidP="008B67C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zapísaným   v OR OS B</w:t>
            </w:r>
            <w:r w:rsidR="000B20F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a I, oddiel: </w:t>
            </w:r>
            <w:proofErr w:type="spellStart"/>
            <w:r w:rsidR="000B20F1"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 w:rsidR="000B20F1">
              <w:rPr>
                <w:rFonts w:asciiTheme="majorHAnsi" w:hAnsiTheme="majorHAnsi"/>
                <w:sz w:val="20"/>
                <w:szCs w:val="20"/>
                <w:lang w:val="sk-SK"/>
              </w:rPr>
              <w:t>, vložka č. 65683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482D4C" w:rsidRPr="00956048" w:rsidTr="004423A0">
        <w:tc>
          <w:tcPr>
            <w:tcW w:w="426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482D4C" w:rsidRPr="008E454E" w:rsidRDefault="00482D4C" w:rsidP="008B67C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jedná sa o predloženie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dodatku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Nájomnej zmluve FCHPT STU č. 16/2013; 63/2013 R-STU,  ktorým sa predlžuje  dob</w:t>
            </w:r>
            <w:r w:rsidR="000B20F1">
              <w:rPr>
                <w:rFonts w:asciiTheme="majorHAnsi" w:hAnsiTheme="majorHAnsi"/>
                <w:sz w:val="20"/>
                <w:szCs w:val="20"/>
                <w:lang w:val="sk-SK"/>
              </w:rPr>
              <w:t>a nájmu  nebytových priestorov o výmere 12,00m</w:t>
            </w:r>
            <w:r w:rsidR="000B20F1" w:rsidRPr="000B20F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482D4C" w:rsidRPr="00DC29AA" w:rsidTr="004423A0">
        <w:tc>
          <w:tcPr>
            <w:tcW w:w="426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482D4C" w:rsidRPr="008E454E" w:rsidRDefault="000B20F1" w:rsidP="000B20F1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ako skladové priestory a archív firmy</w:t>
            </w:r>
          </w:p>
        </w:tc>
      </w:tr>
      <w:tr w:rsidR="00482D4C" w:rsidRPr="00DC29AA" w:rsidTr="004423A0">
        <w:trPr>
          <w:trHeight w:val="259"/>
        </w:trPr>
        <w:tc>
          <w:tcPr>
            <w:tcW w:w="426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482D4C" w:rsidRPr="008E454E" w:rsidRDefault="00D10868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predĺženie NZ od 1.11</w:t>
            </w:r>
            <w:r w:rsidR="00482D4C">
              <w:rPr>
                <w:rFonts w:asciiTheme="majorHAnsi" w:hAnsiTheme="majorHAnsi"/>
                <w:sz w:val="20"/>
                <w:szCs w:val="20"/>
                <w:lang w:val="sk-SK"/>
              </w:rPr>
              <w:t>.2014 do 30.09.2015</w:t>
            </w:r>
          </w:p>
        </w:tc>
      </w:tr>
      <w:tr w:rsidR="00482D4C" w:rsidRPr="004857DD" w:rsidTr="004423A0">
        <w:trPr>
          <w:trHeight w:val="478"/>
        </w:trPr>
        <w:tc>
          <w:tcPr>
            <w:tcW w:w="426" w:type="dxa"/>
            <w:tcBorders>
              <w:right w:val="single" w:sz="4" w:space="0" w:color="auto"/>
            </w:tcBorders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2D4C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  <w:p w:rsidR="00482D4C" w:rsidRPr="000B1A3B" w:rsidRDefault="00482D4C" w:rsidP="00E259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5D309D" w:rsidRDefault="000B20F1" w:rsidP="005D309D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20,00€/m2/rok</w:t>
            </w:r>
            <w:r w:rsidR="003801C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sklad</w:t>
            </w:r>
            <w:r w:rsidR="009519F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 sa nemení</w:t>
            </w:r>
            <w:r w:rsidR="003801C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; ročne </w:t>
            </w:r>
            <w:r w:rsidR="003801CF" w:rsidRPr="003801C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240,00 €</w:t>
            </w:r>
            <w:r w:rsidR="009519F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  <w:r w:rsidR="009519F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5D309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  <w:p w:rsidR="00482D4C" w:rsidRPr="005D309D" w:rsidRDefault="00295C16" w:rsidP="005D309D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nájomné </w:t>
            </w:r>
            <w:r w:rsidR="005D309D">
              <w:rPr>
                <w:rFonts w:asciiTheme="majorHAnsi" w:hAnsiTheme="majorHAnsi"/>
                <w:sz w:val="20"/>
                <w:szCs w:val="20"/>
                <w:lang w:val="sk-SK"/>
              </w:rPr>
              <w:t>j</w:t>
            </w:r>
            <w:r w:rsidR="005D309D" w:rsidRPr="008E454E">
              <w:rPr>
                <w:rFonts w:asciiTheme="majorHAnsi" w:hAnsiTheme="majorHAnsi"/>
                <w:sz w:val="20"/>
                <w:szCs w:val="20"/>
                <w:lang w:val="sk-SK"/>
              </w:rPr>
              <w:t>e v súlade so smernicou</w:t>
            </w:r>
            <w:r w:rsidR="005D309D"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482D4C" w:rsidRPr="00AD640A" w:rsidTr="004423A0">
        <w:trPr>
          <w:trHeight w:val="50"/>
        </w:trPr>
        <w:tc>
          <w:tcPr>
            <w:tcW w:w="426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371" w:type="dxa"/>
          </w:tcPr>
          <w:p w:rsidR="00482D4C" w:rsidRPr="00427FCF" w:rsidRDefault="00426786" w:rsidP="008B67C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0B20F1"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 w:rsidR="000B20F1">
              <w:rPr>
                <w:rFonts w:asciiTheme="majorHAnsi" w:hAnsiTheme="majorHAnsi"/>
                <w:sz w:val="20"/>
              </w:rPr>
              <w:t xml:space="preserve"> </w:t>
            </w:r>
            <w:r w:rsidR="000B20F1"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štvrťroka.</w:t>
            </w:r>
            <w:r w:rsidR="000B20F1">
              <w:rPr>
                <w:rFonts w:asciiTheme="majorHAnsi" w:hAnsiTheme="majorHAnsi"/>
                <w:sz w:val="20"/>
              </w:rPr>
              <w:t xml:space="preserve"> </w:t>
            </w:r>
            <w:r w:rsidR="000B20F1" w:rsidRPr="00493318">
              <w:rPr>
                <w:rFonts w:asciiTheme="majorHAnsi" w:hAnsiTheme="majorHAnsi"/>
                <w:sz w:val="20"/>
              </w:rPr>
              <w:t>Nájomca je povinný uhradiť faktúru do 14 dní odo dňa vystavenia faktúry.</w:t>
            </w:r>
            <w:r w:rsidR="000B20F1">
              <w:rPr>
                <w:rFonts w:asciiTheme="majorHAnsi" w:hAnsiTheme="majorHAnsi"/>
                <w:sz w:val="20"/>
              </w:rPr>
              <w:t xml:space="preserve"> </w:t>
            </w:r>
            <w:r w:rsidR="000B20F1"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 w:rsidR="000B20F1">
              <w:rPr>
                <w:rFonts w:asciiTheme="majorHAnsi" w:hAnsiTheme="majorHAnsi"/>
                <w:sz w:val="20"/>
              </w:rPr>
              <w:t> </w:t>
            </w:r>
            <w:r w:rsidR="000B20F1" w:rsidRPr="00493318">
              <w:rPr>
                <w:rFonts w:asciiTheme="majorHAnsi" w:hAnsiTheme="majorHAnsi"/>
                <w:sz w:val="20"/>
              </w:rPr>
              <w:t>platieb</w:t>
            </w:r>
            <w:r w:rsidR="000B20F1">
              <w:rPr>
                <w:rFonts w:asciiTheme="majorHAnsi" w:hAnsiTheme="majorHAnsi"/>
                <w:sz w:val="20"/>
              </w:rPr>
              <w:t xml:space="preserve"> </w:t>
            </w:r>
            <w:r w:rsidR="000B20F1"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 w:rsidR="000B20F1">
              <w:rPr>
                <w:rFonts w:asciiTheme="majorHAnsi" w:hAnsiTheme="majorHAnsi"/>
                <w:sz w:val="20"/>
              </w:rPr>
              <w:t xml:space="preserve"> </w:t>
            </w:r>
            <w:r w:rsidR="000B20F1"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 w:rsidR="000B20F1">
              <w:rPr>
                <w:rFonts w:asciiTheme="majorHAnsi" w:hAnsiTheme="majorHAnsi"/>
                <w:sz w:val="20"/>
              </w:rPr>
              <w:t xml:space="preserve">ktúru so </w:t>
            </w:r>
            <w:r w:rsidR="000B20F1" w:rsidRPr="00493318">
              <w:rPr>
                <w:rFonts w:asciiTheme="majorHAnsi" w:hAnsiTheme="majorHAnsi"/>
                <w:sz w:val="20"/>
              </w:rPr>
              <w:t>splatnosťou 14</w:t>
            </w:r>
            <w:r w:rsidR="000B20F1">
              <w:rPr>
                <w:rFonts w:asciiTheme="majorHAnsi" w:hAnsiTheme="majorHAnsi"/>
                <w:sz w:val="20"/>
              </w:rPr>
              <w:t xml:space="preserve"> kalendárnych</w:t>
            </w:r>
            <w:r w:rsidR="000B20F1" w:rsidRPr="00493318">
              <w:rPr>
                <w:rFonts w:asciiTheme="majorHAnsi" w:hAnsiTheme="majorHAnsi"/>
                <w:sz w:val="20"/>
              </w:rPr>
              <w:t xml:space="preserve"> </w:t>
            </w:r>
            <w:r w:rsidR="000B20F1">
              <w:rPr>
                <w:rFonts w:asciiTheme="majorHAnsi" w:hAnsiTheme="majorHAnsi"/>
                <w:sz w:val="20"/>
              </w:rPr>
              <w:t>d</w:t>
            </w:r>
            <w:r w:rsidR="000B20F1" w:rsidRPr="00493318">
              <w:rPr>
                <w:rFonts w:asciiTheme="majorHAnsi" w:hAnsiTheme="majorHAnsi"/>
                <w:sz w:val="20"/>
              </w:rPr>
              <w:t>ní</w:t>
            </w:r>
            <w:r w:rsidR="000B20F1">
              <w:rPr>
                <w:rFonts w:asciiTheme="majorHAnsi" w:hAnsiTheme="majorHAnsi"/>
                <w:sz w:val="20"/>
              </w:rPr>
              <w:t xml:space="preserve"> </w:t>
            </w:r>
            <w:r w:rsidR="000B20F1"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482D4C" w:rsidRPr="00DC29AA" w:rsidTr="004423A0">
        <w:tc>
          <w:tcPr>
            <w:tcW w:w="426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482D4C" w:rsidRPr="008A745F" w:rsidRDefault="00482D4C" w:rsidP="008B67C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FCHPT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482D4C" w:rsidRPr="00DC29AA" w:rsidTr="004423A0">
        <w:tc>
          <w:tcPr>
            <w:tcW w:w="426" w:type="dxa"/>
          </w:tcPr>
          <w:p w:rsidR="00482D4C" w:rsidRPr="00DC29AA" w:rsidRDefault="00482D4C" w:rsidP="00E259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82D4C" w:rsidRPr="00DC29AA" w:rsidRDefault="00482D4C" w:rsidP="00566E4A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482D4C" w:rsidRPr="00DC29AA" w:rsidRDefault="00482D4C" w:rsidP="00E259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27.08.2014</w:t>
            </w:r>
          </w:p>
        </w:tc>
      </w:tr>
    </w:tbl>
    <w:p w:rsidR="004423A0" w:rsidRDefault="004423A0"/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4423A0" w:rsidRPr="00170441" w:rsidTr="004423A0">
        <w:tc>
          <w:tcPr>
            <w:tcW w:w="426" w:type="dxa"/>
          </w:tcPr>
          <w:p w:rsidR="004423A0" w:rsidRPr="007C340F" w:rsidRDefault="004423A0" w:rsidP="007B52D2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4423A0" w:rsidRPr="007C340F" w:rsidRDefault="004423A0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4423A0" w:rsidRPr="00E47466" w:rsidRDefault="004423A0" w:rsidP="007B52D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Geneton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s. r. o.,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Ilkovičova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3, 841 01 Bratislava ,</w:t>
            </w:r>
          </w:p>
          <w:p w:rsidR="004423A0" w:rsidRPr="00170441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 na OS Bratislava, oddiel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>, vložka č. 39782/B.</w:t>
            </w:r>
          </w:p>
        </w:tc>
      </w:tr>
      <w:tr w:rsidR="004423A0" w:rsidRPr="007B0C3B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dodatkom č. </w:t>
            </w:r>
            <w:r w:rsidR="00D1086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predlžuje NZ č. 67/2013 R-STU</w:t>
            </w:r>
            <w:r w:rsidR="00D1086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znení dodatkov 1 a 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 dob</w:t>
            </w:r>
            <w:r w:rsidR="00D10868">
              <w:rPr>
                <w:rFonts w:asciiTheme="majorHAnsi" w:hAnsiTheme="majorHAnsi"/>
                <w:sz w:val="20"/>
                <w:szCs w:val="20"/>
                <w:lang w:val="sk-SK"/>
              </w:rPr>
              <w:t>ou platnosti od 01.10.2013 do 31.10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.2014 v dočasne nepotrebnom majetku, nebytové priestory (NP)nachádzajúce sa v budove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FEI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STU,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Ilkovičova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3, Bratislava, v objekte „D“, druhé poschodie, kancelárske priestory č. 215 o výmere 28,62m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č. 216 o výmere 28,62m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zvyšuje sa cena nájmu o medziročnú infláciu odvíjajúcu sa od indexu spotrebiteľských cien vydávaným ŠÚ SR, na príslušné obdobie,</w:t>
            </w:r>
          </w:p>
          <w:p w:rsidR="004423A0" w:rsidRPr="007B0C3B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je 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57,24m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4423A0" w:rsidRPr="008E454E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4423A0" w:rsidRPr="008E454E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využívanie predmetu nájmu ako kancelárske priestory na administratívnu činnosť  nájomcu</w:t>
            </w:r>
          </w:p>
        </w:tc>
      </w:tr>
      <w:tr w:rsidR="004423A0" w:rsidRPr="008E454E" w:rsidTr="004423A0">
        <w:trPr>
          <w:trHeight w:val="259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4423A0" w:rsidRPr="008E454E" w:rsidRDefault="00D10868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01.11.2014 do 31.10</w:t>
            </w:r>
            <w:r w:rsidR="004423A0">
              <w:rPr>
                <w:rFonts w:asciiTheme="majorHAnsi" w:hAnsiTheme="majorHAnsi"/>
                <w:sz w:val="20"/>
                <w:szCs w:val="20"/>
                <w:lang w:val="sk-SK"/>
              </w:rPr>
              <w:t>.2015</w:t>
            </w:r>
          </w:p>
        </w:tc>
      </w:tr>
      <w:tr w:rsidR="004423A0" w:rsidRPr="007976A7" w:rsidTr="004423A0">
        <w:trPr>
          <w:trHeight w:val="816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4423A0" w:rsidRPr="000B1A3B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</w:tcPr>
          <w:p w:rsidR="004423A0" w:rsidRDefault="004423A0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>kancelárie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č. 215 a 216/60,84€/m2/rok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3 482,48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870,62 €.</w:t>
            </w:r>
          </w:p>
          <w:p w:rsidR="004423A0" w:rsidRPr="007976A7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4423A0" w:rsidRPr="00427FCF" w:rsidTr="004423A0">
        <w:trPr>
          <w:trHeight w:val="50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4423A0" w:rsidRPr="00427FCF" w:rsidRDefault="004423A0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</w:t>
            </w:r>
            <w:r w:rsidRPr="004D4AFE">
              <w:rPr>
                <w:sz w:val="20"/>
              </w:rPr>
              <w:t xml:space="preserve"> Základ pre stanovenie  paušálnej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sadzby tvoria  náklady predchádzajúceh</w:t>
            </w:r>
            <w:r>
              <w:rPr>
                <w:sz w:val="20"/>
              </w:rPr>
              <w:t>o obdobia za dodanie</w:t>
            </w:r>
            <w:r w:rsidRPr="004D4AFE">
              <w:rPr>
                <w:sz w:val="20"/>
              </w:rPr>
              <w:t xml:space="preserve">  vody, tepla, teplej vody a s</w:t>
            </w:r>
            <w:r>
              <w:rPr>
                <w:sz w:val="20"/>
              </w:rPr>
              <w:t>lužieb celkových priestorov FEI</w:t>
            </w:r>
            <w:r w:rsidRPr="004D4AFE">
              <w:rPr>
                <w:sz w:val="20"/>
              </w:rPr>
              <w:t xml:space="preserve"> STU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a pre nájomcu určené pre</w:t>
            </w:r>
            <w:r>
              <w:rPr>
                <w:sz w:val="20"/>
              </w:rPr>
              <w:t>počtom podľa prenajatej plochy.</w:t>
            </w:r>
          </w:p>
        </w:tc>
      </w:tr>
      <w:tr w:rsidR="004423A0" w:rsidRPr="008A745F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4423A0" w:rsidRPr="008A745F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FEI STU</w:t>
            </w:r>
          </w:p>
        </w:tc>
      </w:tr>
      <w:tr w:rsidR="004423A0" w:rsidRPr="00DC29AA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4423A0" w:rsidRPr="00DC29AA" w:rsidRDefault="005A5C67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24.09.2014</w:t>
            </w:r>
          </w:p>
        </w:tc>
      </w:tr>
    </w:tbl>
    <w:p w:rsidR="004423A0" w:rsidRDefault="004423A0"/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4423A0" w:rsidRPr="00170441" w:rsidTr="004423A0">
        <w:tc>
          <w:tcPr>
            <w:tcW w:w="426" w:type="dxa"/>
          </w:tcPr>
          <w:p w:rsidR="004423A0" w:rsidRPr="007C340F" w:rsidRDefault="004423A0" w:rsidP="007B52D2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4423A0" w:rsidRPr="007C340F" w:rsidRDefault="004423A0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4423A0" w:rsidRPr="00E47466" w:rsidRDefault="004423A0" w:rsidP="007B52D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Vestingen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Bullova 11, 841 01 Bratislava ,</w:t>
            </w:r>
          </w:p>
          <w:p w:rsidR="004423A0" w:rsidRPr="00170441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 na OS Bratislava, oddiel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>, vložka č. 91141/B.</w:t>
            </w:r>
          </w:p>
        </w:tc>
      </w:tr>
      <w:tr w:rsidR="004423A0" w:rsidRPr="007B0C3B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predlžuje NZ č. 85/2013 R-STU s dobou platnosti od 01.11.2013 do 31.10.2014 v dočasne nepotrebnom majetku, nebytové priestory (NP)nachádzajúce sa v budove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FEI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STU,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Ilkovičova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3, Bratislava, v objekte „D“, druhé poschodie, laboratórne priestory č. 201 o výmere 64,0m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 kancelárske priestory č. 202 o výmere 19,85m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lastRenderedPageBreak/>
              <w:t>a zvyšuje sa cena nájmu o medziročnú infláciu odvíjajúcu sa od indexu spotrebiteľských cien vydávaným ŠÚ SR na príslušné obdobie,</w:t>
            </w:r>
          </w:p>
          <w:p w:rsidR="004423A0" w:rsidRPr="007B0C3B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83,85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4423A0" w:rsidRPr="008E454E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4423A0" w:rsidRPr="008E454E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využívanie predmetu nájmu ako kancelárske priestory na administratívnu činnosť  nájomcu a laboratórne práce výskumu a vývoja  na báze DNA</w:t>
            </w:r>
          </w:p>
        </w:tc>
      </w:tr>
      <w:tr w:rsidR="004423A0" w:rsidRPr="008E454E" w:rsidTr="004423A0">
        <w:trPr>
          <w:trHeight w:val="259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423A0" w:rsidRPr="008E454E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01.11.2014 do 31.10.2015</w:t>
            </w:r>
          </w:p>
        </w:tc>
      </w:tr>
      <w:tr w:rsidR="004423A0" w:rsidRPr="007976A7" w:rsidTr="004423A0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4423A0" w:rsidRPr="000B1A3B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423A0" w:rsidRDefault="004423A0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>kancelárie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č.202/60,84€/m2/rok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laboratórium č. 201/44,62€/m2/rok,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4 063,35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1 015,84 €.</w:t>
            </w:r>
          </w:p>
          <w:p w:rsidR="004423A0" w:rsidRPr="007976A7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4423A0" w:rsidRPr="00427FCF" w:rsidTr="004423A0">
        <w:trPr>
          <w:trHeight w:val="50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4423A0" w:rsidRPr="00427FCF" w:rsidRDefault="004423A0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</w:t>
            </w:r>
            <w:r w:rsidRPr="004D4AFE">
              <w:rPr>
                <w:sz w:val="20"/>
              </w:rPr>
              <w:t xml:space="preserve"> Základ pre stanovenie  paušálnej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sadzby tvoria  náklady predchádzajúceh</w:t>
            </w:r>
            <w:r>
              <w:rPr>
                <w:sz w:val="20"/>
              </w:rPr>
              <w:t>o obdobia za dodanie</w:t>
            </w:r>
            <w:r w:rsidRPr="004D4AFE">
              <w:rPr>
                <w:sz w:val="20"/>
              </w:rPr>
              <w:t xml:space="preserve">  vody, tepla, teplej vody a s</w:t>
            </w:r>
            <w:r>
              <w:rPr>
                <w:sz w:val="20"/>
              </w:rPr>
              <w:t>lužieb celkových priestorov FEI</w:t>
            </w:r>
            <w:r w:rsidRPr="004D4AFE">
              <w:rPr>
                <w:sz w:val="20"/>
              </w:rPr>
              <w:t xml:space="preserve"> STU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a pre nájomcu určené pre</w:t>
            </w:r>
            <w:r>
              <w:rPr>
                <w:sz w:val="20"/>
              </w:rPr>
              <w:t>počtom podľa prenajatej plochy.</w:t>
            </w:r>
          </w:p>
        </w:tc>
      </w:tr>
      <w:tr w:rsidR="004423A0" w:rsidRPr="008A745F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4423A0" w:rsidRPr="008A745F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FEI STU</w:t>
            </w:r>
          </w:p>
        </w:tc>
      </w:tr>
      <w:tr w:rsidR="004423A0" w:rsidRPr="00DC29AA" w:rsidTr="004423A0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4423A0" w:rsidRPr="00DC29AA" w:rsidRDefault="005A5C67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24.09.2014</w:t>
            </w:r>
          </w:p>
        </w:tc>
      </w:tr>
    </w:tbl>
    <w:p w:rsidR="0027465E" w:rsidRDefault="0027465E" w:rsidP="00BE3D0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4423A0" w:rsidRPr="00170441" w:rsidTr="00B90F41">
        <w:tc>
          <w:tcPr>
            <w:tcW w:w="426" w:type="dxa"/>
          </w:tcPr>
          <w:p w:rsidR="004423A0" w:rsidRPr="007C340F" w:rsidRDefault="004423A0" w:rsidP="007B52D2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6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4423A0" w:rsidRPr="007C340F" w:rsidRDefault="004423A0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4423A0" w:rsidRPr="00E47466" w:rsidRDefault="004423A0" w:rsidP="007B52D2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Ústav ekológie lesa SAV,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Štúrova 2, 960 53 Zvolen,</w:t>
            </w:r>
          </w:p>
          <w:p w:rsidR="004423A0" w:rsidRPr="00170441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jedným z ústavov SAV zriadenej v zmysle zákona 133/2002 Z. z.</w:t>
            </w:r>
          </w:p>
        </w:tc>
      </w:tr>
      <w:tr w:rsidR="004423A0" w:rsidRPr="007B0C3B" w:rsidTr="00B90F41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 NZ č. 84/2013 R-STU s dobou platnosti od 01.11.2013 do 31.12.2014 sa pôvodný nájom nebytov</w:t>
            </w:r>
            <w:r w:rsidR="005A5C67">
              <w:rPr>
                <w:rFonts w:asciiTheme="majorHAnsi" w:hAnsiTheme="majorHAnsi"/>
                <w:sz w:val="20"/>
                <w:szCs w:val="20"/>
                <w:lang w:val="sk-SK"/>
              </w:rPr>
              <w:t>ých priestorov (NP) nachádzajúcich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v „starej“ budove FCHPT STU  ruší a predmet nájmu je v „novej“ budove FCHPT, a to: laboratórne priestory č. P-98 o výmere 40,0m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sklad č. P-99a o výmere 12,0m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archív č. P-99b o výmere 4,0m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na prízemí budovy,</w:t>
            </w:r>
          </w:p>
          <w:p w:rsidR="004423A0" w:rsidRPr="007B0C3B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56,00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4423A0" w:rsidRPr="008E454E" w:rsidTr="00B90F41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4423A0" w:rsidRPr="008E454E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využívanie predmetu nájmu ako laboratórne a skladové priestory na činnosť vysunutého pracoviska ÚEL SAV v Bratislave</w:t>
            </w:r>
          </w:p>
        </w:tc>
      </w:tr>
      <w:tr w:rsidR="004423A0" w:rsidRPr="008E454E" w:rsidTr="00B90F41">
        <w:trPr>
          <w:trHeight w:val="259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423A0" w:rsidRPr="008E454E" w:rsidRDefault="005A5C67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 nepredlžuje – nájom je v platnosti do 31.12.2014</w:t>
            </w:r>
          </w:p>
        </w:tc>
      </w:tr>
      <w:tr w:rsidR="004423A0" w:rsidRPr="007976A7" w:rsidTr="00B90F4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4423A0" w:rsidRPr="000B1A3B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423A0" w:rsidRDefault="004423A0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laboratórium č. P-98/70,00€/m2/rok a sklad a archív č. P-99 a P-99a/20,00€/m2/rok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3 120,00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4423A0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780,00 €.</w:t>
            </w:r>
          </w:p>
          <w:p w:rsidR="004423A0" w:rsidRPr="007976A7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4423A0" w:rsidRPr="00427FCF" w:rsidTr="00B90F41">
        <w:trPr>
          <w:trHeight w:val="50"/>
        </w:trPr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4423A0" w:rsidRPr="00427FCF" w:rsidRDefault="004423A0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 so splatnosťou 14 dní, vypočítaná ako aritmetický priemer z platieb za uplynulý rok. Najneskôr do 20 dní po uplynutí štvrťroka vyhotoví prenajímateľ vyúčtovaciu faktúru so splatnosťou 14 dní odo dňa jej vyhotovenia.</w:t>
            </w:r>
          </w:p>
        </w:tc>
      </w:tr>
      <w:tr w:rsidR="004423A0" w:rsidRPr="008A745F" w:rsidTr="00B90F41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4423A0" w:rsidRPr="008A745F" w:rsidRDefault="004423A0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FCHPT STU</w:t>
            </w:r>
          </w:p>
        </w:tc>
      </w:tr>
      <w:tr w:rsidR="004423A0" w:rsidRPr="00DC29AA" w:rsidTr="00B90F41">
        <w:tc>
          <w:tcPr>
            <w:tcW w:w="426" w:type="dxa"/>
          </w:tcPr>
          <w:p w:rsidR="004423A0" w:rsidRPr="00DC29AA" w:rsidRDefault="004423A0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23A0" w:rsidRPr="00DC29AA" w:rsidRDefault="004423A0" w:rsidP="007B52D2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4423A0" w:rsidRPr="00DC29AA" w:rsidRDefault="005A5C67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24.09.2014</w:t>
            </w:r>
          </w:p>
        </w:tc>
      </w:tr>
    </w:tbl>
    <w:p w:rsidR="00B90F41" w:rsidRDefault="00B90F41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B90F41" w:rsidRPr="00301D14" w:rsidTr="00B90F41">
        <w:tc>
          <w:tcPr>
            <w:tcW w:w="426" w:type="dxa"/>
          </w:tcPr>
          <w:p w:rsidR="00B90F41" w:rsidRPr="00EF6A42" w:rsidRDefault="00B90F41" w:rsidP="007B52D2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7.</w:t>
            </w:r>
          </w:p>
        </w:tc>
        <w:tc>
          <w:tcPr>
            <w:tcW w:w="1843" w:type="dxa"/>
          </w:tcPr>
          <w:p w:rsidR="00B90F41" w:rsidRPr="00302217" w:rsidRDefault="00B90F41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B90F41" w:rsidRPr="0027465E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STU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Scientific</w:t>
            </w:r>
            <w:proofErr w:type="spellEnd"/>
            <w:r w:rsidRPr="00475EB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 s. r. 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., Pionierska 15, 831 02 Bratislava</w:t>
            </w:r>
          </w:p>
          <w:p w:rsidR="00B90F41" w:rsidRPr="00301D14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</w:t>
            </w:r>
            <w:r w:rsidRPr="00301D14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v OR OS Ba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I, oddiel: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>, vložka č. 50874</w:t>
            </w:r>
            <w:r w:rsidRPr="00301D14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B90F41" w:rsidRPr="008E454E" w:rsidTr="00B90F41"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B90F41" w:rsidRPr="00CB0692" w:rsidRDefault="00F260EC" w:rsidP="00F260E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predlžuje Zmluva o nájme nebytových priestorov a hnuteľných vecí č. UTI 1310321 v znení dodatku č. 1</w:t>
            </w:r>
            <w:r w:rsidR="00851FD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 dobou platnosti od 01.10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.201</w:t>
            </w:r>
            <w:r w:rsidR="00851FD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3 do 31.10.2014; 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   -  nebytový priestor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(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NP)  – 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>miestnosť č. 321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nachádzajúca 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>sa na 3. poschodí  budovy UTI na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Pionierskej 15, Bratislava a hnuteľné veci nachádzajúce sa v predmetnom NP 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spolu s pomernou časťou spoločných priestorov </w:t>
            </w:r>
            <w:r w:rsidR="00851FDE">
              <w:rPr>
                <w:rFonts w:asciiTheme="majorHAnsi" w:hAnsiTheme="majorHAnsi"/>
                <w:sz w:val="20"/>
                <w:szCs w:val="20"/>
                <w:lang w:val="sk-SK"/>
              </w:rPr>
              <w:lastRenderedPageBreak/>
              <w:t>(chodba, WC, kuchynka a pod.).  Jedná sa opakovaný nájom.</w:t>
            </w:r>
          </w:p>
          <w:p w:rsidR="00B90F41" w:rsidRPr="008E454E" w:rsidRDefault="00B90F41" w:rsidP="00851FD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Celková výmera podlahovej plochy je </w:t>
            </w:r>
            <w:r w:rsidRPr="00851FD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15,10m</w:t>
            </w:r>
            <w:r w:rsidRPr="00851FDE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CB0692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B90F41" w:rsidRPr="008E454E" w:rsidTr="00B90F41"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B90F41" w:rsidRPr="008E454E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vykonávania administratívnej činnosti nájomcu</w:t>
            </w:r>
          </w:p>
        </w:tc>
      </w:tr>
      <w:tr w:rsidR="00B90F41" w:rsidRPr="008E454E" w:rsidTr="00B90F41">
        <w:trPr>
          <w:trHeight w:val="259"/>
        </w:trPr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B90F41" w:rsidRPr="008E454E" w:rsidRDefault="00851FDE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</w:t>
            </w:r>
            <w:r w:rsidR="00875D08">
              <w:rPr>
                <w:rFonts w:asciiTheme="majorHAnsi" w:hAnsiTheme="majorHAnsi"/>
                <w:sz w:val="20"/>
                <w:szCs w:val="20"/>
                <w:lang w:val="sk-SK"/>
              </w:rPr>
              <w:t>.2014 do 31.10.2017.</w:t>
            </w:r>
          </w:p>
        </w:tc>
      </w:tr>
      <w:tr w:rsidR="00B90F41" w:rsidRPr="00000C78" w:rsidTr="00B90F41">
        <w:tc>
          <w:tcPr>
            <w:tcW w:w="426" w:type="dxa"/>
          </w:tcPr>
          <w:p w:rsidR="00B90F41" w:rsidRPr="00BE3D00" w:rsidRDefault="00B90F41" w:rsidP="007B52D2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3629E1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</w:tcPr>
          <w:p w:rsidR="00B90F41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miestnosť o výmere 15,10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-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86,94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€/mesačne najneskôr do15.dňa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príslušného kalendárneho mesiaca za daný mesiac. Nájomné za hnuteľné veci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zaplatí nájomca vždy do 15. dňa pr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íslušného mesiaca vo výške 20,02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spolu s 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úhradou za služby vo výške 56,62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€/mes. </w:t>
            </w:r>
            <w:r w:rsidRPr="00000C7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163,58</w:t>
            </w:r>
            <w:r w:rsidRPr="00000C7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€/mesiac. </w:t>
            </w:r>
          </w:p>
          <w:p w:rsidR="00B90F41" w:rsidRPr="005E32A5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Ročne:  1 962,96</w:t>
            </w:r>
            <w:r w:rsidRPr="005E32A5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  </w:t>
            </w:r>
          </w:p>
          <w:p w:rsidR="00B90F41" w:rsidRPr="00000C78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Nájomca uhradí prenajímateľovi s prvou splátkou aj finančnú zábezpeku ako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stálu zálohu vo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výške 163,58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€.</w:t>
            </w:r>
          </w:p>
          <w:p w:rsidR="00B90F41" w:rsidRPr="00000C78" w:rsidRDefault="00B90F41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B90F41" w:rsidRPr="00427FCF" w:rsidTr="00B90F41">
        <w:trPr>
          <w:trHeight w:val="50"/>
        </w:trPr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371" w:type="dxa"/>
          </w:tcPr>
          <w:p w:rsidR="00B90F41" w:rsidRDefault="00B90F41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elektrina, teplo, TÚV a SÚV, OLO – 56,62 € mesačne  a sú súčasťou mesačného</w:t>
            </w:r>
          </w:p>
          <w:p w:rsidR="00B90F41" w:rsidRPr="00427FCF" w:rsidRDefault="00B90F41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nájomného </w:t>
            </w:r>
          </w:p>
        </w:tc>
      </w:tr>
      <w:tr w:rsidR="00B90F41" w:rsidRPr="008A745F" w:rsidTr="00B90F41"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B90F41" w:rsidRPr="008A745F" w:rsidRDefault="00B90F41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vedúca UTI STU</w:t>
            </w:r>
          </w:p>
        </w:tc>
      </w:tr>
      <w:tr w:rsidR="00B90F41" w:rsidRPr="00DC29AA" w:rsidTr="00B90F41">
        <w:tc>
          <w:tcPr>
            <w:tcW w:w="426" w:type="dxa"/>
          </w:tcPr>
          <w:p w:rsidR="00B90F41" w:rsidRPr="00DC29AA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DC29AA" w:rsidRDefault="00B90F41" w:rsidP="007B52D2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B90F41" w:rsidRPr="00DC29AA" w:rsidRDefault="00851FDE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24.09.2014</w:t>
            </w:r>
          </w:p>
        </w:tc>
      </w:tr>
    </w:tbl>
    <w:p w:rsidR="00B90F41" w:rsidRDefault="00B90F41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B90F41" w:rsidRPr="00301D14" w:rsidTr="00B90F41">
        <w:tc>
          <w:tcPr>
            <w:tcW w:w="426" w:type="dxa"/>
          </w:tcPr>
          <w:p w:rsidR="00B90F41" w:rsidRPr="00EF6A42" w:rsidRDefault="00B90F41" w:rsidP="007B52D2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8.</w:t>
            </w:r>
          </w:p>
        </w:tc>
        <w:tc>
          <w:tcPr>
            <w:tcW w:w="1843" w:type="dxa"/>
          </w:tcPr>
          <w:p w:rsidR="00B90F41" w:rsidRPr="00302217" w:rsidRDefault="00B90F41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B90F41" w:rsidRPr="0027465E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IBOK, a. s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., Rybničná 40, 831 07 Bratislava</w:t>
            </w:r>
          </w:p>
          <w:p w:rsidR="00B90F41" w:rsidRPr="00301D14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</w:t>
            </w:r>
            <w:r w:rsidRPr="00301D14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v OR OS Ba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I, oddiel: Sa, vložka č. 2713</w:t>
            </w:r>
            <w:r w:rsidRPr="00301D14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B90F41" w:rsidRPr="008E454E" w:rsidTr="00B90F41"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B90F41" w:rsidRPr="00CB0692" w:rsidRDefault="00851FDE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predlžuje Zmluva o nájme nebytových priestorov a hnuteľných vecí č. UTI1309210 v znení dodatku č. 1 a 2 s dobou platnosti od 01.09.2013 do 31.10.2014; 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   -  nebytový priestor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(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NP)  – 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>miestnosť č. 210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nachádzajúca 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>sa na 2. poschodí  budovy UTI na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Pionierskej 15, Bratislava a hnuteľné veci nachádzajúce sa v predmetnom NP </w:t>
            </w:r>
            <w:r w:rsidR="00B90F41">
              <w:rPr>
                <w:rFonts w:asciiTheme="majorHAnsi" w:hAnsiTheme="majorHAnsi"/>
                <w:sz w:val="20"/>
                <w:szCs w:val="20"/>
                <w:lang w:val="sk-SK"/>
              </w:rPr>
              <w:t>spolu s pomernou časťou spoločných priestorov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(chodba, WC, kuchynka a pod.).</w:t>
            </w:r>
            <w:r w:rsidR="00B90F41"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Jedná sa opakovaný nájom.</w:t>
            </w:r>
          </w:p>
          <w:p w:rsidR="00B90F41" w:rsidRPr="008E454E" w:rsidRDefault="00B90F41" w:rsidP="00851FD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CB06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Celková výmera podlahovej plochy je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30,60</w:t>
            </w:r>
            <w:r w:rsidRPr="00CB0692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CB069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CB0692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B90F41" w:rsidRPr="008E454E" w:rsidTr="00B90F41"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B90F41" w:rsidRPr="008E454E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vykonávania administratívnej činnosti nájomcu</w:t>
            </w:r>
          </w:p>
        </w:tc>
      </w:tr>
      <w:tr w:rsidR="00B90F41" w:rsidRPr="008E454E" w:rsidTr="00B90F41">
        <w:trPr>
          <w:trHeight w:val="259"/>
        </w:trPr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B90F41" w:rsidRPr="008E454E" w:rsidRDefault="00851FDE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</w:t>
            </w:r>
            <w:r w:rsidR="00875D08">
              <w:rPr>
                <w:rFonts w:asciiTheme="majorHAnsi" w:hAnsiTheme="majorHAnsi"/>
                <w:sz w:val="20"/>
                <w:szCs w:val="20"/>
                <w:lang w:val="sk-SK"/>
              </w:rPr>
              <w:t>.2014 do 31.10.2016.</w:t>
            </w:r>
          </w:p>
        </w:tc>
      </w:tr>
      <w:tr w:rsidR="00B90F41" w:rsidRPr="00000C78" w:rsidTr="00B90F41">
        <w:tc>
          <w:tcPr>
            <w:tcW w:w="426" w:type="dxa"/>
          </w:tcPr>
          <w:p w:rsidR="00B90F41" w:rsidRPr="00BE3D00" w:rsidRDefault="00B90F41" w:rsidP="007B52D2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3629E1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</w:tcPr>
          <w:p w:rsidR="00B90F41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miestnosť o výmere 30,60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-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249,94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€/mesačne najneskôr do15.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príslušného kalendárneho mesiaca za daný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mesiac zaplatí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spolu s 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úhradou so službami vo výške 114,75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  364,69</w:t>
            </w:r>
            <w:r w:rsidRPr="00000C7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€/mesiac. </w:t>
            </w:r>
          </w:p>
          <w:p w:rsidR="00B90F41" w:rsidRPr="005E32A5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Ročne:  4 376,28</w:t>
            </w:r>
            <w:r w:rsidRPr="005E32A5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  </w:t>
            </w:r>
          </w:p>
          <w:p w:rsidR="00B90F41" w:rsidRPr="00000C78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Nájomca uhradí prenajímateľovi s prvou splátkou aj finančnú zábezpeku ako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stálu zálohu vo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výške 364,69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€.</w:t>
            </w:r>
          </w:p>
          <w:p w:rsidR="00B90F41" w:rsidRPr="00000C78" w:rsidRDefault="00B90F41" w:rsidP="007B52D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B90F41" w:rsidRPr="00427FCF" w:rsidTr="00B90F41">
        <w:trPr>
          <w:trHeight w:val="50"/>
        </w:trPr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371" w:type="dxa"/>
          </w:tcPr>
          <w:p w:rsidR="00B90F41" w:rsidRDefault="00B90F41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elektrina, teplo, TÚV a SÚV, OLO – 114,75 € mesačne  a sú súčasťou mesačného</w:t>
            </w:r>
          </w:p>
          <w:p w:rsidR="00B90F41" w:rsidRPr="00427FCF" w:rsidRDefault="00B90F41" w:rsidP="007B52D2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nájomného </w:t>
            </w:r>
          </w:p>
        </w:tc>
      </w:tr>
      <w:tr w:rsidR="00B90F41" w:rsidRPr="008A745F" w:rsidTr="00B90F41">
        <w:tc>
          <w:tcPr>
            <w:tcW w:w="426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8A745F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B90F41" w:rsidRPr="008A745F" w:rsidRDefault="00B90F41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vedúca UTI STU</w:t>
            </w:r>
          </w:p>
        </w:tc>
      </w:tr>
      <w:tr w:rsidR="00B90F41" w:rsidRPr="00DC29AA" w:rsidTr="00B90F41">
        <w:tc>
          <w:tcPr>
            <w:tcW w:w="426" w:type="dxa"/>
          </w:tcPr>
          <w:p w:rsidR="00B90F41" w:rsidRPr="00DC29AA" w:rsidRDefault="00B90F41" w:rsidP="007B52D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B90F41" w:rsidRPr="00DC29AA" w:rsidRDefault="00B90F41" w:rsidP="007B52D2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B90F41" w:rsidRPr="00DC29AA" w:rsidRDefault="001D24C6" w:rsidP="007B52D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24.09.2014</w:t>
            </w:r>
          </w:p>
        </w:tc>
      </w:tr>
    </w:tbl>
    <w:p w:rsidR="00B90F41" w:rsidRDefault="00B90F41" w:rsidP="004423A0">
      <w:pPr>
        <w:pStyle w:val="Textpoznmkypodiarou"/>
        <w:jc w:val="both"/>
        <w:rPr>
          <w:lang w:val="sk-SK"/>
        </w:rPr>
      </w:pPr>
    </w:p>
    <w:p w:rsidR="007F4BAB" w:rsidRDefault="007F4BAB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7F4BAB" w:rsidRPr="00DC29AA" w:rsidTr="007F4BAB">
        <w:tc>
          <w:tcPr>
            <w:tcW w:w="426" w:type="dxa"/>
          </w:tcPr>
          <w:p w:rsidR="007F4BAB" w:rsidRPr="007C340F" w:rsidRDefault="007F4BAB" w:rsidP="00774FF5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7F4BAB" w:rsidRPr="007C340F" w:rsidRDefault="007F4BAB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7F4BAB" w:rsidRPr="00E92671" w:rsidRDefault="007F4BAB" w:rsidP="00774FF5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ProAct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Group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Kpt. Nálepku 1597 , 924 01 Galanta</w:t>
            </w:r>
          </w:p>
          <w:p w:rsidR="007F4BAB" w:rsidRPr="00493318" w:rsidRDefault="007F4BAB" w:rsidP="00774FF5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 na OS Trnava, oddiel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vložka č. 11734/T. </w:t>
            </w:r>
          </w:p>
        </w:tc>
      </w:tr>
      <w:tr w:rsidR="007F4BAB" w:rsidRPr="00616B02" w:rsidTr="007F4BAB">
        <w:tc>
          <w:tcPr>
            <w:tcW w:w="426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 (NP) nachádzajúce sa v ŠD Mladosť, Staré Grunty 53, Bratislava, blok B2, 1.PP, internát A pozostávajúce z miestností: č. 065, 066, 0610 a  0611 ako kancelárske priestory o výmere 55,92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  spoločných priestorov  </w:t>
            </w:r>
          </w:p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( chodba,  WC) pomerná časť 4,80m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 prízemí  (vestibul A-B blokov) internát A. Jedná sa o novú nájomnú zmluvu.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7F4BAB" w:rsidRPr="007B0C3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predmet nájmu spolu vo výmere 60,72m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7F4BAB" w:rsidRPr="00DC29AA" w:rsidTr="007F4BAB">
        <w:tc>
          <w:tcPr>
            <w:tcW w:w="426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7F4BAB" w:rsidRPr="008E454E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administratívna činnosť nájomcu – kancelárie.</w:t>
            </w:r>
          </w:p>
        </w:tc>
      </w:tr>
      <w:tr w:rsidR="007F4BAB" w:rsidRPr="00DC29AA" w:rsidTr="007F4BAB">
        <w:trPr>
          <w:trHeight w:val="259"/>
        </w:trPr>
        <w:tc>
          <w:tcPr>
            <w:tcW w:w="426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F4BAB" w:rsidRPr="008E454E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01.11.2014 do 31.12.2016</w:t>
            </w:r>
          </w:p>
        </w:tc>
      </w:tr>
      <w:tr w:rsidR="007F4BAB" w:rsidRPr="00DC29AA" w:rsidTr="007F4BAB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F4BAB" w:rsidRPr="000B1A3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F4BAB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kancelárie: 62,00 €/m2/rok – 3 467,04 € a spoločné priestory: 7,00 €/m2/rok – 33,60</w:t>
            </w:r>
            <w:r w:rsidRPr="00092EC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7F4BAB" w:rsidRPr="00055D5C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092EC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t. j. </w:t>
            </w:r>
            <w:r w:rsidRPr="00055D5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nájomné spolu ročne 3 500,64 €,</w:t>
            </w:r>
          </w:p>
          <w:p w:rsidR="007F4BAB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 vopred vždy k 15. dňu prvého mesiaca daného</w:t>
            </w:r>
          </w:p>
          <w:p w:rsidR="007F4BAB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štvrťroka vo výške 875,16 €, </w:t>
            </w:r>
          </w:p>
          <w:p w:rsidR="007F4BAB" w:rsidRPr="00986D11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  <w:rFonts w:asciiTheme="majorHAnsi" w:hAnsiTheme="majorHAnsi"/>
                <w:sz w:val="20"/>
                <w:szCs w:val="20"/>
                <w:lang w:val="sk-SK"/>
              </w:rPr>
              <w:footnoteReference w:id="2"/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7F4BAB" w:rsidRPr="00DC29AA" w:rsidTr="007F4BAB">
        <w:trPr>
          <w:trHeight w:val="50"/>
        </w:trPr>
        <w:tc>
          <w:tcPr>
            <w:tcW w:w="426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štvr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ťroka. Prenajímateľ po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k-SK"/>
              </w:rPr>
              <w:t>obdržaní</w:t>
            </w:r>
            <w:proofErr w:type="spellEnd"/>
          </w:p>
          <w:p w:rsid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ájomcovi vyúčtovaciu faktúru za</w:t>
            </w:r>
          </w:p>
          <w:p w:rsid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 zúčtovacej faktúry je</w:t>
            </w:r>
          </w:p>
          <w:p w:rsidR="007F4BAB" w:rsidRPr="007F4BAB" w:rsidRDefault="007F4BAB" w:rsidP="007F4BAB">
            <w:pPr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kalendárnych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dní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odo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dňa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doručenia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vyúčtovania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nájomcovi</w:t>
            </w:r>
            <w:proofErr w:type="spellEnd"/>
            <w:r w:rsidRPr="00F21CC9">
              <w:rPr>
                <w:rFonts w:ascii="Calibri" w:hAnsi="Calibri"/>
                <w:sz w:val="20"/>
              </w:rPr>
              <w:t>.</w:t>
            </w:r>
          </w:p>
        </w:tc>
      </w:tr>
      <w:tr w:rsidR="007F4BAB" w:rsidRPr="00DC29AA" w:rsidTr="007F4BAB">
        <w:tc>
          <w:tcPr>
            <w:tcW w:w="426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7F4BAB" w:rsidRPr="008A745F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riaditeľ ÚZ ŠD a J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STU</w:t>
            </w:r>
          </w:p>
        </w:tc>
      </w:tr>
      <w:tr w:rsidR="007F4BAB" w:rsidRPr="00DC29AA" w:rsidTr="007F4BAB">
        <w:tc>
          <w:tcPr>
            <w:tcW w:w="426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F4BAB" w:rsidRPr="00DC29AA" w:rsidRDefault="007F4BAB" w:rsidP="00774FF5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7F4BAB" w:rsidRPr="00DC29AA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01.10.2014</w:t>
            </w:r>
          </w:p>
        </w:tc>
      </w:tr>
    </w:tbl>
    <w:p w:rsidR="007F4BAB" w:rsidRDefault="007F4BAB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371"/>
      </w:tblGrid>
      <w:tr w:rsidR="007F4BAB" w:rsidRPr="00493318" w:rsidTr="007F4BAB">
        <w:tc>
          <w:tcPr>
            <w:tcW w:w="507" w:type="dxa"/>
          </w:tcPr>
          <w:p w:rsidR="007F4BAB" w:rsidRPr="007C340F" w:rsidRDefault="007F4BAB" w:rsidP="00774FF5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10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7F4BAB" w:rsidRPr="007C340F" w:rsidRDefault="007F4BAB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7F4BAB" w:rsidRPr="00E47466" w:rsidRDefault="007F4BAB" w:rsidP="00774FF5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VLAMON, s. r. o.,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Wilsonova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6, 811 07 Bratislava ,</w:t>
            </w:r>
          </w:p>
          <w:p w:rsidR="007F4BAB" w:rsidRPr="00493318" w:rsidRDefault="007F4BAB" w:rsidP="00774FF5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 na OS Bratislava, oddiel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vložka č. 42509/B. </w:t>
            </w:r>
          </w:p>
        </w:tc>
      </w:tr>
      <w:tr w:rsidR="007F4BAB" w:rsidRPr="007B0C3B" w:rsidTr="007F4BAB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majetok, nebytové priestory (NP) nachádzajúci sa  na prízemí (vestibul) v ŠD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Nikosa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Belojanisa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Wilsonova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6 Bratislava,  pozostávajúci z miestnosti č.02NB0107 ako prevádzkový  priestor pracovnej agentúry o výmere 17,76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spolu s príslušenstvom (pomerná časť chodba, WC).   Jedná sa o novú nájomnú zmluvu.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7F4BAB" w:rsidRPr="007B0C3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predmet nájmu spolu vo výmere 17,76m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7F4BAB" w:rsidRPr="008E454E" w:rsidTr="007F4BAB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7F4BAB" w:rsidRPr="008E454E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administratívna činnosť nájomcu – sprostredkovanie prác pre klientov PA.</w:t>
            </w:r>
          </w:p>
        </w:tc>
      </w:tr>
      <w:tr w:rsidR="007F4BAB" w:rsidRPr="008E454E" w:rsidTr="007F4BAB">
        <w:trPr>
          <w:trHeight w:val="259"/>
        </w:trPr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F4BAB" w:rsidRPr="008E454E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01.11.2014 do 31.10.2016</w:t>
            </w:r>
          </w:p>
        </w:tc>
      </w:tr>
      <w:tr w:rsidR="007F4BAB" w:rsidRPr="00986D11" w:rsidTr="007F4BAB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F4BAB" w:rsidRPr="000B1A3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F4BAB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prevádzkový priestor:  45,00 €/m2/rok – 799,20  € a pomerná časť spoločných</w:t>
            </w:r>
          </w:p>
          <w:p w:rsidR="007F4BAB" w:rsidRPr="007F4BAB" w:rsidRDefault="007F4BAB" w:rsidP="007F4BAB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priestorov: </w:t>
            </w:r>
            <w:r w:rsidRPr="007F4BA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17,00 €, t. j. </w:t>
            </w:r>
            <w:r w:rsidRPr="007F4BAB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nájomné spolu ročne 816,20 €,</w:t>
            </w:r>
          </w:p>
          <w:p w:rsidR="007F4BAB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 vopred vždy k 15. dňu prvého mesiaca daného</w:t>
            </w:r>
          </w:p>
          <w:p w:rsidR="007F4BAB" w:rsidRDefault="007F4BAB" w:rsidP="00774FF5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štvrťroka vo výške 204,05 €, </w:t>
            </w:r>
          </w:p>
          <w:p w:rsidR="007F4BAB" w:rsidRPr="000D4974" w:rsidRDefault="007F4BAB" w:rsidP="00774FF5">
            <w:pPr>
              <w:pStyle w:val="Odsekzoznamu"/>
              <w:ind w:left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7F4BAB" w:rsidRPr="007F4BAB" w:rsidTr="007F4BAB">
        <w:trPr>
          <w:trHeight w:val="50"/>
        </w:trPr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obdržaní</w:t>
            </w:r>
            <w:proofErr w:type="spellEnd"/>
          </w:p>
          <w:p w:rsid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 zúčtovacej faktúry je</w:t>
            </w:r>
          </w:p>
          <w:p w:rsidR="007F4BAB" w:rsidRPr="007F4BAB" w:rsidRDefault="007F4BAB" w:rsidP="007F4B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15 </w:t>
            </w:r>
            <w:proofErr w:type="spellStart"/>
            <w:r w:rsidRPr="00F21CC9">
              <w:rPr>
                <w:rFonts w:ascii="Calibri" w:hAnsi="Calibri"/>
                <w:sz w:val="20"/>
              </w:rPr>
              <w:t>kalendárnych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dní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odo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dňa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doručenia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vyúčtovania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nájomcovi</w:t>
            </w:r>
            <w:proofErr w:type="spellEnd"/>
            <w:r w:rsidRPr="00F21CC9">
              <w:rPr>
                <w:rFonts w:ascii="Calibri" w:hAnsi="Calibri"/>
                <w:sz w:val="20"/>
              </w:rPr>
              <w:t>.</w:t>
            </w:r>
          </w:p>
        </w:tc>
      </w:tr>
      <w:tr w:rsidR="007F4BAB" w:rsidRPr="008A745F" w:rsidTr="007F4BAB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7F4BAB" w:rsidRPr="008A745F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  <w:tr w:rsidR="007F4BAB" w:rsidRPr="00DC29AA" w:rsidTr="007F4BAB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7F4BAB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01.10.2014</w:t>
            </w:r>
          </w:p>
        </w:tc>
      </w:tr>
    </w:tbl>
    <w:p w:rsidR="007F4BAB" w:rsidRDefault="007F4BAB" w:rsidP="004423A0">
      <w:pPr>
        <w:pStyle w:val="Textpoznmkypodiarou"/>
        <w:jc w:val="both"/>
        <w:rPr>
          <w:lang w:val="sk-SK"/>
        </w:rPr>
      </w:pPr>
    </w:p>
    <w:p w:rsidR="007F4BAB" w:rsidRDefault="007F4BAB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371"/>
      </w:tblGrid>
      <w:tr w:rsidR="007F4BAB" w:rsidRPr="00170441" w:rsidTr="003A4248">
        <w:tc>
          <w:tcPr>
            <w:tcW w:w="507" w:type="dxa"/>
          </w:tcPr>
          <w:p w:rsidR="007F4BAB" w:rsidRPr="007C340F" w:rsidRDefault="007F4BAB" w:rsidP="00774FF5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11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7F4BAB" w:rsidRPr="007C340F" w:rsidRDefault="007F4BAB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7F4BAB" w:rsidRPr="00E47466" w:rsidRDefault="007F4BAB" w:rsidP="00774FF5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STAFIN PLUS, s. r. o.,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Ševčenkova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10, 851 01 Bratislava ,</w:t>
            </w:r>
          </w:p>
          <w:p w:rsidR="007F4BAB" w:rsidRPr="00170441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 na OS Bratislava, oddiel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sk-SK"/>
              </w:rPr>
              <w:t>, vložka č. 50281/B.</w:t>
            </w:r>
          </w:p>
        </w:tc>
      </w:tr>
      <w:tr w:rsidR="007F4BAB" w:rsidRPr="009B1DD2" w:rsidTr="003A4248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7F4BAB" w:rsidRDefault="007F4BAB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predlžuje NZ č. 81/2013 R-STU s dobou platnosti od 01.11.2013 do 31.10.2014 v dočasne nepotrebnom majetku, nebytové priestory (NP)nachádzajúce sa v ŠD Mladá Garda, Račianska 103, Bratislava, na prízemí bloku „F“, miestnosti  č. 0022,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lastRenderedPageBreak/>
              <w:t xml:space="preserve">0023, 0024, 0026A, 0028A, 0028B, 0028E, 0028F a 0028G </w:t>
            </w:r>
            <w:r w:rsidRPr="005126F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5126F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30.09.2017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5F7F96">
              <w:rPr>
                <w:rFonts w:asciiTheme="majorHAnsi" w:hAnsiTheme="majorHAnsi"/>
                <w:sz w:val="20"/>
                <w:szCs w:val="20"/>
                <w:lang w:val="sk-SK"/>
              </w:rPr>
              <w:t>a mení sa</w:t>
            </w:r>
          </w:p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40575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Čl. VI – skončenie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 bod 6. mení sa znenie pri skončení nájmu o povinnosti pri odovzdávaní prenajatého priestoru,</w:t>
            </w:r>
          </w:p>
          <w:p w:rsidR="007F4BAB" w:rsidRPr="007F4BAB" w:rsidRDefault="007F4BAB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100,08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. </w:t>
            </w:r>
          </w:p>
        </w:tc>
      </w:tr>
      <w:tr w:rsidR="007F4BAB" w:rsidRPr="008E454E" w:rsidTr="003A4248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7F4BAB" w:rsidRPr="008E454E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využívanie predmetu nájmu ako kancelária, prevádzkový priestor a sklad  nájomcu</w:t>
            </w:r>
          </w:p>
        </w:tc>
      </w:tr>
      <w:tr w:rsidR="007F4BAB" w:rsidRPr="008E454E" w:rsidTr="003A4248">
        <w:trPr>
          <w:trHeight w:val="259"/>
        </w:trPr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F4BAB" w:rsidRPr="008E454E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 30.09.2017</w:t>
            </w:r>
          </w:p>
        </w:tc>
      </w:tr>
      <w:tr w:rsidR="007F4BAB" w:rsidRPr="007976A7" w:rsidTr="003A4248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F4BAB" w:rsidRPr="000B1A3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F4BAB" w:rsidRDefault="007F4BAB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kancelária 16,14m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- 85,00€/m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prevádzka 18,71m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- 30,00€/m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/rok, sklad 42,80m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- 20,00€/m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a spol. priestory 22,43m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- 10,00€/m</w:t>
            </w:r>
            <w:r w:rsidRPr="005F7F9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/rok, 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3 013,50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7F4BAB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753,38 €.</w:t>
            </w:r>
          </w:p>
          <w:p w:rsidR="007F4BAB" w:rsidRPr="007976A7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7F4BAB" w:rsidRPr="001D60FD" w:rsidTr="003A4248">
        <w:trPr>
          <w:trHeight w:val="50"/>
        </w:trPr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7F4BAB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3A4248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7F4BAB" w:rsidRDefault="007F4BAB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 w:rsidR="003A4248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3A4248" w:rsidRDefault="007F4BAB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uplynutí príslušného štvrťroka spolu s nákladmi plynúcimi zo</w:t>
            </w:r>
          </w:p>
          <w:p w:rsidR="003A4248" w:rsidRDefault="007F4BAB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zmluvy</w:t>
            </w:r>
            <w:r w:rsidR="003A4248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č.82/2013 R-STU a jej dodatku č. 1.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Prenajímateľ po </w:t>
            </w:r>
            <w:proofErr w:type="spellStart"/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obdržaní</w:t>
            </w:r>
            <w:proofErr w:type="spellEnd"/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</w:t>
            </w:r>
          </w:p>
          <w:p w:rsidR="003A4248" w:rsidRDefault="007F4BAB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od</w:t>
            </w:r>
            <w:r w:rsidR="003A4248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dodávateľov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energií vyhotoví nájomcovi vyúčtovaciu faktúru za 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</w:t>
            </w:r>
          </w:p>
          <w:p w:rsidR="003A4248" w:rsidRDefault="007F4BAB" w:rsidP="003A4248">
            <w:pPr>
              <w:ind w:left="709" w:hanging="709"/>
              <w:jc w:val="both"/>
              <w:rPr>
                <w:rFonts w:ascii="Calibri" w:hAnsi="Calibri"/>
                <w:sz w:val="20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rok.</w:t>
            </w:r>
            <w:r w:rsidR="003A4248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atku zo zúčtovacej faktúry je 15 </w:t>
            </w:r>
            <w:proofErr w:type="spellStart"/>
            <w:r w:rsidRPr="00F21CC9">
              <w:rPr>
                <w:rFonts w:ascii="Calibri" w:hAnsi="Calibri"/>
                <w:sz w:val="20"/>
              </w:rPr>
              <w:t>kalendárnych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dní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</w:p>
          <w:p w:rsidR="007F4BAB" w:rsidRPr="001D60FD" w:rsidRDefault="003A4248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</w:rPr>
              <w:t>odo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F4BAB" w:rsidRPr="00F21CC9">
              <w:rPr>
                <w:rFonts w:ascii="Calibri" w:hAnsi="Calibri"/>
                <w:sz w:val="20"/>
              </w:rPr>
              <w:t>dňa</w:t>
            </w:r>
            <w:proofErr w:type="spellEnd"/>
            <w:r w:rsidR="007F4BAB"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F4BAB" w:rsidRPr="00F21CC9">
              <w:rPr>
                <w:rFonts w:ascii="Calibri" w:hAnsi="Calibri"/>
                <w:sz w:val="20"/>
              </w:rPr>
              <w:t>doručenia</w:t>
            </w:r>
            <w:proofErr w:type="spellEnd"/>
            <w:r w:rsidR="007F4BAB"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F4BAB" w:rsidRPr="00F21CC9">
              <w:rPr>
                <w:rFonts w:ascii="Calibri" w:hAnsi="Calibri"/>
                <w:sz w:val="20"/>
              </w:rPr>
              <w:t>vyúčtovania</w:t>
            </w:r>
            <w:proofErr w:type="spellEnd"/>
            <w:r w:rsidR="007F4BAB"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F4BAB" w:rsidRPr="00F21CC9">
              <w:rPr>
                <w:rFonts w:ascii="Calibri" w:hAnsi="Calibri"/>
                <w:sz w:val="20"/>
              </w:rPr>
              <w:t>nájomcovi</w:t>
            </w:r>
            <w:proofErr w:type="spellEnd"/>
            <w:r w:rsidR="007F4BAB" w:rsidRPr="00F21CC9">
              <w:rPr>
                <w:rFonts w:ascii="Calibri" w:hAnsi="Calibri"/>
                <w:sz w:val="20"/>
              </w:rPr>
              <w:t>.</w:t>
            </w:r>
          </w:p>
        </w:tc>
      </w:tr>
      <w:tr w:rsidR="007F4BAB" w:rsidRPr="008A745F" w:rsidTr="003A4248">
        <w:tc>
          <w:tcPr>
            <w:tcW w:w="507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7F4BAB" w:rsidRPr="00DC29AA" w:rsidRDefault="007F4BAB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7F4BAB" w:rsidRPr="008A745F" w:rsidRDefault="007F4BAB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  <w:tr w:rsidR="003A4248" w:rsidRPr="00DC29AA" w:rsidTr="003A4248"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3A4248" w:rsidRPr="00DC29AA" w:rsidRDefault="003A4248" w:rsidP="00774FF5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3A4248" w:rsidRPr="00DC29AA" w:rsidRDefault="003A4248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01.10.2014</w:t>
            </w:r>
          </w:p>
        </w:tc>
      </w:tr>
    </w:tbl>
    <w:p w:rsidR="007F4BAB" w:rsidRDefault="007F4BAB" w:rsidP="004423A0">
      <w:pPr>
        <w:pStyle w:val="Textpoznmkypodiarou"/>
        <w:jc w:val="both"/>
        <w:rPr>
          <w:lang w:val="sk-SK"/>
        </w:rPr>
      </w:pPr>
    </w:p>
    <w:p w:rsidR="003A4248" w:rsidRDefault="003A4248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371"/>
      </w:tblGrid>
      <w:tr w:rsidR="003A4248" w:rsidRPr="00170441" w:rsidTr="003A4248">
        <w:tc>
          <w:tcPr>
            <w:tcW w:w="507" w:type="dxa"/>
          </w:tcPr>
          <w:p w:rsidR="003A4248" w:rsidRPr="007C340F" w:rsidRDefault="003A4248" w:rsidP="00774FF5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3A4248" w:rsidRPr="007C340F" w:rsidRDefault="003A4248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3A4248" w:rsidRPr="00E47466" w:rsidRDefault="003A4248" w:rsidP="00774FF5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Študentský parlament elektrotechnikov a informatikov STU,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Ilkovičova3, Bratislava,</w:t>
            </w:r>
          </w:p>
          <w:p w:rsidR="003A4248" w:rsidRPr="00170441" w:rsidRDefault="003A4248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7044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občianske združenie, registrované pod č. VVS/1-900/90-4716</w:t>
            </w:r>
          </w:p>
        </w:tc>
      </w:tr>
      <w:tr w:rsidR="003A4248" w:rsidRPr="007B0C3B" w:rsidTr="003A4248"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3A4248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F19B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 NZ č. 68/2013 R-STU s dobou platnosti od 01.11.2013 do 31.10.2014 sa pôvodný nájom nebytových priestorov (NP) nachádzajúcich sa v ŠD Mladosť, Staré Grunty 53, Bratislava, a to: priestory č. 108 a 119 o výmere 42,94m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bloku C2, internát „B“ na prízemí budovy predlžuje do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31.12.2017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 mení sa</w:t>
            </w:r>
          </w:p>
          <w:p w:rsidR="003A4248" w:rsidRPr="00CF1479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40575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Čl. VI – skončenie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 bod 6. mení sa znenie pri skončení nájmu o povinnosti pri odovzdávaní prenajatého priestoru,</w:t>
            </w:r>
          </w:p>
          <w:p w:rsidR="003A4248" w:rsidRPr="007B0C3B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predmet nájmu spolu je 42,94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3A4248" w:rsidRPr="008E454E" w:rsidTr="003A4248"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3A4248" w:rsidRPr="008E454E" w:rsidRDefault="003A4248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využívanie predmetu nájmu na výkon športových a iných voľno časových aktivít pre členov združenia v zmysle „stanov  združenia“.</w:t>
            </w:r>
          </w:p>
        </w:tc>
      </w:tr>
      <w:tr w:rsidR="003A4248" w:rsidRPr="008E454E" w:rsidTr="003A4248">
        <w:trPr>
          <w:trHeight w:val="259"/>
        </w:trPr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A4248" w:rsidRPr="008E454E" w:rsidRDefault="003A4248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31.12.2017</w:t>
            </w:r>
          </w:p>
        </w:tc>
      </w:tr>
      <w:tr w:rsidR="003A4248" w:rsidRPr="007976A7" w:rsidTr="003A4248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3A4248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3A4248" w:rsidRPr="000B1A3B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A4248" w:rsidRDefault="003A4248" w:rsidP="00774FF5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NP/01,00€/m2/rok,  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spolu ročne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42,94</w:t>
            </w:r>
            <w:r w:rsidRPr="007976A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 </w:t>
            </w:r>
          </w:p>
          <w:p w:rsidR="003A4248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mca v celosti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 príslušný rok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najneskôr do 15.11.2014,</w:t>
            </w:r>
          </w:p>
          <w:p w:rsidR="003A4248" w:rsidRPr="007976A7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3A4248" w:rsidRPr="00427FCF" w:rsidTr="003A4248">
        <w:trPr>
          <w:trHeight w:val="50"/>
        </w:trPr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3A4248" w:rsidRDefault="003A4248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3A4248" w:rsidRDefault="003A4248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3A4248" w:rsidRDefault="003A4248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3A4248" w:rsidRDefault="003A4248" w:rsidP="00774FF5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obdržaní</w:t>
            </w:r>
            <w:proofErr w:type="spellEnd"/>
          </w:p>
          <w:p w:rsidR="003A4248" w:rsidRDefault="003A4248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3A4248" w:rsidRDefault="003A4248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 zúčtovacej faktúry je</w:t>
            </w:r>
          </w:p>
          <w:p w:rsidR="003A4248" w:rsidRPr="003A4248" w:rsidRDefault="003A4248" w:rsidP="003A4248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F21CC9">
              <w:rPr>
                <w:rFonts w:ascii="Calibri" w:hAnsi="Calibri"/>
                <w:sz w:val="20"/>
              </w:rPr>
              <w:t>kalendárnych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dní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odo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dňa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doručenia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vyúčtovania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nájomcovi</w:t>
            </w:r>
            <w:proofErr w:type="spellEnd"/>
            <w:r w:rsidRPr="00F21CC9">
              <w:rPr>
                <w:rFonts w:ascii="Calibri" w:hAnsi="Calibri"/>
                <w:sz w:val="20"/>
              </w:rPr>
              <w:t>.</w:t>
            </w:r>
          </w:p>
        </w:tc>
      </w:tr>
      <w:tr w:rsidR="003A4248" w:rsidRPr="008A745F" w:rsidTr="003A4248"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3A4248" w:rsidRPr="008A745F" w:rsidRDefault="003A4248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 J STU</w:t>
            </w:r>
          </w:p>
        </w:tc>
      </w:tr>
      <w:tr w:rsidR="003A4248" w:rsidRPr="00DC29AA" w:rsidTr="003A4248">
        <w:tc>
          <w:tcPr>
            <w:tcW w:w="507" w:type="dxa"/>
          </w:tcPr>
          <w:p w:rsidR="003A4248" w:rsidRPr="00DC29AA" w:rsidRDefault="003A4248" w:rsidP="00774FF5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3A4248" w:rsidRPr="00DC29AA" w:rsidRDefault="003A4248" w:rsidP="00774FF5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371" w:type="dxa"/>
          </w:tcPr>
          <w:p w:rsidR="003A4248" w:rsidRPr="00DC29AA" w:rsidRDefault="003A4248" w:rsidP="00774FF5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01.10.2014</w:t>
            </w:r>
          </w:p>
        </w:tc>
      </w:tr>
    </w:tbl>
    <w:p w:rsidR="003A4248" w:rsidRDefault="003A4248" w:rsidP="004423A0">
      <w:pPr>
        <w:pStyle w:val="Textpoznmkypodiarou"/>
        <w:jc w:val="both"/>
        <w:rPr>
          <w:lang w:val="sk-SK"/>
        </w:rPr>
      </w:pPr>
    </w:p>
    <w:sectPr w:rsidR="003A4248" w:rsidSect="001353B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F1" w:rsidRDefault="005373F1" w:rsidP="0030006A">
      <w:r>
        <w:separator/>
      </w:r>
    </w:p>
  </w:endnote>
  <w:endnote w:type="continuationSeparator" w:id="0">
    <w:p w:rsidR="005373F1" w:rsidRDefault="005373F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BD" w:rsidRDefault="00B90F41" w:rsidP="00B90F41">
    <w:pPr>
      <w:pStyle w:val="Pta"/>
      <w:tabs>
        <w:tab w:val="clear" w:pos="4320"/>
        <w:tab w:val="clear" w:pos="8640"/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F1" w:rsidRDefault="005373F1" w:rsidP="0030006A">
      <w:r>
        <w:separator/>
      </w:r>
    </w:p>
  </w:footnote>
  <w:footnote w:type="continuationSeparator" w:id="0">
    <w:p w:rsidR="005373F1" w:rsidRDefault="005373F1" w:rsidP="0030006A">
      <w:r>
        <w:continuationSeparator/>
      </w:r>
    </w:p>
  </w:footnote>
  <w:footnote w:id="1">
    <w:p w:rsidR="00B90F41" w:rsidRDefault="00B90F41" w:rsidP="00B90F41">
      <w:pPr>
        <w:pStyle w:val="Textpoznmkypodiarou"/>
        <w:jc w:val="both"/>
        <w:rPr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 </w:t>
      </w:r>
      <w:r>
        <w:rPr>
          <w:rFonts w:asciiTheme="majorHAnsi" w:hAnsiTheme="majorHAnsi"/>
          <w:sz w:val="16"/>
          <w:szCs w:val="16"/>
          <w:lang w:val="sk-SK"/>
        </w:rPr>
        <w:t>Príloha č. 1 Smernice rektora číslo 9/2013-SR „Nájom nehnuteľného majetku vo vlastníctve Slovens</w:t>
      </w:r>
      <w:r>
        <w:rPr>
          <w:sz w:val="16"/>
          <w:szCs w:val="16"/>
          <w:lang w:val="sk-SK"/>
        </w:rPr>
        <w:t>kej technickej univerzity</w:t>
      </w:r>
    </w:p>
    <w:p w:rsidR="00B90F41" w:rsidRDefault="00B90F41" w:rsidP="00B90F41">
      <w:pPr>
        <w:pStyle w:val="Textpoznmkypodiarou"/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   v Bratislave“  zo dňa 12.12.2013.</w:t>
      </w:r>
      <w:r>
        <w:rPr>
          <w:lang w:val="sk-SK"/>
        </w:rPr>
        <w:t xml:space="preserve"> </w:t>
      </w:r>
      <w:r>
        <w:rPr>
          <w:lang w:val="sk-SK"/>
        </w:rPr>
        <w:tab/>
      </w:r>
    </w:p>
    <w:p w:rsidR="00B90F41" w:rsidRPr="00B90F41" w:rsidRDefault="00B90F41">
      <w:pPr>
        <w:pStyle w:val="Textpoznmkypodiarou"/>
        <w:rPr>
          <w:lang w:val="sk-SK"/>
        </w:rPr>
      </w:pPr>
    </w:p>
  </w:footnote>
  <w:footnote w:id="2">
    <w:p w:rsidR="007F4BAB" w:rsidRDefault="007F4BAB" w:rsidP="007F4BAB">
      <w:pPr>
        <w:pStyle w:val="Textpoznmkypodiarou"/>
        <w:jc w:val="both"/>
        <w:rPr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  <w:lang w:val="sk-SK"/>
        </w:rPr>
        <w:t>Príloha č. 1 Smernice rektora číslo 9/2013-SR „Nájom nehnuteľného majetku vo vlastníctve Slovens</w:t>
      </w:r>
      <w:r>
        <w:rPr>
          <w:sz w:val="16"/>
          <w:szCs w:val="16"/>
          <w:lang w:val="sk-SK"/>
        </w:rPr>
        <w:t>kej technickej univerzity</w:t>
      </w:r>
    </w:p>
    <w:p w:rsidR="007F4BAB" w:rsidRDefault="007F4BAB" w:rsidP="007F4BAB">
      <w:pPr>
        <w:pStyle w:val="Textpoznmkypodiarou"/>
        <w:tabs>
          <w:tab w:val="left" w:pos="2760"/>
        </w:tabs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v Bratislave“  zo dňa 12.12.2013.</w:t>
      </w:r>
      <w:r>
        <w:rPr>
          <w:lang w:val="sk-SK"/>
        </w:rPr>
        <w:t xml:space="preserve"> </w:t>
      </w:r>
      <w:r>
        <w:rPr>
          <w:lang w:val="sk-SK"/>
        </w:rPr>
        <w:tab/>
      </w:r>
    </w:p>
    <w:p w:rsidR="007F4BAB" w:rsidRPr="00BE3D00" w:rsidRDefault="007F4BAB" w:rsidP="007F4BAB"/>
    <w:p w:rsidR="007F4BAB" w:rsidRPr="0062721D" w:rsidRDefault="007F4BAB" w:rsidP="007F4BAB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BD" w:rsidRDefault="001722BD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8B085" wp14:editId="51B8D288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22BD" w:rsidRDefault="00972AB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senát, 20.10</w:t>
                          </w:r>
                          <w:r w:rsidR="001722B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.2014</w:t>
                          </w:r>
                        </w:p>
                        <w:p w:rsidR="001722BD" w:rsidRPr="00A20866" w:rsidRDefault="001722B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Zmluvy o nájme nebytových priestorov </w:t>
                          </w:r>
                        </w:p>
                        <w:p w:rsidR="001722BD" w:rsidRPr="00A20866" w:rsidRDefault="001722B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nky / bod programu, prof. Ing. Robert Redhammer, PhD.,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1722BD" w:rsidRDefault="00972AB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senát, 20.10</w:t>
                    </w:r>
                    <w:r w:rsidR="001722B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.2014</w:t>
                    </w:r>
                  </w:p>
                  <w:p w:rsidR="001722BD" w:rsidRPr="00A20866" w:rsidRDefault="001722B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Zmluvy o nájme nebytových priestorov </w:t>
                    </w:r>
                  </w:p>
                  <w:p w:rsidR="001722BD" w:rsidRPr="00A20866" w:rsidRDefault="001722B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nky / bod programu, prof. Ing.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PhD., 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A717AAE" wp14:editId="2E7C45CB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595"/>
    <w:multiLevelType w:val="hybridMultilevel"/>
    <w:tmpl w:val="5F466A10"/>
    <w:lvl w:ilvl="0" w:tplc="041B000F">
      <w:start w:val="1"/>
      <w:numFmt w:val="decimal"/>
      <w:lvlText w:val="%1."/>
      <w:lvlJc w:val="left"/>
      <w:pPr>
        <w:ind w:left="2696" w:hanging="360"/>
      </w:pPr>
    </w:lvl>
    <w:lvl w:ilvl="1" w:tplc="041B0019" w:tentative="1">
      <w:start w:val="1"/>
      <w:numFmt w:val="lowerLetter"/>
      <w:lvlText w:val="%2."/>
      <w:lvlJc w:val="left"/>
      <w:pPr>
        <w:ind w:left="3416" w:hanging="360"/>
      </w:pPr>
    </w:lvl>
    <w:lvl w:ilvl="2" w:tplc="041B001B" w:tentative="1">
      <w:start w:val="1"/>
      <w:numFmt w:val="lowerRoman"/>
      <w:lvlText w:val="%3."/>
      <w:lvlJc w:val="right"/>
      <w:pPr>
        <w:ind w:left="4136" w:hanging="180"/>
      </w:pPr>
    </w:lvl>
    <w:lvl w:ilvl="3" w:tplc="041B000F" w:tentative="1">
      <w:start w:val="1"/>
      <w:numFmt w:val="decimal"/>
      <w:lvlText w:val="%4."/>
      <w:lvlJc w:val="left"/>
      <w:pPr>
        <w:ind w:left="4856" w:hanging="360"/>
      </w:pPr>
    </w:lvl>
    <w:lvl w:ilvl="4" w:tplc="041B0019" w:tentative="1">
      <w:start w:val="1"/>
      <w:numFmt w:val="lowerLetter"/>
      <w:lvlText w:val="%5."/>
      <w:lvlJc w:val="left"/>
      <w:pPr>
        <w:ind w:left="5576" w:hanging="360"/>
      </w:pPr>
    </w:lvl>
    <w:lvl w:ilvl="5" w:tplc="041B001B" w:tentative="1">
      <w:start w:val="1"/>
      <w:numFmt w:val="lowerRoman"/>
      <w:lvlText w:val="%6."/>
      <w:lvlJc w:val="right"/>
      <w:pPr>
        <w:ind w:left="6296" w:hanging="180"/>
      </w:pPr>
    </w:lvl>
    <w:lvl w:ilvl="6" w:tplc="041B000F" w:tentative="1">
      <w:start w:val="1"/>
      <w:numFmt w:val="decimal"/>
      <w:lvlText w:val="%7."/>
      <w:lvlJc w:val="left"/>
      <w:pPr>
        <w:ind w:left="7016" w:hanging="360"/>
      </w:pPr>
    </w:lvl>
    <w:lvl w:ilvl="7" w:tplc="041B0019" w:tentative="1">
      <w:start w:val="1"/>
      <w:numFmt w:val="lowerLetter"/>
      <w:lvlText w:val="%8."/>
      <w:lvlJc w:val="left"/>
      <w:pPr>
        <w:ind w:left="7736" w:hanging="360"/>
      </w:pPr>
    </w:lvl>
    <w:lvl w:ilvl="8" w:tplc="041B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">
    <w:nsid w:val="18872717"/>
    <w:multiLevelType w:val="hybridMultilevel"/>
    <w:tmpl w:val="BDCE4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11135E1"/>
    <w:multiLevelType w:val="hybridMultilevel"/>
    <w:tmpl w:val="C890B3F0"/>
    <w:lvl w:ilvl="0" w:tplc="11DEB09C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>
    <w:nsid w:val="24B9003A"/>
    <w:multiLevelType w:val="hybridMultilevel"/>
    <w:tmpl w:val="24E27DD2"/>
    <w:lvl w:ilvl="0" w:tplc="2F1232E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03AC"/>
    <w:multiLevelType w:val="hybridMultilevel"/>
    <w:tmpl w:val="F850A81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55B9D"/>
    <w:multiLevelType w:val="hybridMultilevel"/>
    <w:tmpl w:val="B3788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998"/>
    <w:multiLevelType w:val="hybridMultilevel"/>
    <w:tmpl w:val="FD9E22A6"/>
    <w:lvl w:ilvl="0" w:tplc="58DA06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27898"/>
    <w:multiLevelType w:val="hybridMultilevel"/>
    <w:tmpl w:val="34BA0BDA"/>
    <w:lvl w:ilvl="0" w:tplc="F4E48BD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C67215"/>
    <w:multiLevelType w:val="hybridMultilevel"/>
    <w:tmpl w:val="40FEA57A"/>
    <w:lvl w:ilvl="0" w:tplc="F8F4694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CD6103"/>
    <w:multiLevelType w:val="hybridMultilevel"/>
    <w:tmpl w:val="77684EDA"/>
    <w:lvl w:ilvl="0" w:tplc="2F1232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F7AC9"/>
    <w:multiLevelType w:val="hybridMultilevel"/>
    <w:tmpl w:val="40FEA57A"/>
    <w:lvl w:ilvl="0" w:tplc="F8F4694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856A68"/>
    <w:multiLevelType w:val="hybridMultilevel"/>
    <w:tmpl w:val="77684EDA"/>
    <w:lvl w:ilvl="0" w:tplc="2F1232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E426C"/>
    <w:multiLevelType w:val="hybridMultilevel"/>
    <w:tmpl w:val="B4F0E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63B"/>
    <w:multiLevelType w:val="hybridMultilevel"/>
    <w:tmpl w:val="B3788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57B"/>
    <w:multiLevelType w:val="hybridMultilevel"/>
    <w:tmpl w:val="ECFAFBA0"/>
    <w:lvl w:ilvl="0" w:tplc="F69C3F0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0C5502"/>
    <w:multiLevelType w:val="hybridMultilevel"/>
    <w:tmpl w:val="CB16A854"/>
    <w:lvl w:ilvl="0" w:tplc="5F26B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B17581"/>
    <w:multiLevelType w:val="hybridMultilevel"/>
    <w:tmpl w:val="1950659A"/>
    <w:lvl w:ilvl="0" w:tplc="34D8C1F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8"/>
  </w:num>
  <w:num w:numId="16">
    <w:abstractNumId w:val="16"/>
  </w:num>
  <w:num w:numId="17">
    <w:abstractNumId w:val="6"/>
  </w:num>
  <w:num w:numId="18">
    <w:abstractNumId w:val="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20BA"/>
    <w:rsid w:val="000228FC"/>
    <w:rsid w:val="00031748"/>
    <w:rsid w:val="00037D55"/>
    <w:rsid w:val="00040A79"/>
    <w:rsid w:val="00041FA3"/>
    <w:rsid w:val="00046318"/>
    <w:rsid w:val="00050E1B"/>
    <w:rsid w:val="00060A43"/>
    <w:rsid w:val="000621A4"/>
    <w:rsid w:val="0006307B"/>
    <w:rsid w:val="000634E5"/>
    <w:rsid w:val="00063C3D"/>
    <w:rsid w:val="00067B52"/>
    <w:rsid w:val="00084198"/>
    <w:rsid w:val="000952CD"/>
    <w:rsid w:val="000A4645"/>
    <w:rsid w:val="000B1A3B"/>
    <w:rsid w:val="000B20F1"/>
    <w:rsid w:val="000B421E"/>
    <w:rsid w:val="000B6982"/>
    <w:rsid w:val="000D56C8"/>
    <w:rsid w:val="000D697D"/>
    <w:rsid w:val="000E3588"/>
    <w:rsid w:val="00112B1E"/>
    <w:rsid w:val="00115439"/>
    <w:rsid w:val="001166C5"/>
    <w:rsid w:val="0011711C"/>
    <w:rsid w:val="00120D83"/>
    <w:rsid w:val="00121C8B"/>
    <w:rsid w:val="001353B9"/>
    <w:rsid w:val="00143625"/>
    <w:rsid w:val="0015081D"/>
    <w:rsid w:val="001572AC"/>
    <w:rsid w:val="00170C34"/>
    <w:rsid w:val="001722BD"/>
    <w:rsid w:val="00173F10"/>
    <w:rsid w:val="0019045E"/>
    <w:rsid w:val="00190578"/>
    <w:rsid w:val="00192D53"/>
    <w:rsid w:val="00197A26"/>
    <w:rsid w:val="001B24A9"/>
    <w:rsid w:val="001B3F03"/>
    <w:rsid w:val="001B6FFB"/>
    <w:rsid w:val="001B73E8"/>
    <w:rsid w:val="001C2040"/>
    <w:rsid w:val="001D1ED8"/>
    <w:rsid w:val="001D24C6"/>
    <w:rsid w:val="001D330F"/>
    <w:rsid w:val="0020127C"/>
    <w:rsid w:val="002024A8"/>
    <w:rsid w:val="0020406C"/>
    <w:rsid w:val="002104EE"/>
    <w:rsid w:val="00233685"/>
    <w:rsid w:val="0027465E"/>
    <w:rsid w:val="00275577"/>
    <w:rsid w:val="00275A97"/>
    <w:rsid w:val="00280118"/>
    <w:rsid w:val="00280E4E"/>
    <w:rsid w:val="00295C16"/>
    <w:rsid w:val="002A0E1D"/>
    <w:rsid w:val="002A7D72"/>
    <w:rsid w:val="002B13F8"/>
    <w:rsid w:val="002C26B8"/>
    <w:rsid w:val="002C498F"/>
    <w:rsid w:val="002E3622"/>
    <w:rsid w:val="002E723C"/>
    <w:rsid w:val="002F41B7"/>
    <w:rsid w:val="0030006A"/>
    <w:rsid w:val="00301D14"/>
    <w:rsid w:val="00302217"/>
    <w:rsid w:val="00304A89"/>
    <w:rsid w:val="003105F2"/>
    <w:rsid w:val="00333687"/>
    <w:rsid w:val="00335DFA"/>
    <w:rsid w:val="00336426"/>
    <w:rsid w:val="003419F5"/>
    <w:rsid w:val="003435C1"/>
    <w:rsid w:val="00361DD1"/>
    <w:rsid w:val="003629E1"/>
    <w:rsid w:val="00373CFF"/>
    <w:rsid w:val="00374756"/>
    <w:rsid w:val="00374BFC"/>
    <w:rsid w:val="003755C1"/>
    <w:rsid w:val="003801CF"/>
    <w:rsid w:val="00382548"/>
    <w:rsid w:val="003916D7"/>
    <w:rsid w:val="00396257"/>
    <w:rsid w:val="003A4248"/>
    <w:rsid w:val="003A7509"/>
    <w:rsid w:val="003B0552"/>
    <w:rsid w:val="003B2C9A"/>
    <w:rsid w:val="003B53AB"/>
    <w:rsid w:val="003C77DE"/>
    <w:rsid w:val="003D0A53"/>
    <w:rsid w:val="003D1583"/>
    <w:rsid w:val="003D3104"/>
    <w:rsid w:val="003D5F7C"/>
    <w:rsid w:val="003D68C4"/>
    <w:rsid w:val="003E07A3"/>
    <w:rsid w:val="003E2F51"/>
    <w:rsid w:val="003E701D"/>
    <w:rsid w:val="003F4661"/>
    <w:rsid w:val="003F7A42"/>
    <w:rsid w:val="0041343B"/>
    <w:rsid w:val="00426786"/>
    <w:rsid w:val="00427FCF"/>
    <w:rsid w:val="00432ADE"/>
    <w:rsid w:val="00435A5E"/>
    <w:rsid w:val="00436FE2"/>
    <w:rsid w:val="004423A0"/>
    <w:rsid w:val="00443F2C"/>
    <w:rsid w:val="004464F9"/>
    <w:rsid w:val="004678FC"/>
    <w:rsid w:val="004771C6"/>
    <w:rsid w:val="004776F3"/>
    <w:rsid w:val="00480802"/>
    <w:rsid w:val="00482D4C"/>
    <w:rsid w:val="004857DD"/>
    <w:rsid w:val="00493318"/>
    <w:rsid w:val="004A3CE8"/>
    <w:rsid w:val="004A6228"/>
    <w:rsid w:val="004B0245"/>
    <w:rsid w:val="004D276C"/>
    <w:rsid w:val="004D35C9"/>
    <w:rsid w:val="004D6970"/>
    <w:rsid w:val="004E321C"/>
    <w:rsid w:val="004E339B"/>
    <w:rsid w:val="005001CD"/>
    <w:rsid w:val="00502E10"/>
    <w:rsid w:val="00502ED3"/>
    <w:rsid w:val="00503EFD"/>
    <w:rsid w:val="00504FDD"/>
    <w:rsid w:val="005101C8"/>
    <w:rsid w:val="00526420"/>
    <w:rsid w:val="005373F1"/>
    <w:rsid w:val="00546A05"/>
    <w:rsid w:val="00552A42"/>
    <w:rsid w:val="0055749A"/>
    <w:rsid w:val="005649CE"/>
    <w:rsid w:val="00566E4A"/>
    <w:rsid w:val="0058254B"/>
    <w:rsid w:val="00587603"/>
    <w:rsid w:val="00591614"/>
    <w:rsid w:val="005A1790"/>
    <w:rsid w:val="005A5C67"/>
    <w:rsid w:val="005B3088"/>
    <w:rsid w:val="005C1071"/>
    <w:rsid w:val="005C7D0C"/>
    <w:rsid w:val="005D309D"/>
    <w:rsid w:val="005D43D6"/>
    <w:rsid w:val="005F5B6C"/>
    <w:rsid w:val="005F6D8F"/>
    <w:rsid w:val="005F70D0"/>
    <w:rsid w:val="005F73FA"/>
    <w:rsid w:val="0060036F"/>
    <w:rsid w:val="006062AB"/>
    <w:rsid w:val="006119AD"/>
    <w:rsid w:val="0061691D"/>
    <w:rsid w:val="00616B02"/>
    <w:rsid w:val="00627C2B"/>
    <w:rsid w:val="00641651"/>
    <w:rsid w:val="00643DDA"/>
    <w:rsid w:val="00652FCE"/>
    <w:rsid w:val="00653177"/>
    <w:rsid w:val="006645A1"/>
    <w:rsid w:val="00667FAB"/>
    <w:rsid w:val="00670C23"/>
    <w:rsid w:val="006757D5"/>
    <w:rsid w:val="00677B53"/>
    <w:rsid w:val="00680A19"/>
    <w:rsid w:val="0068369F"/>
    <w:rsid w:val="006901DA"/>
    <w:rsid w:val="00690673"/>
    <w:rsid w:val="00693946"/>
    <w:rsid w:val="00693C7D"/>
    <w:rsid w:val="006B19F7"/>
    <w:rsid w:val="006D0E83"/>
    <w:rsid w:val="006D1684"/>
    <w:rsid w:val="006E6F6D"/>
    <w:rsid w:val="006F30EE"/>
    <w:rsid w:val="006F4AFD"/>
    <w:rsid w:val="006F5236"/>
    <w:rsid w:val="007005DB"/>
    <w:rsid w:val="00710627"/>
    <w:rsid w:val="007144C2"/>
    <w:rsid w:val="00716156"/>
    <w:rsid w:val="0072010B"/>
    <w:rsid w:val="007433A9"/>
    <w:rsid w:val="00747601"/>
    <w:rsid w:val="0076042D"/>
    <w:rsid w:val="007609D9"/>
    <w:rsid w:val="00761581"/>
    <w:rsid w:val="00764A07"/>
    <w:rsid w:val="00774D8A"/>
    <w:rsid w:val="007752CD"/>
    <w:rsid w:val="007772D8"/>
    <w:rsid w:val="007A04E2"/>
    <w:rsid w:val="007A0ABD"/>
    <w:rsid w:val="007A7B81"/>
    <w:rsid w:val="007C26E2"/>
    <w:rsid w:val="007C340F"/>
    <w:rsid w:val="007C3643"/>
    <w:rsid w:val="007C3BA4"/>
    <w:rsid w:val="007E5F4A"/>
    <w:rsid w:val="007F277E"/>
    <w:rsid w:val="007F4BAB"/>
    <w:rsid w:val="007F5771"/>
    <w:rsid w:val="00801C1E"/>
    <w:rsid w:val="0080424C"/>
    <w:rsid w:val="008106C9"/>
    <w:rsid w:val="00823BB1"/>
    <w:rsid w:val="00823CB8"/>
    <w:rsid w:val="00836367"/>
    <w:rsid w:val="00836994"/>
    <w:rsid w:val="00842219"/>
    <w:rsid w:val="00851FDE"/>
    <w:rsid w:val="00865D5F"/>
    <w:rsid w:val="0086742A"/>
    <w:rsid w:val="00874982"/>
    <w:rsid w:val="00875D08"/>
    <w:rsid w:val="00890F0C"/>
    <w:rsid w:val="00892F30"/>
    <w:rsid w:val="008951E2"/>
    <w:rsid w:val="008A0CC2"/>
    <w:rsid w:val="008A745F"/>
    <w:rsid w:val="008A7EF8"/>
    <w:rsid w:val="008C7AC8"/>
    <w:rsid w:val="008D2062"/>
    <w:rsid w:val="008D61E2"/>
    <w:rsid w:val="008E0907"/>
    <w:rsid w:val="008E1455"/>
    <w:rsid w:val="008E2880"/>
    <w:rsid w:val="008E7C98"/>
    <w:rsid w:val="008E7D10"/>
    <w:rsid w:val="00900193"/>
    <w:rsid w:val="0090595F"/>
    <w:rsid w:val="00912140"/>
    <w:rsid w:val="009137A3"/>
    <w:rsid w:val="00932674"/>
    <w:rsid w:val="00934DF1"/>
    <w:rsid w:val="00934F31"/>
    <w:rsid w:val="009445AD"/>
    <w:rsid w:val="009519F1"/>
    <w:rsid w:val="00951E26"/>
    <w:rsid w:val="00956048"/>
    <w:rsid w:val="009630AD"/>
    <w:rsid w:val="0096605A"/>
    <w:rsid w:val="0096735A"/>
    <w:rsid w:val="00972405"/>
    <w:rsid w:val="009726A8"/>
    <w:rsid w:val="00972AB6"/>
    <w:rsid w:val="00972EEE"/>
    <w:rsid w:val="00973A42"/>
    <w:rsid w:val="00982D27"/>
    <w:rsid w:val="009A1484"/>
    <w:rsid w:val="009A2ACB"/>
    <w:rsid w:val="009A3919"/>
    <w:rsid w:val="009B13A6"/>
    <w:rsid w:val="009B7C16"/>
    <w:rsid w:val="009C2067"/>
    <w:rsid w:val="009E1D33"/>
    <w:rsid w:val="009E21A0"/>
    <w:rsid w:val="009E4396"/>
    <w:rsid w:val="009F1D33"/>
    <w:rsid w:val="00A11A31"/>
    <w:rsid w:val="00A20866"/>
    <w:rsid w:val="00A221D8"/>
    <w:rsid w:val="00A23AA4"/>
    <w:rsid w:val="00A30C5A"/>
    <w:rsid w:val="00A32193"/>
    <w:rsid w:val="00A33C09"/>
    <w:rsid w:val="00A35F6B"/>
    <w:rsid w:val="00A4044A"/>
    <w:rsid w:val="00A47BAB"/>
    <w:rsid w:val="00A53DA8"/>
    <w:rsid w:val="00A619EC"/>
    <w:rsid w:val="00A637F0"/>
    <w:rsid w:val="00A66DFA"/>
    <w:rsid w:val="00A974A1"/>
    <w:rsid w:val="00AA052C"/>
    <w:rsid w:val="00AB08E8"/>
    <w:rsid w:val="00AB10D7"/>
    <w:rsid w:val="00AB495A"/>
    <w:rsid w:val="00AC1C6A"/>
    <w:rsid w:val="00AD1599"/>
    <w:rsid w:val="00AD404A"/>
    <w:rsid w:val="00AD640A"/>
    <w:rsid w:val="00AE5206"/>
    <w:rsid w:val="00AF6146"/>
    <w:rsid w:val="00AF7046"/>
    <w:rsid w:val="00B00EDB"/>
    <w:rsid w:val="00B01B82"/>
    <w:rsid w:val="00B12602"/>
    <w:rsid w:val="00B21858"/>
    <w:rsid w:val="00B21BC5"/>
    <w:rsid w:val="00B26E2E"/>
    <w:rsid w:val="00B3041C"/>
    <w:rsid w:val="00B30D1D"/>
    <w:rsid w:val="00B441CB"/>
    <w:rsid w:val="00B530C4"/>
    <w:rsid w:val="00B611B5"/>
    <w:rsid w:val="00B65ACF"/>
    <w:rsid w:val="00B66E15"/>
    <w:rsid w:val="00B75E54"/>
    <w:rsid w:val="00B8125B"/>
    <w:rsid w:val="00B90F41"/>
    <w:rsid w:val="00BA7873"/>
    <w:rsid w:val="00BB2B0D"/>
    <w:rsid w:val="00BD40FD"/>
    <w:rsid w:val="00BD4727"/>
    <w:rsid w:val="00BD70BF"/>
    <w:rsid w:val="00BE3D00"/>
    <w:rsid w:val="00BE41FE"/>
    <w:rsid w:val="00BE4DFE"/>
    <w:rsid w:val="00BF3B8B"/>
    <w:rsid w:val="00C07F74"/>
    <w:rsid w:val="00C37907"/>
    <w:rsid w:val="00C571DA"/>
    <w:rsid w:val="00C630AC"/>
    <w:rsid w:val="00C76A2F"/>
    <w:rsid w:val="00C84363"/>
    <w:rsid w:val="00C975A4"/>
    <w:rsid w:val="00CA2A80"/>
    <w:rsid w:val="00CB29D2"/>
    <w:rsid w:val="00CC05E5"/>
    <w:rsid w:val="00CC0CD1"/>
    <w:rsid w:val="00CC31FC"/>
    <w:rsid w:val="00CC3F73"/>
    <w:rsid w:val="00CC7464"/>
    <w:rsid w:val="00CD1C07"/>
    <w:rsid w:val="00CD539F"/>
    <w:rsid w:val="00CE198F"/>
    <w:rsid w:val="00CE6990"/>
    <w:rsid w:val="00CE6D96"/>
    <w:rsid w:val="00CF392E"/>
    <w:rsid w:val="00CF557B"/>
    <w:rsid w:val="00D00449"/>
    <w:rsid w:val="00D02669"/>
    <w:rsid w:val="00D04D7E"/>
    <w:rsid w:val="00D04D8E"/>
    <w:rsid w:val="00D06DA0"/>
    <w:rsid w:val="00D10868"/>
    <w:rsid w:val="00D131B7"/>
    <w:rsid w:val="00D15444"/>
    <w:rsid w:val="00D33086"/>
    <w:rsid w:val="00D34342"/>
    <w:rsid w:val="00D40575"/>
    <w:rsid w:val="00D46DE5"/>
    <w:rsid w:val="00D50C00"/>
    <w:rsid w:val="00D54957"/>
    <w:rsid w:val="00D62487"/>
    <w:rsid w:val="00DA153E"/>
    <w:rsid w:val="00DA1FA9"/>
    <w:rsid w:val="00DB2CC1"/>
    <w:rsid w:val="00DB3C5D"/>
    <w:rsid w:val="00DC29AA"/>
    <w:rsid w:val="00DC3E38"/>
    <w:rsid w:val="00DD2565"/>
    <w:rsid w:val="00DD39A7"/>
    <w:rsid w:val="00DD4026"/>
    <w:rsid w:val="00DE67DF"/>
    <w:rsid w:val="00DF05AF"/>
    <w:rsid w:val="00DF1C02"/>
    <w:rsid w:val="00E07D4C"/>
    <w:rsid w:val="00E10201"/>
    <w:rsid w:val="00E10E00"/>
    <w:rsid w:val="00E16EFD"/>
    <w:rsid w:val="00E2593E"/>
    <w:rsid w:val="00E30EEF"/>
    <w:rsid w:val="00E35A85"/>
    <w:rsid w:val="00E35CBE"/>
    <w:rsid w:val="00E36FFE"/>
    <w:rsid w:val="00E376AA"/>
    <w:rsid w:val="00E4232A"/>
    <w:rsid w:val="00E42FE9"/>
    <w:rsid w:val="00E43CEC"/>
    <w:rsid w:val="00E51CE8"/>
    <w:rsid w:val="00E531BB"/>
    <w:rsid w:val="00E72247"/>
    <w:rsid w:val="00E81A29"/>
    <w:rsid w:val="00E81EA1"/>
    <w:rsid w:val="00E95BC1"/>
    <w:rsid w:val="00EA0748"/>
    <w:rsid w:val="00EA203A"/>
    <w:rsid w:val="00EA62F5"/>
    <w:rsid w:val="00EA6660"/>
    <w:rsid w:val="00EB4A33"/>
    <w:rsid w:val="00EB4C0C"/>
    <w:rsid w:val="00EC173E"/>
    <w:rsid w:val="00EC2CC6"/>
    <w:rsid w:val="00EC746D"/>
    <w:rsid w:val="00EE2EBB"/>
    <w:rsid w:val="00EE328B"/>
    <w:rsid w:val="00EF35ED"/>
    <w:rsid w:val="00F21CC9"/>
    <w:rsid w:val="00F24DC7"/>
    <w:rsid w:val="00F260EC"/>
    <w:rsid w:val="00F27F08"/>
    <w:rsid w:val="00F30275"/>
    <w:rsid w:val="00F401C3"/>
    <w:rsid w:val="00F425C4"/>
    <w:rsid w:val="00F52448"/>
    <w:rsid w:val="00F6347A"/>
    <w:rsid w:val="00F72759"/>
    <w:rsid w:val="00F91A1B"/>
    <w:rsid w:val="00F97932"/>
    <w:rsid w:val="00FA217C"/>
    <w:rsid w:val="00FB192D"/>
    <w:rsid w:val="00FC0726"/>
    <w:rsid w:val="00FE4B8A"/>
    <w:rsid w:val="00FF0CC7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119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464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4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4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4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4F9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D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5A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5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ACF"/>
    <w:rPr>
      <w:vertAlign w:val="superscript"/>
    </w:rPr>
  </w:style>
  <w:style w:type="paragraph" w:styleId="Zkladntext">
    <w:name w:val="Body Text"/>
    <w:basedOn w:val="Normlny"/>
    <w:link w:val="ZkladntextChar"/>
    <w:rsid w:val="00AB08E8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AB08E8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A9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119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464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4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4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4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4F9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D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5A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5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ACF"/>
    <w:rPr>
      <w:vertAlign w:val="superscript"/>
    </w:rPr>
  </w:style>
  <w:style w:type="paragraph" w:styleId="Zkladntext">
    <w:name w:val="Body Text"/>
    <w:basedOn w:val="Normlny"/>
    <w:link w:val="ZkladntextChar"/>
    <w:rsid w:val="00AB08E8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AB08E8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A9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00E26-3677-4B62-86C0-FC2ADC2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7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2014-09-19T10:13:00Z</cp:lastPrinted>
  <dcterms:created xsi:type="dcterms:W3CDTF">2014-10-08T09:38:00Z</dcterms:created>
  <dcterms:modified xsi:type="dcterms:W3CDTF">2014-10-08T09:38:00Z</dcterms:modified>
</cp:coreProperties>
</file>