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8BFF3" w14:textId="77777777" w:rsidR="00012643" w:rsidRDefault="00012643" w:rsidP="00592B7A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14:paraId="6BB8C217" w14:textId="01A94D3B" w:rsidR="00012643" w:rsidRDefault="00DE14A2" w:rsidP="00592B7A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</w:p>
    <w:p w14:paraId="570491C5" w14:textId="64B2BB5A" w:rsidR="00DE14A2" w:rsidRPr="00AF7046" w:rsidRDefault="00DE14A2" w:rsidP="00592B7A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Slovenskej technickej univerzity v Bratislave</w:t>
      </w:r>
    </w:p>
    <w:p w14:paraId="29FACD17" w14:textId="48BE9407" w:rsidR="00012643" w:rsidRPr="00AF7046" w:rsidRDefault="00DE14A2" w:rsidP="00592B7A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12</w:t>
      </w:r>
      <w:r w:rsidR="00012643">
        <w:rPr>
          <w:rFonts w:asciiTheme="majorHAnsi" w:hAnsiTheme="majorHAnsi"/>
          <w:sz w:val="36"/>
          <w:szCs w:val="36"/>
          <w:lang w:val="sk-SK"/>
        </w:rPr>
        <w:t>.</w:t>
      </w:r>
      <w:r>
        <w:rPr>
          <w:rFonts w:asciiTheme="majorHAnsi" w:hAnsiTheme="majorHAnsi"/>
          <w:sz w:val="36"/>
          <w:szCs w:val="36"/>
          <w:lang w:val="sk-SK"/>
        </w:rPr>
        <w:t>03</w:t>
      </w:r>
      <w:r w:rsidR="00012643">
        <w:rPr>
          <w:rFonts w:asciiTheme="majorHAnsi" w:hAnsiTheme="majorHAnsi"/>
          <w:sz w:val="36"/>
          <w:szCs w:val="36"/>
          <w:lang w:val="sk-SK"/>
        </w:rPr>
        <w:t>.2018</w:t>
      </w:r>
    </w:p>
    <w:p w14:paraId="159AB204" w14:textId="77777777" w:rsidR="00012643" w:rsidRPr="00AF7046" w:rsidRDefault="00012643" w:rsidP="00592B7A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14:paraId="6AAC01F1" w14:textId="77777777" w:rsidR="00012643" w:rsidRDefault="00D1079A" w:rsidP="00592B7A">
      <w:pPr>
        <w:tabs>
          <w:tab w:val="left" w:pos="1985"/>
        </w:tabs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Návrh</w:t>
      </w:r>
    </w:p>
    <w:p w14:paraId="63D3671F" w14:textId="77777777" w:rsidR="00D1079A" w:rsidRDefault="00D1079A" w:rsidP="00592B7A">
      <w:pPr>
        <w:tabs>
          <w:tab w:val="left" w:pos="1985"/>
        </w:tabs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Organizačného poriadku</w:t>
      </w:r>
    </w:p>
    <w:p w14:paraId="78BCE138" w14:textId="77777777" w:rsidR="00DE14A2" w:rsidRDefault="00012643" w:rsidP="00592B7A">
      <w:pPr>
        <w:tabs>
          <w:tab w:val="left" w:pos="1985"/>
        </w:tabs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 w:rsidRPr="00A47DB5">
        <w:rPr>
          <w:rFonts w:asciiTheme="majorHAnsi" w:hAnsiTheme="majorHAnsi"/>
          <w:b/>
          <w:sz w:val="36"/>
          <w:szCs w:val="36"/>
          <w:lang w:val="sk-SK"/>
        </w:rPr>
        <w:t>Po</w:t>
      </w:r>
      <w:r w:rsidR="00D1079A">
        <w:rPr>
          <w:rFonts w:asciiTheme="majorHAnsi" w:hAnsiTheme="majorHAnsi"/>
          <w:b/>
          <w:sz w:val="36"/>
          <w:szCs w:val="36"/>
          <w:lang w:val="sk-SK"/>
        </w:rPr>
        <w:t>radenského</w:t>
      </w:r>
      <w:r w:rsidRPr="00A47DB5">
        <w:rPr>
          <w:rFonts w:asciiTheme="majorHAnsi" w:hAnsiTheme="majorHAnsi"/>
          <w:b/>
          <w:sz w:val="36"/>
          <w:szCs w:val="36"/>
          <w:lang w:val="sk-SK"/>
        </w:rPr>
        <w:t xml:space="preserve"> centr</w:t>
      </w:r>
      <w:r w:rsidR="00D1079A">
        <w:rPr>
          <w:rFonts w:asciiTheme="majorHAnsi" w:hAnsiTheme="majorHAnsi"/>
          <w:b/>
          <w:sz w:val="36"/>
          <w:szCs w:val="36"/>
          <w:lang w:val="sk-SK"/>
        </w:rPr>
        <w:t>a</w:t>
      </w:r>
    </w:p>
    <w:p w14:paraId="4027F1AB" w14:textId="3466F4F2" w:rsidR="00012643" w:rsidRDefault="00012643" w:rsidP="00592B7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47DB5">
        <w:rPr>
          <w:rFonts w:asciiTheme="majorHAnsi" w:hAnsiTheme="majorHAnsi"/>
          <w:b/>
          <w:sz w:val="36"/>
          <w:szCs w:val="36"/>
          <w:lang w:val="sk-SK"/>
        </w:rPr>
        <w:t>S</w:t>
      </w:r>
      <w:r w:rsidR="00DE14A2">
        <w:rPr>
          <w:rFonts w:asciiTheme="majorHAnsi" w:hAnsiTheme="majorHAnsi"/>
          <w:b/>
          <w:sz w:val="36"/>
          <w:szCs w:val="36"/>
          <w:lang w:val="sk-SK"/>
        </w:rPr>
        <w:t>lovenskej technickej univerzity v Bratislave</w:t>
      </w:r>
    </w:p>
    <w:p w14:paraId="576F0C0E" w14:textId="77777777" w:rsidR="00012643" w:rsidRDefault="00012643" w:rsidP="00592B7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14:paraId="5A2E543E" w14:textId="77777777" w:rsidR="00012643" w:rsidRDefault="00012643" w:rsidP="00592B7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14:paraId="3E62C296" w14:textId="4F979E01" w:rsidR="00012643" w:rsidRPr="00AF7046" w:rsidRDefault="00012643" w:rsidP="00592B7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Predkladá:</w:t>
      </w:r>
      <w:r w:rsidRPr="00AF7046">
        <w:rPr>
          <w:rFonts w:asciiTheme="majorHAnsi" w:hAnsiTheme="majorHAnsi"/>
          <w:lang w:val="sk-SK"/>
        </w:rPr>
        <w:tab/>
      </w:r>
      <w:r w:rsidR="00DE14A2">
        <w:rPr>
          <w:rFonts w:asciiTheme="majorHAnsi" w:hAnsiTheme="majorHAnsi"/>
          <w:b/>
          <w:lang w:val="sk-SK"/>
        </w:rPr>
        <w:t>prof. I</w:t>
      </w:r>
      <w:r w:rsidRPr="0024509B">
        <w:rPr>
          <w:rFonts w:asciiTheme="majorHAnsi" w:hAnsiTheme="majorHAnsi"/>
          <w:b/>
          <w:lang w:val="sk-SK"/>
        </w:rPr>
        <w:t xml:space="preserve">ng. </w:t>
      </w:r>
      <w:r w:rsidR="00DE14A2">
        <w:rPr>
          <w:rFonts w:asciiTheme="majorHAnsi" w:hAnsiTheme="majorHAnsi"/>
          <w:b/>
          <w:lang w:val="sk-SK"/>
        </w:rPr>
        <w:t xml:space="preserve">Robert </w:t>
      </w:r>
      <w:proofErr w:type="spellStart"/>
      <w:r w:rsidR="00DE14A2">
        <w:rPr>
          <w:rFonts w:asciiTheme="majorHAnsi" w:hAnsiTheme="majorHAnsi"/>
          <w:b/>
          <w:lang w:val="sk-SK"/>
        </w:rPr>
        <w:t>Redhammer</w:t>
      </w:r>
      <w:proofErr w:type="spellEnd"/>
      <w:r w:rsidRPr="0024509B">
        <w:rPr>
          <w:rFonts w:asciiTheme="majorHAnsi" w:hAnsiTheme="majorHAnsi"/>
          <w:b/>
          <w:lang w:val="sk-SK"/>
        </w:rPr>
        <w:t>, PhD.</w:t>
      </w:r>
    </w:p>
    <w:p w14:paraId="6DCFDC31" w14:textId="694C01F2" w:rsidR="00012643" w:rsidRPr="00AF7046" w:rsidRDefault="00012643" w:rsidP="00592B7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ab/>
      </w:r>
      <w:r w:rsidR="00DE14A2">
        <w:rPr>
          <w:rFonts w:asciiTheme="majorHAnsi" w:hAnsiTheme="majorHAnsi"/>
          <w:lang w:val="sk-SK"/>
        </w:rPr>
        <w:t>rektor</w:t>
      </w:r>
    </w:p>
    <w:p w14:paraId="5A3F2CA0" w14:textId="77777777" w:rsidR="00012643" w:rsidRDefault="00012643" w:rsidP="00592B7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14:paraId="449FD476" w14:textId="77777777" w:rsidR="00D1079A" w:rsidRPr="00AF7046" w:rsidRDefault="00D1079A" w:rsidP="00592B7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14:paraId="42A680A5" w14:textId="77777777" w:rsidR="00D1079A" w:rsidRDefault="00012643" w:rsidP="00592B7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Vypracoval:</w:t>
      </w:r>
      <w:r w:rsidRPr="00AF7046">
        <w:rPr>
          <w:rFonts w:asciiTheme="majorHAnsi" w:hAnsiTheme="majorHAnsi"/>
          <w:lang w:val="sk-SK"/>
        </w:rPr>
        <w:tab/>
      </w:r>
      <w:r w:rsidR="00D1079A">
        <w:rPr>
          <w:rFonts w:asciiTheme="majorHAnsi" w:hAnsiTheme="majorHAnsi"/>
          <w:b/>
          <w:lang w:val="sk-SK"/>
        </w:rPr>
        <w:t>JUD</w:t>
      </w:r>
      <w:r w:rsidR="00D1079A" w:rsidRPr="00450F0C">
        <w:rPr>
          <w:rFonts w:asciiTheme="majorHAnsi" w:hAnsiTheme="majorHAnsi"/>
          <w:b/>
          <w:lang w:val="sk-SK"/>
        </w:rPr>
        <w:t>r. Marcel Michalička</w:t>
      </w:r>
    </w:p>
    <w:p w14:paraId="08A20240" w14:textId="77777777" w:rsidR="00D1079A" w:rsidRDefault="00D1079A" w:rsidP="00592B7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Právny a organizačný útvar</w:t>
      </w:r>
    </w:p>
    <w:p w14:paraId="4A3D0F97" w14:textId="77777777" w:rsidR="00D1079A" w:rsidRDefault="00D1079A" w:rsidP="00592B7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14:paraId="238BF27E" w14:textId="77777777" w:rsidR="00D1079A" w:rsidRDefault="00D1079A" w:rsidP="00592B7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z podkladov</w:t>
      </w:r>
    </w:p>
    <w:p w14:paraId="4AE28F0F" w14:textId="77777777" w:rsidR="00012643" w:rsidRDefault="00D1079A" w:rsidP="00592B7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</w:r>
      <w:r w:rsidR="00012643" w:rsidRPr="0024509B">
        <w:rPr>
          <w:rFonts w:asciiTheme="majorHAnsi" w:hAnsiTheme="majorHAnsi"/>
          <w:b/>
          <w:lang w:val="sk-SK"/>
        </w:rPr>
        <w:t>doc. Ing. arch. Zuzan</w:t>
      </w:r>
      <w:r>
        <w:rPr>
          <w:rFonts w:asciiTheme="majorHAnsi" w:hAnsiTheme="majorHAnsi"/>
          <w:b/>
          <w:lang w:val="sk-SK"/>
        </w:rPr>
        <w:t>y</w:t>
      </w:r>
      <w:r w:rsidR="00012643" w:rsidRPr="0024509B">
        <w:rPr>
          <w:rFonts w:asciiTheme="majorHAnsi" w:hAnsiTheme="majorHAnsi"/>
          <w:b/>
          <w:lang w:val="sk-SK"/>
        </w:rPr>
        <w:t xml:space="preserve"> Čerešňov</w:t>
      </w:r>
      <w:r>
        <w:rPr>
          <w:rFonts w:asciiTheme="majorHAnsi" w:hAnsiTheme="majorHAnsi"/>
          <w:b/>
          <w:lang w:val="sk-SK"/>
        </w:rPr>
        <w:t>ej</w:t>
      </w:r>
      <w:r w:rsidR="00012643" w:rsidRPr="0024509B">
        <w:rPr>
          <w:rFonts w:asciiTheme="majorHAnsi" w:hAnsiTheme="majorHAnsi"/>
          <w:b/>
          <w:lang w:val="sk-SK"/>
        </w:rPr>
        <w:t>, PhD.</w:t>
      </w:r>
    </w:p>
    <w:p w14:paraId="709710A2" w14:textId="77777777" w:rsidR="00D1079A" w:rsidRPr="00D1079A" w:rsidRDefault="00012643" w:rsidP="00592B7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Fakulta architektúry STU</w:t>
      </w:r>
    </w:p>
    <w:p w14:paraId="6E65FD0D" w14:textId="77777777" w:rsidR="00012643" w:rsidRPr="00AF7046" w:rsidRDefault="00012643" w:rsidP="00592B7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14:paraId="59A9D2A2" w14:textId="77777777" w:rsidR="00012643" w:rsidRPr="00AF7046" w:rsidRDefault="00012643" w:rsidP="00592B7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14:paraId="630274E1" w14:textId="6D3BC2A7" w:rsidR="00012643" w:rsidRDefault="00012643" w:rsidP="00592B7A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Zdôvodnenie:</w:t>
      </w:r>
      <w:r w:rsidRPr="00AF7046">
        <w:rPr>
          <w:rFonts w:asciiTheme="majorHAnsi" w:hAnsiTheme="majorHAnsi"/>
          <w:lang w:val="sk-SK"/>
        </w:rPr>
        <w:tab/>
      </w:r>
      <w:r w:rsidR="00592B7A">
        <w:rPr>
          <w:rFonts w:asciiTheme="majorHAnsi" w:hAnsiTheme="majorHAnsi"/>
          <w:lang w:val="sk-SK"/>
        </w:rPr>
        <w:t xml:space="preserve">Úprava </w:t>
      </w:r>
      <w:r w:rsidR="00592B7A" w:rsidRPr="00592B7A">
        <w:rPr>
          <w:rFonts w:asciiTheme="majorHAnsi" w:hAnsiTheme="majorHAnsi"/>
          <w:lang w:val="sk-SK"/>
        </w:rPr>
        <w:t>postaveni</w:t>
      </w:r>
      <w:r w:rsidR="00592B7A">
        <w:rPr>
          <w:rFonts w:asciiTheme="majorHAnsi" w:hAnsiTheme="majorHAnsi"/>
          <w:lang w:val="sk-SK"/>
        </w:rPr>
        <w:t>a</w:t>
      </w:r>
      <w:r w:rsidR="00592B7A" w:rsidRPr="00592B7A">
        <w:rPr>
          <w:rFonts w:asciiTheme="majorHAnsi" w:hAnsiTheme="majorHAnsi"/>
          <w:lang w:val="sk-SK"/>
        </w:rPr>
        <w:t>, pôsobnos</w:t>
      </w:r>
      <w:r w:rsidR="00592B7A">
        <w:rPr>
          <w:rFonts w:asciiTheme="majorHAnsi" w:hAnsiTheme="majorHAnsi"/>
          <w:lang w:val="sk-SK"/>
        </w:rPr>
        <w:t>ti</w:t>
      </w:r>
      <w:r w:rsidR="00592B7A" w:rsidRPr="00592B7A">
        <w:rPr>
          <w:rFonts w:asciiTheme="majorHAnsi" w:hAnsiTheme="majorHAnsi"/>
          <w:lang w:val="sk-SK"/>
        </w:rPr>
        <w:t>, organizačn</w:t>
      </w:r>
      <w:r w:rsidR="00592B7A">
        <w:rPr>
          <w:rFonts w:asciiTheme="majorHAnsi" w:hAnsiTheme="majorHAnsi"/>
          <w:lang w:val="sk-SK"/>
        </w:rPr>
        <w:t>ej</w:t>
      </w:r>
      <w:r w:rsidR="00592B7A" w:rsidRPr="00592B7A">
        <w:rPr>
          <w:rFonts w:asciiTheme="majorHAnsi" w:hAnsiTheme="majorHAnsi"/>
          <w:lang w:val="sk-SK"/>
        </w:rPr>
        <w:t xml:space="preserve"> štruktúr</w:t>
      </w:r>
      <w:r w:rsidR="00592B7A">
        <w:rPr>
          <w:rFonts w:asciiTheme="majorHAnsi" w:hAnsiTheme="majorHAnsi"/>
          <w:lang w:val="sk-SK"/>
        </w:rPr>
        <w:t>y a činností novozriadeného univerzitného pracoviska – Poradenské centrum STU</w:t>
      </w:r>
      <w:r w:rsidR="00DE14A2">
        <w:rPr>
          <w:rFonts w:asciiTheme="majorHAnsi" w:hAnsiTheme="majorHAnsi"/>
          <w:lang w:val="sk-SK"/>
        </w:rPr>
        <w:t>.</w:t>
      </w:r>
    </w:p>
    <w:p w14:paraId="704AC862" w14:textId="77777777" w:rsidR="00012643" w:rsidRDefault="00012643" w:rsidP="00592B7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14:paraId="7FF63FF9" w14:textId="77777777" w:rsidR="00592B7A" w:rsidRPr="00AF7046" w:rsidRDefault="00592B7A" w:rsidP="00592B7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14:paraId="1C4D12A2" w14:textId="42CF5810" w:rsidR="00012643" w:rsidRDefault="00012643" w:rsidP="00592B7A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Návrh uznesenia:</w:t>
      </w:r>
      <w:r w:rsidRPr="00AF7046">
        <w:rPr>
          <w:rFonts w:asciiTheme="majorHAnsi" w:hAnsiTheme="majorHAnsi"/>
          <w:lang w:val="sk-SK"/>
        </w:rPr>
        <w:tab/>
      </w:r>
      <w:r w:rsidR="00DE14A2">
        <w:rPr>
          <w:rFonts w:asciiTheme="majorHAnsi" w:hAnsiTheme="majorHAnsi"/>
          <w:lang w:val="sk-SK"/>
        </w:rPr>
        <w:t xml:space="preserve">Akademický senát </w:t>
      </w:r>
      <w:r w:rsidR="00DE14A2" w:rsidRPr="00DE14A2">
        <w:rPr>
          <w:rFonts w:asciiTheme="majorHAnsi" w:hAnsiTheme="majorHAnsi"/>
          <w:lang w:val="sk-SK"/>
        </w:rPr>
        <w:t>Slovenskej technickej univerzity v</w:t>
      </w:r>
      <w:r w:rsidR="00DE14A2">
        <w:rPr>
          <w:rFonts w:asciiTheme="majorHAnsi" w:hAnsiTheme="majorHAnsi"/>
          <w:lang w:val="sk-SK"/>
        </w:rPr>
        <w:t> </w:t>
      </w:r>
      <w:r w:rsidR="00DE14A2" w:rsidRPr="00DE14A2">
        <w:rPr>
          <w:rFonts w:asciiTheme="majorHAnsi" w:hAnsiTheme="majorHAnsi"/>
          <w:lang w:val="sk-SK"/>
        </w:rPr>
        <w:t>Bratislave</w:t>
      </w:r>
      <w:r>
        <w:rPr>
          <w:rFonts w:asciiTheme="majorHAnsi" w:hAnsiTheme="majorHAnsi"/>
          <w:lang w:val="sk-SK"/>
        </w:rPr>
        <w:t xml:space="preserve"> prerokoval </w:t>
      </w:r>
      <w:r w:rsidR="00592B7A" w:rsidRPr="00592B7A">
        <w:rPr>
          <w:rFonts w:asciiTheme="majorHAnsi" w:hAnsiTheme="majorHAnsi"/>
          <w:lang w:val="sk-SK"/>
        </w:rPr>
        <w:t>Návrh</w:t>
      </w:r>
      <w:r w:rsidR="00592B7A">
        <w:rPr>
          <w:rFonts w:asciiTheme="majorHAnsi" w:hAnsiTheme="majorHAnsi"/>
          <w:lang w:val="sk-SK"/>
        </w:rPr>
        <w:t xml:space="preserve"> </w:t>
      </w:r>
      <w:r w:rsidR="00592B7A" w:rsidRPr="00592B7A">
        <w:rPr>
          <w:rFonts w:asciiTheme="majorHAnsi" w:hAnsiTheme="majorHAnsi"/>
          <w:lang w:val="sk-SK"/>
        </w:rPr>
        <w:t>Organizačného poriadku</w:t>
      </w:r>
      <w:r w:rsidR="00592B7A">
        <w:rPr>
          <w:rFonts w:asciiTheme="majorHAnsi" w:hAnsiTheme="majorHAnsi"/>
          <w:lang w:val="sk-SK"/>
        </w:rPr>
        <w:t xml:space="preserve"> </w:t>
      </w:r>
      <w:r w:rsidR="00592B7A" w:rsidRPr="00592B7A">
        <w:rPr>
          <w:rFonts w:asciiTheme="majorHAnsi" w:hAnsiTheme="majorHAnsi"/>
          <w:lang w:val="sk-SK"/>
        </w:rPr>
        <w:t xml:space="preserve">Poradenského centra </w:t>
      </w:r>
      <w:r w:rsidR="00DE14A2" w:rsidRPr="00DE14A2">
        <w:rPr>
          <w:rFonts w:asciiTheme="majorHAnsi" w:hAnsiTheme="majorHAnsi"/>
          <w:lang w:val="sk-SK"/>
        </w:rPr>
        <w:t>Slovenskej technickej univerzity v Bratislave a odporúča rektorovi predm</w:t>
      </w:r>
      <w:r w:rsidR="00DE14A2">
        <w:rPr>
          <w:rFonts w:asciiTheme="majorHAnsi" w:hAnsiTheme="majorHAnsi"/>
          <w:lang w:val="sk-SK"/>
        </w:rPr>
        <w:t>etný organizačný poriadok vydať.</w:t>
      </w:r>
    </w:p>
    <w:p w14:paraId="53D0920A" w14:textId="77777777" w:rsidR="00012643" w:rsidRPr="00450F0C" w:rsidRDefault="00012643" w:rsidP="00012643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  <w:sectPr w:rsidR="00012643" w:rsidRPr="00450F0C" w:rsidSect="00070155">
          <w:headerReference w:type="default" r:id="rId8"/>
          <w:footerReference w:type="even" r:id="rId9"/>
          <w:footerReference w:type="default" r:id="rId10"/>
          <w:headerReference w:type="first" r:id="rId11"/>
          <w:pgSz w:w="11900" w:h="16840"/>
          <w:pgMar w:top="3969" w:right="1800" w:bottom="1440" w:left="1800" w:header="708" w:footer="708" w:gutter="0"/>
          <w:cols w:space="708"/>
          <w:titlePg/>
          <w:docGrid w:linePitch="360"/>
        </w:sectPr>
      </w:pPr>
      <w:r>
        <w:rPr>
          <w:rFonts w:asciiTheme="majorHAnsi" w:hAnsiTheme="majorHAnsi"/>
          <w:lang w:val="sk-SK"/>
        </w:rPr>
        <w:t xml:space="preserve"> </w:t>
      </w:r>
    </w:p>
    <w:p w14:paraId="037F6486" w14:textId="77777777" w:rsidR="00012643" w:rsidRPr="00592B7A" w:rsidRDefault="00012643" w:rsidP="00012643">
      <w:pPr>
        <w:jc w:val="both"/>
        <w:rPr>
          <w:rFonts w:asciiTheme="majorHAnsi" w:hAnsiTheme="majorHAnsi" w:cs="Arial"/>
          <w:b/>
          <w:color w:val="000000" w:themeColor="text1"/>
          <w:sz w:val="36"/>
          <w:szCs w:val="36"/>
          <w:lang w:val="sk-SK"/>
        </w:rPr>
      </w:pPr>
    </w:p>
    <w:p w14:paraId="494028D1" w14:textId="77777777" w:rsidR="00012643" w:rsidRPr="00592B7A" w:rsidRDefault="00012643" w:rsidP="00012643">
      <w:pPr>
        <w:jc w:val="both"/>
        <w:rPr>
          <w:rFonts w:asciiTheme="majorHAnsi" w:hAnsiTheme="majorHAnsi" w:cs="Arial"/>
          <w:b/>
          <w:color w:val="000000" w:themeColor="text1"/>
          <w:sz w:val="36"/>
          <w:szCs w:val="36"/>
          <w:lang w:val="sk-SK"/>
        </w:rPr>
      </w:pPr>
    </w:p>
    <w:p w14:paraId="3D6AC659" w14:textId="77777777" w:rsidR="00012643" w:rsidRPr="00592B7A" w:rsidRDefault="00012643" w:rsidP="00012643">
      <w:pPr>
        <w:jc w:val="both"/>
        <w:rPr>
          <w:rFonts w:asciiTheme="majorHAnsi" w:hAnsiTheme="majorHAnsi" w:cs="Arial"/>
          <w:b/>
          <w:color w:val="000000" w:themeColor="text1"/>
          <w:sz w:val="36"/>
          <w:szCs w:val="36"/>
          <w:lang w:val="sk-SK"/>
        </w:rPr>
      </w:pPr>
    </w:p>
    <w:p w14:paraId="444817CD" w14:textId="77777777" w:rsidR="00266B3B" w:rsidRPr="00592B7A" w:rsidRDefault="00266B3B" w:rsidP="000B4A97">
      <w:pPr>
        <w:jc w:val="both"/>
        <w:rPr>
          <w:rFonts w:asciiTheme="majorHAnsi" w:hAnsiTheme="majorHAnsi" w:cs="Arial"/>
          <w:b/>
          <w:color w:val="000000" w:themeColor="text1"/>
          <w:sz w:val="36"/>
          <w:szCs w:val="36"/>
          <w:lang w:val="sk-SK"/>
        </w:rPr>
      </w:pPr>
    </w:p>
    <w:p w14:paraId="1CC5FAA7" w14:textId="77777777" w:rsidR="00266B3B" w:rsidRPr="00592B7A" w:rsidRDefault="00266B3B" w:rsidP="000B4A97">
      <w:pPr>
        <w:jc w:val="both"/>
        <w:rPr>
          <w:rFonts w:asciiTheme="majorHAnsi" w:hAnsiTheme="majorHAnsi" w:cs="Arial"/>
          <w:b/>
          <w:color w:val="000000" w:themeColor="text1"/>
          <w:sz w:val="36"/>
          <w:szCs w:val="36"/>
          <w:lang w:val="sk-SK"/>
        </w:rPr>
      </w:pPr>
    </w:p>
    <w:p w14:paraId="722D90B6" w14:textId="77777777" w:rsidR="00266B3B" w:rsidRPr="00592B7A" w:rsidRDefault="00266B3B" w:rsidP="000B4A97">
      <w:pPr>
        <w:jc w:val="both"/>
        <w:rPr>
          <w:rFonts w:asciiTheme="majorHAnsi" w:hAnsiTheme="majorHAnsi" w:cs="Arial"/>
          <w:b/>
          <w:color w:val="000000" w:themeColor="text1"/>
          <w:sz w:val="36"/>
          <w:szCs w:val="36"/>
          <w:lang w:val="sk-SK"/>
        </w:rPr>
      </w:pPr>
      <w:r w:rsidRPr="00592B7A">
        <w:rPr>
          <w:rFonts w:asciiTheme="majorHAnsi" w:hAnsiTheme="majorHAnsi" w:cs="Arial"/>
          <w:b/>
          <w:color w:val="000000" w:themeColor="text1"/>
          <w:sz w:val="36"/>
          <w:szCs w:val="36"/>
          <w:lang w:val="sk-SK"/>
        </w:rPr>
        <w:t>Organizačný poriadok</w:t>
      </w:r>
    </w:p>
    <w:p w14:paraId="59159139" w14:textId="77777777" w:rsidR="00266B3B" w:rsidRPr="00592B7A" w:rsidRDefault="00012643" w:rsidP="000B4A97">
      <w:pPr>
        <w:jc w:val="both"/>
        <w:rPr>
          <w:rFonts w:asciiTheme="majorHAnsi" w:hAnsiTheme="majorHAnsi" w:cs="Arial"/>
          <w:b/>
          <w:color w:val="000000" w:themeColor="text1"/>
          <w:sz w:val="36"/>
          <w:szCs w:val="36"/>
          <w:lang w:val="sk-SK"/>
        </w:rPr>
      </w:pPr>
      <w:r w:rsidRPr="00592B7A">
        <w:rPr>
          <w:rFonts w:asciiTheme="majorHAnsi" w:hAnsiTheme="majorHAnsi" w:cs="Arial"/>
          <w:b/>
          <w:color w:val="000000" w:themeColor="text1"/>
          <w:sz w:val="36"/>
          <w:szCs w:val="36"/>
          <w:lang w:val="sk-SK"/>
        </w:rPr>
        <w:t>Poradenského centra</w:t>
      </w:r>
    </w:p>
    <w:p w14:paraId="2B712255" w14:textId="77777777" w:rsidR="00266B3B" w:rsidRPr="00592B7A" w:rsidRDefault="00266B3B" w:rsidP="000B4A97">
      <w:pPr>
        <w:jc w:val="both"/>
        <w:rPr>
          <w:rFonts w:asciiTheme="majorHAnsi" w:hAnsiTheme="majorHAnsi" w:cs="Arial"/>
          <w:b/>
          <w:color w:val="000000" w:themeColor="text1"/>
          <w:sz w:val="36"/>
          <w:szCs w:val="36"/>
          <w:lang w:val="sk-SK"/>
        </w:rPr>
      </w:pPr>
      <w:r w:rsidRPr="00592B7A">
        <w:rPr>
          <w:rFonts w:asciiTheme="majorHAnsi" w:hAnsiTheme="majorHAnsi" w:cs="Arial"/>
          <w:b/>
          <w:color w:val="000000" w:themeColor="text1"/>
          <w:sz w:val="36"/>
          <w:szCs w:val="36"/>
          <w:lang w:val="sk-SK"/>
        </w:rPr>
        <w:t>Slovenskej technickej univerzity v Bratislave</w:t>
      </w:r>
    </w:p>
    <w:p w14:paraId="2E3EDC90" w14:textId="77777777" w:rsidR="00266B3B" w:rsidRPr="00592B7A" w:rsidRDefault="00266B3B" w:rsidP="000B4A97">
      <w:pPr>
        <w:jc w:val="both"/>
        <w:rPr>
          <w:rFonts w:asciiTheme="majorHAnsi" w:hAnsiTheme="majorHAnsi" w:cs="Arial"/>
          <w:color w:val="000000" w:themeColor="text1"/>
          <w:sz w:val="36"/>
          <w:szCs w:val="36"/>
          <w:lang w:val="sk-SK"/>
        </w:rPr>
      </w:pPr>
    </w:p>
    <w:p w14:paraId="3CA0574E" w14:textId="77777777" w:rsidR="00266B3B" w:rsidRPr="00592B7A" w:rsidRDefault="00266B3B" w:rsidP="000B4A97">
      <w:pPr>
        <w:jc w:val="both"/>
        <w:rPr>
          <w:rFonts w:asciiTheme="majorHAnsi" w:hAnsiTheme="majorHAnsi" w:cs="Arial"/>
          <w:color w:val="000000" w:themeColor="text1"/>
          <w:sz w:val="36"/>
          <w:szCs w:val="36"/>
          <w:lang w:val="sk-SK"/>
        </w:rPr>
      </w:pPr>
    </w:p>
    <w:p w14:paraId="6E4220C0" w14:textId="77777777" w:rsidR="00266B3B" w:rsidRPr="00266B3B" w:rsidRDefault="00266B3B" w:rsidP="000B4A97">
      <w:pPr>
        <w:jc w:val="both"/>
        <w:rPr>
          <w:rFonts w:asciiTheme="majorHAnsi" w:hAnsiTheme="majorHAnsi" w:cs="Arial"/>
          <w:color w:val="000000" w:themeColor="text1"/>
          <w:sz w:val="32"/>
          <w:szCs w:val="32"/>
          <w:lang w:val="sk-SK"/>
        </w:rPr>
      </w:pPr>
      <w:r w:rsidRPr="00266B3B">
        <w:rPr>
          <w:rFonts w:asciiTheme="majorHAnsi" w:hAnsiTheme="majorHAnsi" w:cs="Arial"/>
          <w:color w:val="000000" w:themeColor="text1"/>
          <w:sz w:val="32"/>
          <w:szCs w:val="32"/>
          <w:lang w:val="sk-SK"/>
        </w:rPr>
        <w:t>Číslo:</w:t>
      </w:r>
      <w:r w:rsidR="001C32A6">
        <w:rPr>
          <w:rFonts w:asciiTheme="majorHAnsi" w:hAnsiTheme="majorHAnsi" w:cs="Arial"/>
          <w:color w:val="000000" w:themeColor="text1"/>
          <w:sz w:val="32"/>
          <w:szCs w:val="32"/>
          <w:lang w:val="sk-SK"/>
        </w:rPr>
        <w:t xml:space="preserve"> </w:t>
      </w:r>
      <w:r w:rsidR="001C32A6">
        <w:rPr>
          <w:rFonts w:asciiTheme="majorHAnsi" w:hAnsiTheme="majorHAnsi" w:cs="Arial"/>
          <w:color w:val="000000" w:themeColor="text1"/>
          <w:sz w:val="32"/>
          <w:szCs w:val="32"/>
          <w:lang w:val="sk-SK"/>
        </w:rPr>
        <w:tab/>
        <w:t>X/201</w:t>
      </w:r>
      <w:r w:rsidR="00012643">
        <w:rPr>
          <w:rFonts w:asciiTheme="majorHAnsi" w:hAnsiTheme="majorHAnsi" w:cs="Arial"/>
          <w:color w:val="000000" w:themeColor="text1"/>
          <w:sz w:val="32"/>
          <w:szCs w:val="32"/>
          <w:lang w:val="sk-SK"/>
        </w:rPr>
        <w:t>8</w:t>
      </w:r>
      <w:r w:rsidR="001C32A6">
        <w:rPr>
          <w:rFonts w:asciiTheme="majorHAnsi" w:hAnsiTheme="majorHAnsi" w:cs="Arial"/>
          <w:color w:val="000000" w:themeColor="text1"/>
          <w:sz w:val="32"/>
          <w:szCs w:val="32"/>
          <w:lang w:val="sk-SK"/>
        </w:rPr>
        <w:t>-OP</w:t>
      </w:r>
    </w:p>
    <w:p w14:paraId="79EF68A6" w14:textId="7C2125EA" w:rsidR="00266B3B" w:rsidRPr="00266B3B" w:rsidRDefault="00266B3B" w:rsidP="000B4A97">
      <w:pPr>
        <w:jc w:val="both"/>
        <w:rPr>
          <w:rFonts w:asciiTheme="majorHAnsi" w:hAnsiTheme="majorHAnsi" w:cs="Arial"/>
          <w:color w:val="000000" w:themeColor="text1"/>
          <w:sz w:val="32"/>
          <w:szCs w:val="32"/>
          <w:lang w:val="sk-SK"/>
        </w:rPr>
      </w:pPr>
      <w:r w:rsidRPr="00266B3B">
        <w:rPr>
          <w:rFonts w:asciiTheme="majorHAnsi" w:hAnsiTheme="majorHAnsi" w:cs="Arial"/>
          <w:color w:val="000000" w:themeColor="text1"/>
          <w:sz w:val="32"/>
          <w:szCs w:val="32"/>
          <w:lang w:val="sk-SK"/>
        </w:rPr>
        <w:t xml:space="preserve">Dátum: </w:t>
      </w:r>
      <w:r w:rsidR="00012643">
        <w:rPr>
          <w:rFonts w:asciiTheme="majorHAnsi" w:hAnsiTheme="majorHAnsi" w:cs="Arial"/>
          <w:color w:val="000000" w:themeColor="text1"/>
          <w:sz w:val="32"/>
          <w:szCs w:val="32"/>
          <w:lang w:val="sk-SK"/>
        </w:rPr>
        <w:tab/>
      </w:r>
      <w:r w:rsidR="00DE14A2">
        <w:rPr>
          <w:rFonts w:asciiTheme="majorHAnsi" w:hAnsiTheme="majorHAnsi" w:cs="Arial"/>
          <w:color w:val="000000" w:themeColor="text1"/>
          <w:sz w:val="32"/>
          <w:szCs w:val="32"/>
          <w:lang w:val="sk-SK"/>
        </w:rPr>
        <w:t>12</w:t>
      </w:r>
      <w:r w:rsidR="00012643">
        <w:rPr>
          <w:rFonts w:asciiTheme="majorHAnsi" w:hAnsiTheme="majorHAnsi" w:cs="Arial"/>
          <w:color w:val="000000" w:themeColor="text1"/>
          <w:sz w:val="32"/>
          <w:szCs w:val="32"/>
          <w:lang w:val="sk-SK"/>
        </w:rPr>
        <w:t>. 0</w:t>
      </w:r>
      <w:r w:rsidR="00DE14A2">
        <w:rPr>
          <w:rFonts w:asciiTheme="majorHAnsi" w:hAnsiTheme="majorHAnsi" w:cs="Arial"/>
          <w:color w:val="000000" w:themeColor="text1"/>
          <w:sz w:val="32"/>
          <w:szCs w:val="32"/>
          <w:lang w:val="sk-SK"/>
        </w:rPr>
        <w:t>3</w:t>
      </w:r>
      <w:r w:rsidR="00012643">
        <w:rPr>
          <w:rFonts w:asciiTheme="majorHAnsi" w:hAnsiTheme="majorHAnsi" w:cs="Arial"/>
          <w:color w:val="000000" w:themeColor="text1"/>
          <w:sz w:val="32"/>
          <w:szCs w:val="32"/>
          <w:lang w:val="sk-SK"/>
        </w:rPr>
        <w:t>. 2018</w:t>
      </w:r>
    </w:p>
    <w:p w14:paraId="708E8EBB" w14:textId="77777777" w:rsidR="00266B3B" w:rsidRDefault="00266B3B" w:rsidP="000B4A97">
      <w:pPr>
        <w:jc w:val="both"/>
        <w:rPr>
          <w:rFonts w:asciiTheme="majorHAnsi" w:hAnsiTheme="majorHAnsi" w:cs="Arial"/>
          <w:color w:val="000000" w:themeColor="text1"/>
          <w:sz w:val="32"/>
          <w:szCs w:val="32"/>
          <w:lang w:val="sk-SK"/>
        </w:rPr>
      </w:pPr>
    </w:p>
    <w:p w14:paraId="28068177" w14:textId="77777777" w:rsidR="00266B3B" w:rsidRDefault="00266B3B" w:rsidP="000B4A97">
      <w:pPr>
        <w:jc w:val="both"/>
        <w:rPr>
          <w:rFonts w:asciiTheme="majorHAnsi" w:hAnsiTheme="majorHAnsi" w:cs="Arial"/>
          <w:color w:val="000000" w:themeColor="text1"/>
          <w:sz w:val="32"/>
          <w:szCs w:val="32"/>
          <w:lang w:val="sk-SK"/>
        </w:rPr>
      </w:pPr>
    </w:p>
    <w:p w14:paraId="1CA16A81" w14:textId="77777777" w:rsidR="00266B3B" w:rsidRDefault="00266B3B" w:rsidP="000B4A97">
      <w:pPr>
        <w:jc w:val="both"/>
        <w:rPr>
          <w:rFonts w:asciiTheme="majorHAnsi" w:hAnsiTheme="majorHAnsi" w:cs="Arial"/>
          <w:color w:val="000000" w:themeColor="text1"/>
          <w:sz w:val="32"/>
          <w:szCs w:val="32"/>
          <w:lang w:val="sk-SK"/>
        </w:rPr>
      </w:pPr>
    </w:p>
    <w:p w14:paraId="777F9A25" w14:textId="77777777" w:rsidR="00266B3B" w:rsidRDefault="00266B3B" w:rsidP="000B4A97">
      <w:pPr>
        <w:jc w:val="both"/>
        <w:rPr>
          <w:rFonts w:asciiTheme="majorHAnsi" w:hAnsiTheme="majorHAnsi" w:cs="Arial"/>
          <w:color w:val="000000" w:themeColor="text1"/>
          <w:sz w:val="32"/>
          <w:szCs w:val="32"/>
          <w:lang w:val="sk-SK"/>
        </w:rPr>
      </w:pPr>
    </w:p>
    <w:p w14:paraId="754981FD" w14:textId="77777777" w:rsidR="00266B3B" w:rsidRDefault="00266B3B" w:rsidP="000B4A97">
      <w:pPr>
        <w:jc w:val="both"/>
        <w:rPr>
          <w:rFonts w:asciiTheme="majorHAnsi" w:hAnsiTheme="majorHAnsi" w:cs="Arial"/>
          <w:color w:val="000000" w:themeColor="text1"/>
          <w:sz w:val="32"/>
          <w:szCs w:val="32"/>
          <w:lang w:val="sk-SK"/>
        </w:rPr>
      </w:pPr>
    </w:p>
    <w:p w14:paraId="200CAD31" w14:textId="77777777" w:rsidR="00266B3B" w:rsidRDefault="00266B3B" w:rsidP="000B4A97">
      <w:pPr>
        <w:jc w:val="both"/>
        <w:rPr>
          <w:rFonts w:asciiTheme="majorHAnsi" w:hAnsiTheme="majorHAnsi" w:cs="Arial"/>
          <w:color w:val="000000" w:themeColor="text1"/>
          <w:sz w:val="32"/>
          <w:szCs w:val="32"/>
          <w:lang w:val="sk-SK"/>
        </w:rPr>
      </w:pPr>
    </w:p>
    <w:p w14:paraId="215CE208" w14:textId="77777777" w:rsidR="00266B3B" w:rsidRDefault="00266B3B" w:rsidP="000B4A97">
      <w:pPr>
        <w:jc w:val="both"/>
        <w:rPr>
          <w:rFonts w:asciiTheme="majorHAnsi" w:hAnsiTheme="majorHAnsi" w:cs="Arial"/>
          <w:color w:val="000000" w:themeColor="text1"/>
          <w:sz w:val="32"/>
          <w:szCs w:val="32"/>
          <w:lang w:val="sk-SK"/>
        </w:rPr>
      </w:pPr>
    </w:p>
    <w:p w14:paraId="03580D59" w14:textId="77777777" w:rsidR="00266B3B" w:rsidRDefault="00266B3B" w:rsidP="000B4A97">
      <w:pPr>
        <w:jc w:val="both"/>
        <w:rPr>
          <w:rFonts w:asciiTheme="majorHAnsi" w:hAnsiTheme="majorHAnsi" w:cs="Arial"/>
          <w:color w:val="000000" w:themeColor="text1"/>
          <w:sz w:val="32"/>
          <w:szCs w:val="32"/>
          <w:lang w:val="sk-SK"/>
        </w:rPr>
      </w:pPr>
    </w:p>
    <w:p w14:paraId="6404CAE6" w14:textId="77777777" w:rsidR="00266B3B" w:rsidRDefault="00266B3B" w:rsidP="000B4A97">
      <w:pPr>
        <w:jc w:val="both"/>
        <w:rPr>
          <w:rFonts w:asciiTheme="majorHAnsi" w:hAnsiTheme="majorHAnsi" w:cs="Arial"/>
          <w:color w:val="000000" w:themeColor="text1"/>
          <w:sz w:val="32"/>
          <w:szCs w:val="32"/>
          <w:lang w:val="sk-SK"/>
        </w:rPr>
      </w:pPr>
    </w:p>
    <w:p w14:paraId="26E8C2E8" w14:textId="77777777" w:rsidR="00266B3B" w:rsidRDefault="00266B3B" w:rsidP="000B4A97">
      <w:pPr>
        <w:jc w:val="both"/>
        <w:rPr>
          <w:rFonts w:asciiTheme="majorHAnsi" w:hAnsiTheme="majorHAnsi" w:cs="Arial"/>
          <w:color w:val="000000" w:themeColor="text1"/>
          <w:sz w:val="32"/>
          <w:szCs w:val="32"/>
          <w:lang w:val="sk-SK"/>
        </w:rPr>
      </w:pPr>
    </w:p>
    <w:p w14:paraId="4A8A0098" w14:textId="77777777" w:rsidR="00266B3B" w:rsidRDefault="00266B3B" w:rsidP="000B4A97">
      <w:pPr>
        <w:jc w:val="both"/>
        <w:rPr>
          <w:rFonts w:asciiTheme="majorHAnsi" w:hAnsiTheme="majorHAnsi" w:cs="Arial"/>
          <w:color w:val="000000" w:themeColor="text1"/>
          <w:sz w:val="32"/>
          <w:szCs w:val="32"/>
          <w:lang w:val="sk-SK"/>
        </w:rPr>
      </w:pPr>
    </w:p>
    <w:p w14:paraId="2B45978B" w14:textId="77777777" w:rsidR="00266B3B" w:rsidRDefault="00266B3B" w:rsidP="000B4A97">
      <w:pPr>
        <w:jc w:val="both"/>
        <w:rPr>
          <w:rFonts w:asciiTheme="majorHAnsi" w:hAnsiTheme="majorHAnsi" w:cs="Arial"/>
          <w:color w:val="000000" w:themeColor="text1"/>
          <w:sz w:val="32"/>
          <w:szCs w:val="32"/>
          <w:lang w:val="sk-SK"/>
        </w:rPr>
      </w:pPr>
    </w:p>
    <w:p w14:paraId="27D37E8C" w14:textId="77777777" w:rsidR="00266B3B" w:rsidRDefault="00266B3B" w:rsidP="000B4A97">
      <w:pPr>
        <w:jc w:val="both"/>
        <w:rPr>
          <w:rFonts w:asciiTheme="majorHAnsi" w:hAnsiTheme="majorHAnsi" w:cs="Arial"/>
          <w:color w:val="000000" w:themeColor="text1"/>
          <w:sz w:val="32"/>
          <w:szCs w:val="32"/>
          <w:lang w:val="sk-SK"/>
        </w:rPr>
      </w:pPr>
    </w:p>
    <w:p w14:paraId="77AA8C89" w14:textId="77777777" w:rsidR="00266B3B" w:rsidRDefault="00266B3B" w:rsidP="000B4A97">
      <w:pPr>
        <w:jc w:val="both"/>
        <w:rPr>
          <w:rFonts w:asciiTheme="majorHAnsi" w:hAnsiTheme="majorHAnsi" w:cs="Arial"/>
          <w:color w:val="000000" w:themeColor="text1"/>
          <w:sz w:val="32"/>
          <w:szCs w:val="32"/>
          <w:lang w:val="sk-SK"/>
        </w:rPr>
      </w:pPr>
    </w:p>
    <w:p w14:paraId="64DE4F24" w14:textId="77777777" w:rsidR="00266B3B" w:rsidRDefault="00266B3B" w:rsidP="000B4A97">
      <w:pPr>
        <w:jc w:val="both"/>
        <w:rPr>
          <w:rFonts w:asciiTheme="majorHAnsi" w:hAnsiTheme="majorHAnsi" w:cs="Arial"/>
          <w:color w:val="000000" w:themeColor="text1"/>
          <w:sz w:val="32"/>
          <w:szCs w:val="32"/>
          <w:lang w:val="sk-SK"/>
        </w:rPr>
      </w:pPr>
    </w:p>
    <w:p w14:paraId="3F8EFD28" w14:textId="77777777" w:rsidR="00266B3B" w:rsidRDefault="00266B3B" w:rsidP="000B4A97">
      <w:pPr>
        <w:jc w:val="both"/>
        <w:rPr>
          <w:rFonts w:asciiTheme="majorHAnsi" w:hAnsiTheme="majorHAnsi" w:cs="Arial"/>
          <w:color w:val="000000" w:themeColor="text1"/>
          <w:sz w:val="32"/>
          <w:szCs w:val="32"/>
          <w:lang w:val="sk-SK"/>
        </w:rPr>
      </w:pPr>
    </w:p>
    <w:p w14:paraId="6B92C2A4" w14:textId="77777777" w:rsidR="00266B3B" w:rsidRDefault="00266B3B" w:rsidP="000B4A97">
      <w:pPr>
        <w:jc w:val="both"/>
        <w:rPr>
          <w:rFonts w:asciiTheme="majorHAnsi" w:hAnsiTheme="majorHAnsi" w:cs="Arial"/>
          <w:color w:val="000000" w:themeColor="text1"/>
          <w:sz w:val="32"/>
          <w:szCs w:val="32"/>
          <w:lang w:val="sk-SK"/>
        </w:rPr>
      </w:pPr>
    </w:p>
    <w:p w14:paraId="784208FB" w14:textId="77777777" w:rsidR="00266B3B" w:rsidRDefault="00266B3B" w:rsidP="000B4A97">
      <w:pPr>
        <w:jc w:val="both"/>
        <w:rPr>
          <w:rFonts w:asciiTheme="majorHAnsi" w:hAnsiTheme="majorHAnsi" w:cs="Arial"/>
          <w:color w:val="000000" w:themeColor="text1"/>
          <w:sz w:val="32"/>
          <w:szCs w:val="32"/>
          <w:lang w:val="sk-SK"/>
        </w:rPr>
      </w:pPr>
    </w:p>
    <w:p w14:paraId="185F8BAF" w14:textId="77777777" w:rsidR="00266B3B" w:rsidRDefault="00266B3B" w:rsidP="000B4A97">
      <w:pPr>
        <w:jc w:val="both"/>
        <w:rPr>
          <w:rFonts w:asciiTheme="majorHAnsi" w:hAnsiTheme="majorHAnsi" w:cs="Arial"/>
          <w:color w:val="000000" w:themeColor="text1"/>
          <w:sz w:val="32"/>
          <w:szCs w:val="32"/>
          <w:lang w:val="sk-SK"/>
        </w:rPr>
      </w:pPr>
    </w:p>
    <w:p w14:paraId="247E6DDA" w14:textId="77777777" w:rsidR="00266B3B" w:rsidRDefault="00266B3B" w:rsidP="000B4A97">
      <w:pPr>
        <w:jc w:val="both"/>
        <w:rPr>
          <w:rFonts w:asciiTheme="majorHAnsi" w:hAnsiTheme="majorHAnsi" w:cs="Arial"/>
          <w:color w:val="000000" w:themeColor="text1"/>
          <w:sz w:val="32"/>
          <w:szCs w:val="32"/>
          <w:lang w:val="sk-SK"/>
        </w:rPr>
      </w:pPr>
    </w:p>
    <w:p w14:paraId="2148FD4B" w14:textId="77777777" w:rsidR="00266B3B" w:rsidRPr="00622F79" w:rsidRDefault="00266B3B" w:rsidP="00FF22AA">
      <w:pPr>
        <w:spacing w:line="276" w:lineRule="auto"/>
        <w:jc w:val="center"/>
        <w:rPr>
          <w:rFonts w:ascii="Calibri" w:hAnsi="Calibri" w:cs="Arial"/>
          <w:b/>
          <w:color w:val="000000" w:themeColor="text1"/>
          <w:u w:val="single"/>
          <w:lang w:val="sk-SK"/>
        </w:rPr>
      </w:pPr>
      <w:r w:rsidRPr="00622F79">
        <w:rPr>
          <w:rFonts w:ascii="Calibri" w:hAnsi="Calibri" w:cs="Arial"/>
          <w:b/>
          <w:color w:val="000000" w:themeColor="text1"/>
          <w:u w:val="single"/>
          <w:lang w:val="sk-SK"/>
        </w:rPr>
        <w:lastRenderedPageBreak/>
        <w:t xml:space="preserve">Slovenská technická univerzita v Bratislave, </w:t>
      </w:r>
      <w:proofErr w:type="spellStart"/>
      <w:r w:rsidRPr="00622F79">
        <w:rPr>
          <w:rFonts w:ascii="Calibri" w:hAnsi="Calibri" w:cs="Arial"/>
          <w:b/>
          <w:color w:val="000000" w:themeColor="text1"/>
          <w:u w:val="single"/>
          <w:lang w:val="sk-SK"/>
        </w:rPr>
        <w:t>Vazovova</w:t>
      </w:r>
      <w:proofErr w:type="spellEnd"/>
      <w:r w:rsidRPr="00622F79">
        <w:rPr>
          <w:rFonts w:ascii="Calibri" w:hAnsi="Calibri" w:cs="Arial"/>
          <w:b/>
          <w:color w:val="000000" w:themeColor="text1"/>
          <w:u w:val="single"/>
          <w:lang w:val="sk-SK"/>
        </w:rPr>
        <w:t xml:space="preserve"> 5, 812 43 Bratislava</w:t>
      </w:r>
    </w:p>
    <w:p w14:paraId="0829E976" w14:textId="77777777" w:rsidR="00266B3B" w:rsidRPr="00622F79" w:rsidRDefault="00266B3B" w:rsidP="00FF22AA">
      <w:pPr>
        <w:spacing w:line="276" w:lineRule="auto"/>
        <w:jc w:val="both"/>
        <w:rPr>
          <w:rFonts w:ascii="Calibri" w:hAnsi="Calibri" w:cs="Arial"/>
          <w:color w:val="000000" w:themeColor="text1"/>
          <w:lang w:val="sk-SK"/>
        </w:rPr>
      </w:pPr>
    </w:p>
    <w:p w14:paraId="4AEE04B8" w14:textId="531CB6E3" w:rsidR="00DB21D4" w:rsidRPr="00622F79" w:rsidRDefault="00DB21D4" w:rsidP="00FF22AA">
      <w:pPr>
        <w:spacing w:line="276" w:lineRule="auto"/>
        <w:jc w:val="right"/>
        <w:rPr>
          <w:rFonts w:ascii="Calibri" w:hAnsi="Calibri" w:cs="Arial"/>
          <w:color w:val="000000" w:themeColor="text1"/>
          <w:lang w:val="sk-SK"/>
        </w:rPr>
      </w:pPr>
      <w:r w:rsidRPr="00622F79">
        <w:rPr>
          <w:rFonts w:ascii="Calibri" w:hAnsi="Calibri" w:cs="Arial"/>
          <w:color w:val="000000" w:themeColor="text1"/>
          <w:lang w:val="sk-SK"/>
        </w:rPr>
        <w:t xml:space="preserve">V Bratislave, dňa </w:t>
      </w:r>
      <w:r w:rsidR="00DE14A2">
        <w:rPr>
          <w:rFonts w:ascii="Calibri" w:hAnsi="Calibri" w:cs="Arial"/>
          <w:color w:val="000000" w:themeColor="text1"/>
          <w:lang w:val="sk-SK"/>
        </w:rPr>
        <w:t>12</w:t>
      </w:r>
      <w:r w:rsidRPr="00622F79">
        <w:rPr>
          <w:rFonts w:ascii="Calibri" w:hAnsi="Calibri" w:cs="Arial"/>
          <w:color w:val="000000" w:themeColor="text1"/>
          <w:lang w:val="sk-SK"/>
        </w:rPr>
        <w:t>.0</w:t>
      </w:r>
      <w:r w:rsidR="00DE14A2">
        <w:rPr>
          <w:rFonts w:ascii="Calibri" w:hAnsi="Calibri" w:cs="Arial"/>
          <w:color w:val="000000" w:themeColor="text1"/>
          <w:lang w:val="sk-SK"/>
        </w:rPr>
        <w:t>3</w:t>
      </w:r>
      <w:r w:rsidRPr="00622F79">
        <w:rPr>
          <w:rFonts w:ascii="Calibri" w:hAnsi="Calibri" w:cs="Arial"/>
          <w:color w:val="000000" w:themeColor="text1"/>
          <w:lang w:val="sk-SK"/>
        </w:rPr>
        <w:t>.2018</w:t>
      </w:r>
    </w:p>
    <w:p w14:paraId="2837F12B" w14:textId="77777777" w:rsidR="00DB21D4" w:rsidRPr="00622F79" w:rsidRDefault="00DB21D4" w:rsidP="00FF22AA">
      <w:pPr>
        <w:spacing w:line="276" w:lineRule="auto"/>
        <w:jc w:val="right"/>
        <w:rPr>
          <w:rFonts w:ascii="Calibri" w:hAnsi="Calibri" w:cs="Arial"/>
          <w:color w:val="000000" w:themeColor="text1"/>
          <w:lang w:val="sk-SK"/>
        </w:rPr>
      </w:pPr>
      <w:r w:rsidRPr="00622F79">
        <w:rPr>
          <w:rFonts w:ascii="Calibri" w:hAnsi="Calibri" w:cs="Arial"/>
          <w:color w:val="000000" w:themeColor="text1"/>
          <w:lang w:val="sk-SK"/>
        </w:rPr>
        <w:t>Číslo: X/2018-OP</w:t>
      </w:r>
    </w:p>
    <w:p w14:paraId="052BCECC" w14:textId="77777777" w:rsidR="00DB21D4" w:rsidRPr="00622F79" w:rsidRDefault="00DB21D4" w:rsidP="00FF22AA">
      <w:pPr>
        <w:spacing w:line="276" w:lineRule="auto"/>
        <w:jc w:val="both"/>
        <w:rPr>
          <w:rFonts w:ascii="Calibri" w:hAnsi="Calibri" w:cs="Arial"/>
          <w:color w:val="000000" w:themeColor="text1"/>
          <w:lang w:val="sk-SK"/>
        </w:rPr>
      </w:pPr>
    </w:p>
    <w:p w14:paraId="7CA92938" w14:textId="77777777" w:rsidR="00266B3B" w:rsidRPr="00622F79" w:rsidRDefault="00266B3B" w:rsidP="00FF22AA">
      <w:pPr>
        <w:spacing w:line="276" w:lineRule="auto"/>
        <w:jc w:val="both"/>
        <w:rPr>
          <w:rFonts w:ascii="Calibri" w:hAnsi="Calibri" w:cs="Arial"/>
          <w:color w:val="000000" w:themeColor="text1"/>
          <w:lang w:val="sk-SK"/>
        </w:rPr>
      </w:pPr>
      <w:r w:rsidRPr="00622F79">
        <w:rPr>
          <w:rFonts w:ascii="Calibri" w:hAnsi="Calibri" w:cs="Arial"/>
          <w:color w:val="000000" w:themeColor="text1"/>
          <w:lang w:val="sk-SK"/>
        </w:rPr>
        <w:t xml:space="preserve">Rektor Slovenskej technickej univerzity </w:t>
      </w:r>
      <w:r w:rsidR="00762D69" w:rsidRPr="00622F79">
        <w:rPr>
          <w:rFonts w:ascii="Calibri" w:hAnsi="Calibri" w:cs="Arial"/>
          <w:color w:val="000000" w:themeColor="text1"/>
          <w:lang w:val="sk-SK"/>
        </w:rPr>
        <w:t xml:space="preserve">v Bratislave (ďalej </w:t>
      </w:r>
      <w:r w:rsidR="003506F9" w:rsidRPr="00622F79">
        <w:rPr>
          <w:rFonts w:ascii="Calibri" w:hAnsi="Calibri" w:cs="Arial"/>
          <w:color w:val="000000" w:themeColor="text1"/>
          <w:lang w:val="sk-SK"/>
        </w:rPr>
        <w:t xml:space="preserve">tiež </w:t>
      </w:r>
      <w:r w:rsidR="00762D69" w:rsidRPr="00622F79">
        <w:rPr>
          <w:rFonts w:ascii="Calibri" w:hAnsi="Calibri" w:cs="Arial"/>
          <w:color w:val="000000" w:themeColor="text1"/>
          <w:lang w:val="sk-SK"/>
        </w:rPr>
        <w:t xml:space="preserve">„STU“) v súlade s článkom 10 bod 4 platného </w:t>
      </w:r>
      <w:r w:rsidR="00622F79" w:rsidRPr="00622F79">
        <w:rPr>
          <w:rFonts w:ascii="Calibri" w:hAnsi="Calibri" w:cs="Arial"/>
          <w:color w:val="000000" w:themeColor="text1"/>
          <w:lang w:val="sk-SK"/>
        </w:rPr>
        <w:t>organizačného</w:t>
      </w:r>
      <w:r w:rsidR="00762D69" w:rsidRPr="00622F79">
        <w:rPr>
          <w:rFonts w:ascii="Calibri" w:hAnsi="Calibri" w:cs="Arial"/>
          <w:color w:val="000000" w:themeColor="text1"/>
          <w:lang w:val="sk-SK"/>
        </w:rPr>
        <w:t xml:space="preserve"> poriadku STU po</w:t>
      </w:r>
      <w:r w:rsidR="00DB21D4" w:rsidRPr="00622F79">
        <w:rPr>
          <w:rFonts w:ascii="Calibri" w:hAnsi="Calibri" w:cs="Arial"/>
          <w:color w:val="000000" w:themeColor="text1"/>
          <w:lang w:val="sk-SK"/>
        </w:rPr>
        <w:t> </w:t>
      </w:r>
      <w:r w:rsidR="00762D69" w:rsidRPr="00622F79">
        <w:rPr>
          <w:rFonts w:ascii="Calibri" w:hAnsi="Calibri" w:cs="Arial"/>
          <w:color w:val="000000" w:themeColor="text1"/>
          <w:lang w:val="sk-SK"/>
        </w:rPr>
        <w:t>prerokovaní v Akademickom senáte STU</w:t>
      </w:r>
    </w:p>
    <w:p w14:paraId="009F43A2" w14:textId="77777777" w:rsidR="00762D69" w:rsidRPr="00622F79" w:rsidRDefault="00762D69" w:rsidP="00FF22AA">
      <w:pPr>
        <w:spacing w:line="276" w:lineRule="auto"/>
        <w:jc w:val="both"/>
        <w:rPr>
          <w:rFonts w:ascii="Calibri" w:hAnsi="Calibri" w:cs="Arial"/>
          <w:color w:val="000000" w:themeColor="text1"/>
          <w:lang w:val="sk-SK"/>
        </w:rPr>
      </w:pPr>
    </w:p>
    <w:p w14:paraId="78F23BBF" w14:textId="77777777" w:rsidR="00762D69" w:rsidRPr="00622F79" w:rsidRDefault="00762D69" w:rsidP="00FF22AA">
      <w:pPr>
        <w:spacing w:line="276" w:lineRule="auto"/>
        <w:jc w:val="center"/>
        <w:rPr>
          <w:rFonts w:ascii="Calibri" w:hAnsi="Calibri" w:cs="Arial"/>
          <w:b/>
          <w:color w:val="000000" w:themeColor="text1"/>
          <w:lang w:val="sk-SK"/>
        </w:rPr>
      </w:pPr>
      <w:r w:rsidRPr="00622F79">
        <w:rPr>
          <w:rFonts w:ascii="Calibri" w:hAnsi="Calibri" w:cs="Arial"/>
          <w:b/>
          <w:color w:val="000000" w:themeColor="text1"/>
          <w:lang w:val="sk-SK"/>
        </w:rPr>
        <w:t>vydáva</w:t>
      </w:r>
    </w:p>
    <w:p w14:paraId="7FEAFA6E" w14:textId="77777777" w:rsidR="00762D69" w:rsidRPr="00622F79" w:rsidRDefault="00762D69" w:rsidP="00FF22AA">
      <w:pPr>
        <w:spacing w:line="276" w:lineRule="auto"/>
        <w:rPr>
          <w:rFonts w:ascii="Calibri" w:hAnsi="Calibri" w:cs="Arial"/>
          <w:color w:val="000000" w:themeColor="text1"/>
          <w:lang w:val="sk-SK"/>
        </w:rPr>
      </w:pPr>
      <w:r w:rsidRPr="00622F79">
        <w:rPr>
          <w:rFonts w:ascii="Calibri" w:hAnsi="Calibri" w:cs="Arial"/>
          <w:color w:val="000000" w:themeColor="text1"/>
          <w:lang w:val="sk-SK"/>
        </w:rPr>
        <w:t>nasledovn</w:t>
      </w:r>
      <w:r w:rsidR="003506F9" w:rsidRPr="00622F79">
        <w:rPr>
          <w:rFonts w:ascii="Calibri" w:hAnsi="Calibri" w:cs="Arial"/>
          <w:color w:val="000000" w:themeColor="text1"/>
          <w:lang w:val="sk-SK"/>
        </w:rPr>
        <w:t>ý</w:t>
      </w:r>
    </w:p>
    <w:p w14:paraId="749656DA" w14:textId="77777777" w:rsidR="000D0F31" w:rsidRPr="00622F79" w:rsidRDefault="000D0F31" w:rsidP="00FF22AA">
      <w:pPr>
        <w:spacing w:line="276" w:lineRule="auto"/>
        <w:rPr>
          <w:rFonts w:ascii="Calibri" w:hAnsi="Calibri" w:cs="Arial"/>
          <w:color w:val="000000" w:themeColor="text1"/>
          <w:lang w:val="sk-SK"/>
        </w:rPr>
      </w:pPr>
    </w:p>
    <w:p w14:paraId="468EE401" w14:textId="77777777" w:rsidR="00762D69" w:rsidRPr="00622F79" w:rsidRDefault="00762D69" w:rsidP="00FF22AA">
      <w:pPr>
        <w:spacing w:line="276" w:lineRule="auto"/>
        <w:jc w:val="center"/>
        <w:rPr>
          <w:rFonts w:ascii="Calibri" w:hAnsi="Calibri" w:cs="Arial"/>
          <w:b/>
          <w:color w:val="000000" w:themeColor="text1"/>
          <w:lang w:val="sk-SK"/>
        </w:rPr>
      </w:pPr>
      <w:r w:rsidRPr="00622F79">
        <w:rPr>
          <w:rFonts w:ascii="Calibri" w:hAnsi="Calibri" w:cs="Arial"/>
          <w:b/>
          <w:color w:val="000000" w:themeColor="text1"/>
          <w:lang w:val="sk-SK"/>
        </w:rPr>
        <w:t>Organizačn</w:t>
      </w:r>
      <w:r w:rsidR="003506F9" w:rsidRPr="00622F79">
        <w:rPr>
          <w:rFonts w:ascii="Calibri" w:hAnsi="Calibri" w:cs="Arial"/>
          <w:b/>
          <w:color w:val="000000" w:themeColor="text1"/>
          <w:lang w:val="sk-SK"/>
        </w:rPr>
        <w:t>ý</w:t>
      </w:r>
      <w:r w:rsidRPr="00622F79">
        <w:rPr>
          <w:rFonts w:ascii="Calibri" w:hAnsi="Calibri" w:cs="Arial"/>
          <w:b/>
          <w:color w:val="000000" w:themeColor="text1"/>
          <w:lang w:val="sk-SK"/>
        </w:rPr>
        <w:t xml:space="preserve"> poriad</w:t>
      </w:r>
      <w:r w:rsidR="003506F9" w:rsidRPr="00622F79">
        <w:rPr>
          <w:rFonts w:ascii="Calibri" w:hAnsi="Calibri" w:cs="Arial"/>
          <w:b/>
          <w:color w:val="000000" w:themeColor="text1"/>
          <w:lang w:val="sk-SK"/>
        </w:rPr>
        <w:t>o</w:t>
      </w:r>
      <w:r w:rsidRPr="00622F79">
        <w:rPr>
          <w:rFonts w:ascii="Calibri" w:hAnsi="Calibri" w:cs="Arial"/>
          <w:b/>
          <w:color w:val="000000" w:themeColor="text1"/>
          <w:lang w:val="sk-SK"/>
        </w:rPr>
        <w:t xml:space="preserve">k </w:t>
      </w:r>
    </w:p>
    <w:p w14:paraId="72CDC91C" w14:textId="77777777" w:rsidR="00762D69" w:rsidRPr="00622F79" w:rsidRDefault="00DB21D4" w:rsidP="00FF22AA">
      <w:pPr>
        <w:spacing w:line="276" w:lineRule="auto"/>
        <w:jc w:val="center"/>
        <w:rPr>
          <w:rFonts w:ascii="Calibri" w:hAnsi="Calibri" w:cs="Arial"/>
          <w:b/>
          <w:color w:val="000000" w:themeColor="text1"/>
          <w:lang w:val="sk-SK"/>
        </w:rPr>
      </w:pPr>
      <w:r w:rsidRPr="00622F79">
        <w:rPr>
          <w:rFonts w:ascii="Calibri" w:hAnsi="Calibri" w:cs="Arial"/>
          <w:b/>
          <w:color w:val="000000" w:themeColor="text1"/>
          <w:lang w:val="sk-SK"/>
        </w:rPr>
        <w:t>Poradenského centra</w:t>
      </w:r>
      <w:r w:rsidR="00762D69" w:rsidRPr="00622F79">
        <w:rPr>
          <w:rFonts w:ascii="Calibri" w:hAnsi="Calibri" w:cs="Arial"/>
          <w:b/>
          <w:color w:val="000000" w:themeColor="text1"/>
          <w:lang w:val="sk-SK"/>
        </w:rPr>
        <w:t xml:space="preserve"> S</w:t>
      </w:r>
      <w:r w:rsidR="003506F9" w:rsidRPr="00622F79">
        <w:rPr>
          <w:rFonts w:ascii="Calibri" w:hAnsi="Calibri" w:cs="Arial"/>
          <w:b/>
          <w:color w:val="000000" w:themeColor="text1"/>
          <w:lang w:val="sk-SK"/>
        </w:rPr>
        <w:t>lovenskej technickej univerzity v Bratislave</w:t>
      </w:r>
      <w:r w:rsidR="00762D69" w:rsidRPr="00622F79">
        <w:rPr>
          <w:rFonts w:ascii="Calibri" w:hAnsi="Calibri" w:cs="Arial"/>
          <w:b/>
          <w:color w:val="000000" w:themeColor="text1"/>
          <w:lang w:val="sk-SK"/>
        </w:rPr>
        <w:t>:</w:t>
      </w:r>
    </w:p>
    <w:p w14:paraId="5BA933B4" w14:textId="77777777" w:rsidR="00762D69" w:rsidRPr="00622F79" w:rsidRDefault="00762D69" w:rsidP="00FF22AA">
      <w:pPr>
        <w:spacing w:line="276" w:lineRule="auto"/>
        <w:jc w:val="center"/>
        <w:rPr>
          <w:rFonts w:ascii="Calibri" w:hAnsi="Calibri" w:cs="Arial"/>
          <w:color w:val="000000" w:themeColor="text1"/>
          <w:lang w:val="sk-SK"/>
        </w:rPr>
      </w:pPr>
    </w:p>
    <w:p w14:paraId="0531560A" w14:textId="77777777" w:rsidR="00A04A7B" w:rsidRPr="00622F79" w:rsidRDefault="00A04A7B" w:rsidP="00FF22AA">
      <w:pPr>
        <w:spacing w:line="276" w:lineRule="auto"/>
        <w:jc w:val="center"/>
        <w:rPr>
          <w:rFonts w:ascii="Calibri" w:hAnsi="Calibri" w:cs="Arial"/>
          <w:color w:val="000000" w:themeColor="text1"/>
          <w:lang w:val="sk-SK"/>
        </w:rPr>
      </w:pPr>
    </w:p>
    <w:p w14:paraId="50BE6259" w14:textId="77777777" w:rsidR="00762D69" w:rsidRPr="00622F79" w:rsidRDefault="00762D69" w:rsidP="00FF22AA">
      <w:pPr>
        <w:spacing w:line="276" w:lineRule="auto"/>
        <w:jc w:val="center"/>
        <w:rPr>
          <w:rFonts w:ascii="Calibri" w:hAnsi="Calibri" w:cs="Arial"/>
          <w:b/>
          <w:color w:val="000000" w:themeColor="text1"/>
          <w:lang w:val="sk-SK"/>
        </w:rPr>
      </w:pPr>
      <w:r w:rsidRPr="00622F79">
        <w:rPr>
          <w:rFonts w:ascii="Calibri" w:hAnsi="Calibri" w:cs="Arial"/>
          <w:b/>
          <w:color w:val="000000" w:themeColor="text1"/>
          <w:lang w:val="sk-SK"/>
        </w:rPr>
        <w:t>Článok 1</w:t>
      </w:r>
    </w:p>
    <w:p w14:paraId="32CFCA52" w14:textId="77777777" w:rsidR="00762D69" w:rsidRPr="00622F79" w:rsidRDefault="00762D69" w:rsidP="00FF22AA">
      <w:pPr>
        <w:spacing w:line="276" w:lineRule="auto"/>
        <w:jc w:val="center"/>
        <w:rPr>
          <w:rFonts w:ascii="Calibri" w:hAnsi="Calibri" w:cs="Arial"/>
          <w:b/>
          <w:color w:val="000000" w:themeColor="text1"/>
          <w:lang w:val="sk-SK"/>
        </w:rPr>
      </w:pPr>
      <w:r w:rsidRPr="00622F79">
        <w:rPr>
          <w:rFonts w:ascii="Calibri" w:hAnsi="Calibri" w:cs="Arial"/>
          <w:b/>
          <w:color w:val="000000" w:themeColor="text1"/>
          <w:lang w:val="sk-SK"/>
        </w:rPr>
        <w:t>Úvodné ustanovenia</w:t>
      </w:r>
    </w:p>
    <w:p w14:paraId="68918B65" w14:textId="77777777" w:rsidR="00762D69" w:rsidRPr="00622F79" w:rsidRDefault="00762D69" w:rsidP="00FF22AA">
      <w:pPr>
        <w:spacing w:line="276" w:lineRule="auto"/>
        <w:jc w:val="center"/>
        <w:rPr>
          <w:rFonts w:ascii="Calibri" w:hAnsi="Calibri" w:cs="Arial"/>
          <w:color w:val="000000" w:themeColor="text1"/>
          <w:lang w:val="sk-SK"/>
        </w:rPr>
      </w:pPr>
    </w:p>
    <w:p w14:paraId="329D9934" w14:textId="116E7A20" w:rsidR="007429B9" w:rsidRPr="00622F79" w:rsidRDefault="007429B9" w:rsidP="00FF22AA">
      <w:pPr>
        <w:pStyle w:val="Odsekzoznamu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 w:cs="Arial"/>
          <w:color w:val="000000" w:themeColor="text1"/>
          <w:lang w:val="sk-SK"/>
        </w:rPr>
      </w:pPr>
      <w:r w:rsidRPr="00622F79">
        <w:rPr>
          <w:rFonts w:ascii="Calibri" w:hAnsi="Calibri" w:cs="Arial"/>
          <w:color w:val="000000" w:themeColor="text1"/>
          <w:lang w:val="sk-SK"/>
        </w:rPr>
        <w:t xml:space="preserve">Organizačný poriadok </w:t>
      </w:r>
      <w:r w:rsidR="00DB21D4" w:rsidRPr="00622F79">
        <w:rPr>
          <w:rFonts w:ascii="Calibri" w:hAnsi="Calibri" w:cs="Arial"/>
          <w:color w:val="000000" w:themeColor="text1"/>
          <w:lang w:val="sk-SK"/>
        </w:rPr>
        <w:t>Poradenského centra</w:t>
      </w:r>
      <w:r w:rsidRPr="00622F79">
        <w:rPr>
          <w:rFonts w:ascii="Calibri" w:hAnsi="Calibri" w:cs="Arial"/>
          <w:color w:val="000000" w:themeColor="text1"/>
          <w:lang w:val="sk-SK"/>
        </w:rPr>
        <w:t xml:space="preserve"> STU je vnútorná organizačná a riadiaca norma vydaná rektorom, ktorá v súlade s Organizačným poriadkom STU upravuje postavenie, organizačnú štruktúru, pôsobnosť, podrobnosti o organizácií, riadení a činnosti </w:t>
      </w:r>
      <w:r w:rsidR="00DB21D4" w:rsidRPr="00622F79">
        <w:rPr>
          <w:rFonts w:ascii="Calibri" w:hAnsi="Calibri" w:cs="Arial"/>
          <w:color w:val="000000" w:themeColor="text1"/>
          <w:lang w:val="sk-SK"/>
        </w:rPr>
        <w:t>Poradenského centra</w:t>
      </w:r>
      <w:r w:rsidRPr="00622F79">
        <w:rPr>
          <w:rFonts w:ascii="Calibri" w:hAnsi="Calibri" w:cs="Arial"/>
          <w:color w:val="000000" w:themeColor="text1"/>
          <w:lang w:val="sk-SK"/>
        </w:rPr>
        <w:t xml:space="preserve"> STU (ďalej tiež „</w:t>
      </w:r>
      <w:r w:rsidR="00DB21D4" w:rsidRPr="00622F79">
        <w:rPr>
          <w:rFonts w:ascii="Calibri" w:hAnsi="Calibri" w:cs="Arial"/>
          <w:color w:val="000000" w:themeColor="text1"/>
          <w:lang w:val="sk-SK"/>
        </w:rPr>
        <w:t>PC</w:t>
      </w:r>
      <w:r w:rsidRPr="00622F79">
        <w:rPr>
          <w:rFonts w:ascii="Calibri" w:hAnsi="Calibri" w:cs="Arial"/>
          <w:color w:val="000000" w:themeColor="text1"/>
          <w:lang w:val="sk-SK"/>
        </w:rPr>
        <w:t xml:space="preserve"> STU“) ako univerzitného pracoviska STU.</w:t>
      </w:r>
    </w:p>
    <w:p w14:paraId="630B2EDD" w14:textId="327D7C9D" w:rsidR="00613B52" w:rsidRPr="00622F79" w:rsidRDefault="006A1572" w:rsidP="00FF22AA">
      <w:pPr>
        <w:pStyle w:val="Odsekzoznamu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 w:cs="Arial"/>
          <w:color w:val="000000" w:themeColor="text1"/>
          <w:lang w:val="sk-SK"/>
        </w:rPr>
      </w:pPr>
      <w:r w:rsidRPr="00622F79">
        <w:rPr>
          <w:rFonts w:ascii="Calibri" w:hAnsi="Calibri" w:cs="Arial"/>
          <w:color w:val="000000" w:themeColor="text1"/>
          <w:lang w:val="sk-SK"/>
        </w:rPr>
        <w:t>Úplný názov PC</w:t>
      </w:r>
      <w:r w:rsidR="007E1739" w:rsidRPr="00622F79">
        <w:rPr>
          <w:rFonts w:ascii="Calibri" w:hAnsi="Calibri" w:cs="Arial"/>
          <w:color w:val="000000" w:themeColor="text1"/>
          <w:lang w:val="sk-SK"/>
        </w:rPr>
        <w:t xml:space="preserve"> STU je </w:t>
      </w:r>
      <w:r w:rsidRPr="00622F79">
        <w:rPr>
          <w:rFonts w:ascii="Calibri" w:hAnsi="Calibri" w:cs="Arial"/>
          <w:color w:val="000000" w:themeColor="text1"/>
          <w:lang w:val="sk-SK"/>
        </w:rPr>
        <w:t>Poradenské centrum</w:t>
      </w:r>
      <w:r w:rsidR="007E1739" w:rsidRPr="00622F79">
        <w:rPr>
          <w:rFonts w:ascii="Calibri" w:hAnsi="Calibri" w:cs="Arial"/>
          <w:color w:val="000000" w:themeColor="text1"/>
          <w:lang w:val="sk-SK"/>
        </w:rPr>
        <w:t xml:space="preserve"> Slovenskej technickej univerzity, v </w:t>
      </w:r>
      <w:r w:rsidR="00622F79" w:rsidRPr="00622F79">
        <w:rPr>
          <w:rFonts w:ascii="Calibri" w:hAnsi="Calibri" w:cs="Arial"/>
          <w:color w:val="000000" w:themeColor="text1"/>
          <w:lang w:val="sk-SK"/>
        </w:rPr>
        <w:t>anglickom</w:t>
      </w:r>
      <w:r w:rsidR="007E1739" w:rsidRPr="00622F79">
        <w:rPr>
          <w:rFonts w:ascii="Calibri" w:hAnsi="Calibri" w:cs="Arial"/>
          <w:color w:val="000000" w:themeColor="text1"/>
          <w:lang w:val="sk-SK"/>
        </w:rPr>
        <w:t xml:space="preserve"> jazyku </w:t>
      </w:r>
      <w:proofErr w:type="spellStart"/>
      <w:r w:rsidRPr="00622F79">
        <w:rPr>
          <w:rFonts w:ascii="Calibri" w:hAnsi="Calibri" w:cs="Arial"/>
          <w:color w:val="000000" w:themeColor="text1"/>
          <w:lang w:val="sk-SK"/>
        </w:rPr>
        <w:t>Consulting</w:t>
      </w:r>
      <w:proofErr w:type="spellEnd"/>
      <w:r w:rsidRPr="00622F79">
        <w:rPr>
          <w:rFonts w:ascii="Calibri" w:hAnsi="Calibri" w:cs="Arial"/>
          <w:color w:val="000000" w:themeColor="text1"/>
          <w:lang w:val="sk-SK"/>
        </w:rPr>
        <w:t xml:space="preserve"> Centre</w:t>
      </w:r>
      <w:r w:rsidR="007E1739" w:rsidRPr="00622F79">
        <w:rPr>
          <w:rFonts w:ascii="Calibri" w:hAnsi="Calibri" w:cs="Arial"/>
          <w:color w:val="000000" w:themeColor="text1"/>
          <w:lang w:val="sk-SK"/>
        </w:rPr>
        <w:t xml:space="preserve"> of </w:t>
      </w:r>
      <w:proofErr w:type="spellStart"/>
      <w:r w:rsidR="007E1739" w:rsidRPr="00622F79">
        <w:rPr>
          <w:rFonts w:ascii="Calibri" w:hAnsi="Calibri" w:cs="Arial"/>
          <w:color w:val="000000" w:themeColor="text1"/>
          <w:lang w:val="sk-SK"/>
        </w:rPr>
        <w:t>the</w:t>
      </w:r>
      <w:proofErr w:type="spellEnd"/>
      <w:r w:rsidR="007E1739" w:rsidRPr="00622F79">
        <w:rPr>
          <w:rFonts w:ascii="Calibri" w:hAnsi="Calibri" w:cs="Arial"/>
          <w:color w:val="000000" w:themeColor="text1"/>
          <w:lang w:val="sk-SK"/>
        </w:rPr>
        <w:t xml:space="preserve"> Slovak </w:t>
      </w:r>
      <w:proofErr w:type="spellStart"/>
      <w:r w:rsidR="007E1739" w:rsidRPr="00622F79">
        <w:rPr>
          <w:rFonts w:ascii="Calibri" w:hAnsi="Calibri" w:cs="Arial"/>
          <w:color w:val="000000" w:themeColor="text1"/>
          <w:lang w:val="sk-SK"/>
        </w:rPr>
        <w:t>University</w:t>
      </w:r>
      <w:proofErr w:type="spellEnd"/>
      <w:r w:rsidR="007E1739" w:rsidRPr="00622F79">
        <w:rPr>
          <w:rFonts w:ascii="Calibri" w:hAnsi="Calibri" w:cs="Arial"/>
          <w:color w:val="000000" w:themeColor="text1"/>
          <w:lang w:val="sk-SK"/>
        </w:rPr>
        <w:t xml:space="preserve"> of </w:t>
      </w:r>
      <w:proofErr w:type="spellStart"/>
      <w:r w:rsidR="007E1739" w:rsidRPr="00622F79">
        <w:rPr>
          <w:rFonts w:ascii="Calibri" w:hAnsi="Calibri" w:cs="Arial"/>
          <w:color w:val="000000" w:themeColor="text1"/>
          <w:lang w:val="sk-SK"/>
        </w:rPr>
        <w:t>Technology</w:t>
      </w:r>
      <w:proofErr w:type="spellEnd"/>
      <w:r w:rsidR="007E1739" w:rsidRPr="00622F79">
        <w:rPr>
          <w:rFonts w:ascii="Calibri" w:hAnsi="Calibri" w:cs="Arial"/>
          <w:color w:val="000000" w:themeColor="text1"/>
          <w:lang w:val="sk-SK"/>
        </w:rPr>
        <w:t xml:space="preserve"> in</w:t>
      </w:r>
      <w:r w:rsidRPr="00622F79">
        <w:rPr>
          <w:rFonts w:ascii="Calibri" w:hAnsi="Calibri" w:cs="Arial"/>
          <w:color w:val="000000" w:themeColor="text1"/>
          <w:lang w:val="sk-SK"/>
        </w:rPr>
        <w:t> </w:t>
      </w:r>
      <w:r w:rsidR="006434EF">
        <w:rPr>
          <w:rFonts w:ascii="Calibri" w:hAnsi="Calibri" w:cs="Arial"/>
          <w:color w:val="000000" w:themeColor="text1"/>
          <w:lang w:val="sk-SK"/>
        </w:rPr>
        <w:t>Bratislava.</w:t>
      </w:r>
    </w:p>
    <w:p w14:paraId="3F11BF5C" w14:textId="77777777" w:rsidR="00170FD7" w:rsidRPr="00622F79" w:rsidRDefault="00613B52" w:rsidP="00FF22AA">
      <w:pPr>
        <w:pStyle w:val="Odsekzoznamu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 w:cs="Arial"/>
          <w:color w:val="000000" w:themeColor="text1"/>
          <w:lang w:val="sk-SK"/>
        </w:rPr>
      </w:pPr>
      <w:r w:rsidRPr="00622F79">
        <w:rPr>
          <w:rFonts w:ascii="Calibri" w:hAnsi="Calibri" w:cs="Arial"/>
          <w:color w:val="000000" w:themeColor="text1"/>
          <w:lang w:val="sk-SK"/>
        </w:rPr>
        <w:t>PC STU je špeciálnym pedagogickým pracoviskom na podporu štúdia študentov STU so špecifickými potrebami</w:t>
      </w:r>
      <w:r w:rsidR="007429B9" w:rsidRPr="00622F79">
        <w:rPr>
          <w:rFonts w:ascii="Calibri" w:hAnsi="Calibri" w:cs="Arial"/>
          <w:color w:val="000000" w:themeColor="text1"/>
          <w:lang w:val="sk-SK"/>
        </w:rPr>
        <w:t xml:space="preserve"> </w:t>
      </w:r>
      <w:r w:rsidRPr="00622F79">
        <w:rPr>
          <w:rFonts w:ascii="Calibri" w:hAnsi="Calibri" w:cs="Arial"/>
          <w:color w:val="000000" w:themeColor="text1"/>
          <w:lang w:val="sk-SK"/>
        </w:rPr>
        <w:t>zriadeným v súlade s § 100 ods. 7 písm. a)</w:t>
      </w:r>
      <w:r w:rsidR="007429B9" w:rsidRPr="00622F79">
        <w:rPr>
          <w:rFonts w:ascii="Calibri" w:hAnsi="Calibri" w:cs="Arial"/>
          <w:color w:val="000000" w:themeColor="text1"/>
          <w:lang w:val="sk-SK"/>
        </w:rPr>
        <w:t xml:space="preserve"> zákona č. 131/2002 Z.</w:t>
      </w:r>
      <w:r w:rsidR="00622F79" w:rsidRPr="00622F79">
        <w:rPr>
          <w:rFonts w:ascii="Calibri" w:hAnsi="Calibri" w:cs="Arial"/>
          <w:color w:val="000000" w:themeColor="text1"/>
          <w:lang w:val="sk-SK"/>
        </w:rPr>
        <w:t xml:space="preserve"> </w:t>
      </w:r>
      <w:r w:rsidR="007429B9" w:rsidRPr="00622F79">
        <w:rPr>
          <w:rFonts w:ascii="Calibri" w:hAnsi="Calibri" w:cs="Arial"/>
          <w:color w:val="000000" w:themeColor="text1"/>
          <w:lang w:val="sk-SK"/>
        </w:rPr>
        <w:t xml:space="preserve">z. o vysokých školách a o zmene a doplnení niektorých zákonov v znení </w:t>
      </w:r>
      <w:r w:rsidR="00A23B73" w:rsidRPr="00622F79">
        <w:rPr>
          <w:rFonts w:ascii="Calibri" w:hAnsi="Calibri" w:cs="Arial"/>
          <w:color w:val="000000" w:themeColor="text1"/>
          <w:lang w:val="sk-SK"/>
        </w:rPr>
        <w:t>neskorších pre</w:t>
      </w:r>
      <w:r w:rsidR="007429B9" w:rsidRPr="00622F79">
        <w:rPr>
          <w:rFonts w:ascii="Calibri" w:hAnsi="Calibri" w:cs="Arial"/>
          <w:color w:val="000000" w:themeColor="text1"/>
          <w:lang w:val="sk-SK"/>
        </w:rPr>
        <w:t>d</w:t>
      </w:r>
      <w:r w:rsidR="00A23B73" w:rsidRPr="00622F79">
        <w:rPr>
          <w:rFonts w:ascii="Calibri" w:hAnsi="Calibri" w:cs="Arial"/>
          <w:color w:val="000000" w:themeColor="text1"/>
          <w:lang w:val="sk-SK"/>
        </w:rPr>
        <w:t>p</w:t>
      </w:r>
      <w:r w:rsidR="00622F79" w:rsidRPr="00622F79">
        <w:rPr>
          <w:rFonts w:ascii="Calibri" w:hAnsi="Calibri" w:cs="Arial"/>
          <w:color w:val="000000" w:themeColor="text1"/>
          <w:lang w:val="sk-SK"/>
        </w:rPr>
        <w:t>isov</w:t>
      </w:r>
      <w:r w:rsidR="007429B9" w:rsidRPr="00622F79">
        <w:rPr>
          <w:rFonts w:ascii="Calibri" w:hAnsi="Calibri" w:cs="Arial"/>
          <w:color w:val="000000" w:themeColor="text1"/>
          <w:lang w:val="sk-SK"/>
        </w:rPr>
        <w:t>.</w:t>
      </w:r>
    </w:p>
    <w:p w14:paraId="26E6F58E" w14:textId="77777777" w:rsidR="000D0F31" w:rsidRPr="00622F79" w:rsidRDefault="000D0F31" w:rsidP="00FF22AA">
      <w:pPr>
        <w:pStyle w:val="Odsekzoznamu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 w:cs="Arial"/>
          <w:color w:val="000000" w:themeColor="text1"/>
          <w:lang w:val="sk-SK"/>
        </w:rPr>
      </w:pPr>
      <w:r w:rsidRPr="00622F79">
        <w:rPr>
          <w:rFonts w:ascii="Calibri" w:hAnsi="Calibri" w:cs="Arial"/>
          <w:color w:val="000000" w:themeColor="text1"/>
          <w:lang w:val="sk-SK"/>
        </w:rPr>
        <w:t>PC STU vykonáva svoju činnosť s pôsobnosťou v rámci celej STU.</w:t>
      </w:r>
    </w:p>
    <w:p w14:paraId="3FD8A425" w14:textId="77777777" w:rsidR="00B57CC3" w:rsidRDefault="00170FD7" w:rsidP="00FF22AA">
      <w:pPr>
        <w:pStyle w:val="Odsekzoznamu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 w:cs="Arial"/>
          <w:color w:val="000000" w:themeColor="text1"/>
          <w:lang w:val="sk-SK"/>
        </w:rPr>
      </w:pPr>
      <w:r w:rsidRPr="00622F79">
        <w:rPr>
          <w:rFonts w:ascii="Calibri" w:hAnsi="Calibri" w:cs="Arial"/>
          <w:color w:val="000000" w:themeColor="text1"/>
          <w:lang w:val="sk-SK"/>
        </w:rPr>
        <w:t xml:space="preserve">Organizačný poriadok </w:t>
      </w:r>
      <w:r w:rsidR="00613B52" w:rsidRPr="00622F79">
        <w:rPr>
          <w:rFonts w:ascii="Calibri" w:hAnsi="Calibri" w:cs="Arial"/>
          <w:color w:val="000000" w:themeColor="text1"/>
          <w:lang w:val="sk-SK"/>
        </w:rPr>
        <w:t>PC STU</w:t>
      </w:r>
      <w:r w:rsidR="00614EED" w:rsidRPr="00622F79">
        <w:rPr>
          <w:rFonts w:ascii="Calibri" w:hAnsi="Calibri" w:cs="Arial"/>
          <w:color w:val="000000" w:themeColor="text1"/>
          <w:lang w:val="sk-SK"/>
        </w:rPr>
        <w:t xml:space="preserve"> </w:t>
      </w:r>
      <w:r w:rsidRPr="00622F79">
        <w:rPr>
          <w:rFonts w:ascii="Calibri" w:hAnsi="Calibri" w:cs="Arial"/>
          <w:color w:val="000000" w:themeColor="text1"/>
          <w:lang w:val="sk-SK"/>
        </w:rPr>
        <w:t>je záväzný:</w:t>
      </w:r>
    </w:p>
    <w:p w14:paraId="5B4E25B5" w14:textId="77777777" w:rsidR="00B57CC3" w:rsidRDefault="00613B52" w:rsidP="00FF22AA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Calibri" w:hAnsi="Calibri" w:cs="Arial"/>
          <w:color w:val="000000" w:themeColor="text1"/>
          <w:lang w:val="sk-SK"/>
        </w:rPr>
      </w:pPr>
      <w:r w:rsidRPr="00B57CC3">
        <w:rPr>
          <w:rFonts w:ascii="Calibri" w:hAnsi="Calibri" w:cs="Arial"/>
          <w:color w:val="000000" w:themeColor="text1"/>
          <w:lang w:val="sk-SK"/>
        </w:rPr>
        <w:t>pre všetkých zamestnancov PC</w:t>
      </w:r>
      <w:r w:rsidR="00614EED" w:rsidRPr="00B57CC3">
        <w:rPr>
          <w:rFonts w:ascii="Calibri" w:hAnsi="Calibri" w:cs="Arial"/>
          <w:color w:val="000000" w:themeColor="text1"/>
          <w:lang w:val="sk-SK"/>
        </w:rPr>
        <w:t xml:space="preserve"> STU</w:t>
      </w:r>
      <w:r w:rsidR="001E4AF7" w:rsidRPr="00B57CC3">
        <w:rPr>
          <w:rFonts w:ascii="Calibri" w:hAnsi="Calibri" w:cs="Arial"/>
          <w:color w:val="000000" w:themeColor="text1"/>
          <w:lang w:val="sk-SK"/>
        </w:rPr>
        <w:t>,</w:t>
      </w:r>
    </w:p>
    <w:p w14:paraId="0353D5B2" w14:textId="472E6E66" w:rsidR="00614EED" w:rsidRPr="00B57CC3" w:rsidRDefault="00FE1F87" w:rsidP="00FF22AA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Calibri" w:hAnsi="Calibri" w:cs="Arial"/>
          <w:color w:val="000000" w:themeColor="text1"/>
          <w:lang w:val="sk-SK"/>
        </w:rPr>
      </w:pPr>
      <w:r w:rsidRPr="00B57CC3">
        <w:rPr>
          <w:rFonts w:ascii="Calibri" w:hAnsi="Calibri" w:cs="Arial"/>
          <w:color w:val="000000" w:themeColor="text1"/>
          <w:lang w:val="sk-SK"/>
        </w:rPr>
        <w:t xml:space="preserve">pre tých zamestnancov STU, ktorí sa podieľajú na činnostiach a aktivitách </w:t>
      </w:r>
      <w:r w:rsidR="00613B52" w:rsidRPr="00B57CC3">
        <w:rPr>
          <w:rFonts w:ascii="Calibri" w:hAnsi="Calibri" w:cs="Arial"/>
          <w:color w:val="000000" w:themeColor="text1"/>
          <w:lang w:val="sk-SK"/>
        </w:rPr>
        <w:t>PC</w:t>
      </w:r>
      <w:r w:rsidRPr="00B57CC3">
        <w:rPr>
          <w:rFonts w:ascii="Calibri" w:hAnsi="Calibri" w:cs="Arial"/>
          <w:color w:val="000000" w:themeColor="text1"/>
          <w:lang w:val="sk-SK"/>
        </w:rPr>
        <w:t xml:space="preserve"> STU, a to či už priamo alebo v súvislosti s plnením úloh </w:t>
      </w:r>
      <w:r w:rsidR="00613B52" w:rsidRPr="00B57CC3">
        <w:rPr>
          <w:rFonts w:ascii="Calibri" w:hAnsi="Calibri" w:cs="Arial"/>
          <w:color w:val="000000" w:themeColor="text1"/>
          <w:lang w:val="sk-SK"/>
        </w:rPr>
        <w:t>PC S</w:t>
      </w:r>
      <w:r w:rsidRPr="00B57CC3">
        <w:rPr>
          <w:rFonts w:ascii="Calibri" w:hAnsi="Calibri" w:cs="Arial"/>
          <w:color w:val="000000" w:themeColor="text1"/>
          <w:lang w:val="sk-SK"/>
        </w:rPr>
        <w:t>TU, a to bez</w:t>
      </w:r>
      <w:r w:rsidR="00613B52" w:rsidRPr="00B57CC3">
        <w:rPr>
          <w:rFonts w:ascii="Calibri" w:hAnsi="Calibri" w:cs="Arial"/>
          <w:color w:val="000000" w:themeColor="text1"/>
          <w:lang w:val="sk-SK"/>
        </w:rPr>
        <w:t> </w:t>
      </w:r>
      <w:r w:rsidRPr="00B57CC3">
        <w:rPr>
          <w:rFonts w:ascii="Calibri" w:hAnsi="Calibri" w:cs="Arial"/>
          <w:color w:val="000000" w:themeColor="text1"/>
          <w:lang w:val="sk-SK"/>
        </w:rPr>
        <w:t>ohľadu na ich organizačné začlenenie v rámci súčastí STU.</w:t>
      </w:r>
    </w:p>
    <w:p w14:paraId="4239C51C" w14:textId="77777777" w:rsidR="00A23B73" w:rsidRPr="00622F79" w:rsidRDefault="00613B52" w:rsidP="00FF22AA">
      <w:pPr>
        <w:pStyle w:val="Odsekzoznamu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hAnsi="Calibri" w:cs="Arial"/>
          <w:color w:val="000000" w:themeColor="text1"/>
          <w:lang w:val="sk-SK"/>
        </w:rPr>
      </w:pPr>
      <w:r w:rsidRPr="00622F79">
        <w:rPr>
          <w:rFonts w:ascii="Calibri" w:hAnsi="Calibri" w:cs="Arial"/>
          <w:color w:val="000000" w:themeColor="text1"/>
          <w:lang w:val="sk-SK"/>
        </w:rPr>
        <w:t>Zamestnanci PC</w:t>
      </w:r>
      <w:r w:rsidR="00614EED" w:rsidRPr="00622F79">
        <w:rPr>
          <w:rFonts w:ascii="Calibri" w:hAnsi="Calibri" w:cs="Arial"/>
          <w:color w:val="000000" w:themeColor="text1"/>
          <w:lang w:val="sk-SK"/>
        </w:rPr>
        <w:t xml:space="preserve"> STU sú povinní oboznámiť sa s obsahom </w:t>
      </w:r>
      <w:r w:rsidR="007E1739" w:rsidRPr="00622F79">
        <w:rPr>
          <w:rFonts w:ascii="Calibri" w:hAnsi="Calibri" w:cs="Arial"/>
          <w:color w:val="000000" w:themeColor="text1"/>
          <w:lang w:val="sk-SK"/>
        </w:rPr>
        <w:t xml:space="preserve">tohto </w:t>
      </w:r>
      <w:r w:rsidR="00622F79" w:rsidRPr="00622F79">
        <w:rPr>
          <w:rFonts w:ascii="Calibri" w:hAnsi="Calibri" w:cs="Arial"/>
          <w:color w:val="000000" w:themeColor="text1"/>
          <w:lang w:val="sk-SK"/>
        </w:rPr>
        <w:t>Organizačného poriadku PC</w:t>
      </w:r>
      <w:r w:rsidR="00614EED" w:rsidRPr="00622F79">
        <w:rPr>
          <w:rFonts w:ascii="Calibri" w:hAnsi="Calibri" w:cs="Arial"/>
          <w:color w:val="000000" w:themeColor="text1"/>
          <w:lang w:val="sk-SK"/>
        </w:rPr>
        <w:t xml:space="preserve"> STU a dodatkami k nemu a dodržiavať ich ustanovenia pri plnení </w:t>
      </w:r>
      <w:r w:rsidR="00614EED" w:rsidRPr="00622F79">
        <w:rPr>
          <w:rFonts w:ascii="Calibri" w:hAnsi="Calibri" w:cs="Arial"/>
          <w:color w:val="000000" w:themeColor="text1"/>
          <w:lang w:val="sk-SK"/>
        </w:rPr>
        <w:lastRenderedPageBreak/>
        <w:t>pracovných povinností</w:t>
      </w:r>
      <w:r w:rsidR="007E1739" w:rsidRPr="00622F79">
        <w:rPr>
          <w:rFonts w:ascii="Calibri" w:hAnsi="Calibri" w:cs="Arial"/>
          <w:color w:val="000000" w:themeColor="text1"/>
          <w:lang w:val="sk-SK"/>
        </w:rPr>
        <w:t>;</w:t>
      </w:r>
      <w:r w:rsidR="00614EED" w:rsidRPr="00622F79">
        <w:rPr>
          <w:rFonts w:ascii="Calibri" w:hAnsi="Calibri" w:cs="Arial"/>
          <w:color w:val="000000" w:themeColor="text1"/>
          <w:lang w:val="sk-SK"/>
        </w:rPr>
        <w:t xml:space="preserve"> v prípade zamestnancov uvedených v</w:t>
      </w:r>
      <w:r w:rsidR="007E1739" w:rsidRPr="00622F79">
        <w:rPr>
          <w:rFonts w:ascii="Calibri" w:hAnsi="Calibri" w:cs="Arial"/>
          <w:color w:val="000000" w:themeColor="text1"/>
          <w:lang w:val="sk-SK"/>
        </w:rPr>
        <w:t xml:space="preserve"> bode 6 </w:t>
      </w:r>
      <w:r w:rsidR="00614EED" w:rsidRPr="00622F79">
        <w:rPr>
          <w:rFonts w:ascii="Calibri" w:hAnsi="Calibri" w:cs="Arial"/>
          <w:color w:val="000000" w:themeColor="text1"/>
          <w:lang w:val="sk-SK"/>
        </w:rPr>
        <w:t xml:space="preserve">písm. b) tohto </w:t>
      </w:r>
      <w:r w:rsidR="007E1739" w:rsidRPr="00622F79">
        <w:rPr>
          <w:rFonts w:ascii="Calibri" w:hAnsi="Calibri" w:cs="Arial"/>
          <w:color w:val="000000" w:themeColor="text1"/>
          <w:lang w:val="sk-SK"/>
        </w:rPr>
        <w:t xml:space="preserve">článku </w:t>
      </w:r>
      <w:r w:rsidR="00614EED" w:rsidRPr="00622F79">
        <w:rPr>
          <w:rFonts w:ascii="Calibri" w:hAnsi="Calibri" w:cs="Arial"/>
          <w:color w:val="000000" w:themeColor="text1"/>
          <w:lang w:val="sk-SK"/>
        </w:rPr>
        <w:t xml:space="preserve">pred začatím prác vykonávaných pre </w:t>
      </w:r>
      <w:r w:rsidRPr="00622F79">
        <w:rPr>
          <w:rFonts w:ascii="Calibri" w:hAnsi="Calibri" w:cs="Arial"/>
          <w:color w:val="000000" w:themeColor="text1"/>
          <w:lang w:val="sk-SK"/>
        </w:rPr>
        <w:t>PC</w:t>
      </w:r>
      <w:r w:rsidR="00614EED" w:rsidRPr="00622F79">
        <w:rPr>
          <w:rFonts w:ascii="Calibri" w:hAnsi="Calibri" w:cs="Arial"/>
          <w:color w:val="000000" w:themeColor="text1"/>
          <w:lang w:val="sk-SK"/>
        </w:rPr>
        <w:t xml:space="preserve"> STU.</w:t>
      </w:r>
    </w:p>
    <w:p w14:paraId="3D4BACE6" w14:textId="77777777" w:rsidR="000D0F31" w:rsidRPr="00622F79" w:rsidRDefault="000D0F31" w:rsidP="00FF22AA">
      <w:pPr>
        <w:spacing w:line="276" w:lineRule="auto"/>
        <w:jc w:val="both"/>
        <w:rPr>
          <w:rFonts w:ascii="Calibri" w:hAnsi="Calibri" w:cs="Arial"/>
          <w:color w:val="000000" w:themeColor="text1"/>
          <w:lang w:val="sk-SK"/>
        </w:rPr>
      </w:pPr>
    </w:p>
    <w:p w14:paraId="531D3459" w14:textId="77777777" w:rsidR="000D0F31" w:rsidRPr="00622F79" w:rsidRDefault="000D0F31" w:rsidP="00FF22AA">
      <w:pPr>
        <w:spacing w:line="276" w:lineRule="auto"/>
        <w:jc w:val="both"/>
        <w:rPr>
          <w:rFonts w:ascii="Calibri" w:hAnsi="Calibri" w:cs="Arial"/>
          <w:color w:val="000000" w:themeColor="text1"/>
          <w:lang w:val="sk-SK"/>
        </w:rPr>
      </w:pPr>
    </w:p>
    <w:p w14:paraId="226E0C15" w14:textId="77777777" w:rsidR="00545BDA" w:rsidRPr="00622F79" w:rsidRDefault="00545BDA" w:rsidP="00FF22AA">
      <w:pPr>
        <w:spacing w:line="276" w:lineRule="auto"/>
        <w:jc w:val="center"/>
        <w:rPr>
          <w:rFonts w:ascii="Calibri" w:hAnsi="Calibri" w:cs="Arial"/>
          <w:b/>
          <w:color w:val="000000" w:themeColor="text1"/>
          <w:lang w:val="sk-SK"/>
        </w:rPr>
      </w:pPr>
      <w:r w:rsidRPr="00622F79">
        <w:rPr>
          <w:rFonts w:ascii="Calibri" w:hAnsi="Calibri" w:cs="Arial"/>
          <w:b/>
          <w:color w:val="000000" w:themeColor="text1"/>
          <w:lang w:val="sk-SK"/>
        </w:rPr>
        <w:t>Článok 2</w:t>
      </w:r>
    </w:p>
    <w:p w14:paraId="72D23B9F" w14:textId="77777777" w:rsidR="00545BDA" w:rsidRPr="00622F79" w:rsidRDefault="00545BDA" w:rsidP="00FF22AA">
      <w:pPr>
        <w:spacing w:line="276" w:lineRule="auto"/>
        <w:jc w:val="center"/>
        <w:rPr>
          <w:rFonts w:ascii="Calibri" w:hAnsi="Calibri" w:cs="Arial"/>
          <w:b/>
          <w:color w:val="000000" w:themeColor="text1"/>
          <w:lang w:val="sk-SK"/>
        </w:rPr>
      </w:pPr>
      <w:r w:rsidRPr="00622F79">
        <w:rPr>
          <w:rFonts w:ascii="Calibri" w:hAnsi="Calibri" w:cs="Arial"/>
          <w:b/>
          <w:color w:val="000000" w:themeColor="text1"/>
          <w:lang w:val="sk-SK"/>
        </w:rPr>
        <w:t xml:space="preserve">Poslanie a činnosť </w:t>
      </w:r>
      <w:r w:rsidR="003D08DB" w:rsidRPr="00622F79">
        <w:rPr>
          <w:rFonts w:ascii="Calibri" w:hAnsi="Calibri" w:cs="Arial"/>
          <w:b/>
          <w:color w:val="000000" w:themeColor="text1"/>
          <w:lang w:val="sk-SK"/>
        </w:rPr>
        <w:t>PC</w:t>
      </w:r>
      <w:r w:rsidRPr="00622F79">
        <w:rPr>
          <w:rFonts w:ascii="Calibri" w:hAnsi="Calibri" w:cs="Arial"/>
          <w:b/>
          <w:color w:val="000000" w:themeColor="text1"/>
          <w:lang w:val="sk-SK"/>
        </w:rPr>
        <w:t xml:space="preserve"> STU</w:t>
      </w:r>
    </w:p>
    <w:p w14:paraId="0646333C" w14:textId="77777777" w:rsidR="00545BDA" w:rsidRPr="00622F79" w:rsidRDefault="00545BDA" w:rsidP="00FF22AA">
      <w:pPr>
        <w:spacing w:line="276" w:lineRule="auto"/>
        <w:jc w:val="center"/>
        <w:rPr>
          <w:rFonts w:ascii="Calibri" w:hAnsi="Calibri" w:cs="Arial"/>
          <w:color w:val="000000" w:themeColor="text1"/>
          <w:lang w:val="sk-SK"/>
        </w:rPr>
      </w:pPr>
    </w:p>
    <w:p w14:paraId="4E282AA3" w14:textId="77777777" w:rsidR="007E1739" w:rsidRPr="00622F79" w:rsidRDefault="003D08DB" w:rsidP="00FF22AA">
      <w:pPr>
        <w:pStyle w:val="Odsekzoznamu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eastAsia="Times New Roman" w:hAnsi="Calibri" w:cs="Arial"/>
          <w:lang w:val="sk-SK" w:eastAsia="sk-SK"/>
        </w:rPr>
      </w:pPr>
      <w:r w:rsidRPr="00622F79">
        <w:rPr>
          <w:rFonts w:ascii="Calibri" w:hAnsi="Calibri" w:cs="Arial"/>
          <w:color w:val="000000" w:themeColor="text1"/>
          <w:lang w:val="sk-SK"/>
        </w:rPr>
        <w:t>PC</w:t>
      </w:r>
      <w:r w:rsidR="007E1739" w:rsidRPr="00622F79">
        <w:rPr>
          <w:rFonts w:ascii="Calibri" w:hAnsi="Calibri" w:cs="Arial"/>
          <w:color w:val="000000" w:themeColor="text1"/>
          <w:lang w:val="sk-SK"/>
        </w:rPr>
        <w:t xml:space="preserve"> STU je univerzitné pracovisko STU</w:t>
      </w:r>
      <w:r w:rsidR="007E1739" w:rsidRPr="00622F79">
        <w:rPr>
          <w:rStyle w:val="Odkaznapoznmkupodiarou"/>
          <w:rFonts w:ascii="Calibri" w:hAnsi="Calibri" w:cs="Arial"/>
          <w:color w:val="000000" w:themeColor="text1"/>
          <w:lang w:val="sk-SK"/>
        </w:rPr>
        <w:footnoteReference w:id="1"/>
      </w:r>
      <w:r w:rsidR="000D0F31" w:rsidRPr="00622F79">
        <w:rPr>
          <w:rFonts w:ascii="Calibri" w:hAnsi="Calibri" w:cs="Arial"/>
          <w:color w:val="000000" w:themeColor="text1"/>
          <w:lang w:val="sk-SK"/>
        </w:rPr>
        <w:t>.</w:t>
      </w:r>
    </w:p>
    <w:p w14:paraId="75F87EA3" w14:textId="77777777" w:rsidR="003D08DB" w:rsidRPr="00622F79" w:rsidRDefault="007E1739" w:rsidP="00FF22AA">
      <w:pPr>
        <w:pStyle w:val="Odsekzoznamu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eastAsia="Times New Roman" w:hAnsi="Calibri" w:cs="Arial"/>
          <w:lang w:val="sk-SK" w:eastAsia="sk-SK"/>
        </w:rPr>
      </w:pPr>
      <w:r w:rsidRPr="00622F79">
        <w:rPr>
          <w:rFonts w:ascii="Calibri" w:hAnsi="Calibri" w:cs="Arial"/>
          <w:color w:val="000000" w:themeColor="text1"/>
          <w:lang w:val="sk-SK"/>
        </w:rPr>
        <w:t xml:space="preserve">Podrobnosti o poslaní a činnosti </w:t>
      </w:r>
      <w:r w:rsidR="003D08DB" w:rsidRPr="00622F79">
        <w:rPr>
          <w:rFonts w:ascii="Calibri" w:hAnsi="Calibri" w:cs="Arial"/>
          <w:color w:val="000000" w:themeColor="text1"/>
          <w:lang w:val="sk-SK"/>
        </w:rPr>
        <w:t>PC</w:t>
      </w:r>
      <w:r w:rsidR="008525E7" w:rsidRPr="00622F79">
        <w:rPr>
          <w:rFonts w:ascii="Calibri" w:hAnsi="Calibri" w:cs="Arial"/>
          <w:color w:val="000000" w:themeColor="text1"/>
          <w:lang w:val="sk-SK"/>
        </w:rPr>
        <w:t xml:space="preserve"> STU </w:t>
      </w:r>
      <w:r w:rsidR="00622F79">
        <w:rPr>
          <w:rFonts w:ascii="Calibri" w:hAnsi="Calibri" w:cs="Arial"/>
          <w:color w:val="000000" w:themeColor="text1"/>
          <w:lang w:val="sk-SK"/>
        </w:rPr>
        <w:t>sú okrem tohto O</w:t>
      </w:r>
      <w:r w:rsidRPr="00622F79">
        <w:rPr>
          <w:rFonts w:ascii="Calibri" w:hAnsi="Calibri" w:cs="Arial"/>
          <w:color w:val="000000" w:themeColor="text1"/>
          <w:lang w:val="sk-SK"/>
        </w:rPr>
        <w:t xml:space="preserve">rganizačného poriadku </w:t>
      </w:r>
      <w:r w:rsidR="00622F79">
        <w:rPr>
          <w:rFonts w:ascii="Calibri" w:hAnsi="Calibri" w:cs="Arial"/>
          <w:color w:val="000000" w:themeColor="text1"/>
          <w:lang w:val="sk-SK"/>
        </w:rPr>
        <w:t xml:space="preserve">PC STU </w:t>
      </w:r>
      <w:r w:rsidRPr="00622F79">
        <w:rPr>
          <w:rFonts w:ascii="Calibri" w:hAnsi="Calibri" w:cs="Arial"/>
          <w:color w:val="000000" w:themeColor="text1"/>
          <w:lang w:val="sk-SK"/>
        </w:rPr>
        <w:t>upravené tiež v platnom Organizačnom poriadku S</w:t>
      </w:r>
      <w:r w:rsidR="000D0F31" w:rsidRPr="00622F79">
        <w:rPr>
          <w:rFonts w:ascii="Calibri" w:hAnsi="Calibri" w:cs="Arial"/>
          <w:color w:val="000000" w:themeColor="text1"/>
          <w:lang w:val="sk-SK"/>
        </w:rPr>
        <w:t>TU</w:t>
      </w:r>
      <w:r w:rsidR="003C5640" w:rsidRPr="00622F79">
        <w:rPr>
          <w:rStyle w:val="Odkaznapoznmkupodiarou"/>
          <w:rFonts w:ascii="Calibri" w:hAnsi="Calibri" w:cs="Arial"/>
          <w:color w:val="000000" w:themeColor="text1"/>
          <w:lang w:val="sk-SK"/>
        </w:rPr>
        <w:footnoteReference w:id="2"/>
      </w:r>
      <w:r w:rsidR="000D0F31" w:rsidRPr="00622F79">
        <w:rPr>
          <w:rFonts w:ascii="Calibri" w:hAnsi="Calibri" w:cs="Arial"/>
          <w:color w:val="000000" w:themeColor="text1"/>
          <w:lang w:val="sk-SK"/>
        </w:rPr>
        <w:t>.</w:t>
      </w:r>
    </w:p>
    <w:p w14:paraId="591F21BC" w14:textId="77777777" w:rsidR="003D08DB" w:rsidRPr="00622F79" w:rsidRDefault="004C7782" w:rsidP="00FF22AA">
      <w:pPr>
        <w:pStyle w:val="Odsekzoznamu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eastAsia="Times New Roman" w:hAnsi="Calibri" w:cs="Arial"/>
          <w:lang w:val="sk-SK" w:eastAsia="sk-SK"/>
        </w:rPr>
      </w:pPr>
      <w:r w:rsidRPr="00622F79">
        <w:rPr>
          <w:rFonts w:ascii="Calibri" w:eastAsia="Times New Roman" w:hAnsi="Calibri" w:cs="Arial"/>
          <w:lang w:val="sk-SK" w:eastAsia="sk-SK"/>
        </w:rPr>
        <w:t>Hlavným p</w:t>
      </w:r>
      <w:r w:rsidR="003D08DB" w:rsidRPr="00622F79">
        <w:rPr>
          <w:rFonts w:ascii="Calibri" w:eastAsia="Times New Roman" w:hAnsi="Calibri" w:cs="Arial"/>
          <w:lang w:val="sk-SK" w:eastAsia="sk-SK"/>
        </w:rPr>
        <w:t>oslaním PC STU je organizačná, koordinačná, vzdelávacia a</w:t>
      </w:r>
      <w:r w:rsidRPr="00622F79">
        <w:rPr>
          <w:rFonts w:ascii="Calibri" w:eastAsia="Times New Roman" w:hAnsi="Calibri" w:cs="Arial"/>
          <w:lang w:val="sk-SK" w:eastAsia="sk-SK"/>
        </w:rPr>
        <w:t> </w:t>
      </w:r>
      <w:r w:rsidR="003D08DB" w:rsidRPr="00622F79">
        <w:rPr>
          <w:rFonts w:ascii="Calibri" w:eastAsia="Times New Roman" w:hAnsi="Calibri" w:cs="Arial"/>
          <w:lang w:val="sk-SK" w:eastAsia="sk-SK"/>
        </w:rPr>
        <w:t xml:space="preserve">poradenská činnosť zameraná na vytváranie prístupného akademického prostredia a zodpovedajúcich podmienok pre študentov so špecifickými potrebami na STU </w:t>
      </w:r>
      <w:r w:rsidR="00622F79">
        <w:rPr>
          <w:rFonts w:ascii="Calibri" w:eastAsia="Times New Roman" w:hAnsi="Calibri" w:cs="Arial"/>
          <w:lang w:val="sk-SK" w:eastAsia="sk-SK"/>
        </w:rPr>
        <w:t xml:space="preserve">a pre </w:t>
      </w:r>
      <w:r w:rsidR="003D08DB" w:rsidRPr="00622F79">
        <w:rPr>
          <w:rFonts w:ascii="Calibri" w:eastAsia="Times New Roman" w:hAnsi="Calibri" w:cs="Arial"/>
          <w:lang w:val="sk-SK" w:eastAsia="sk-SK"/>
        </w:rPr>
        <w:t>uchádzačov o štúdium na STU, a to bez znižovania požiadaviek na ich študijný výkon.</w:t>
      </w:r>
    </w:p>
    <w:p w14:paraId="1A5E0024" w14:textId="77777777" w:rsidR="004C7782" w:rsidRPr="00622F79" w:rsidRDefault="003D08DB" w:rsidP="00FF22AA">
      <w:pPr>
        <w:pStyle w:val="Odsekzoznamu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eastAsia="Times New Roman" w:hAnsi="Calibri" w:cs="Arial"/>
          <w:lang w:val="sk-SK" w:eastAsia="sk-SK"/>
        </w:rPr>
      </w:pPr>
      <w:r w:rsidRPr="00622F79">
        <w:rPr>
          <w:rFonts w:ascii="Calibri" w:eastAsia="Times New Roman" w:hAnsi="Calibri" w:cs="Arial"/>
          <w:lang w:val="sk-SK" w:eastAsia="sk-SK"/>
        </w:rPr>
        <w:t xml:space="preserve">Služby PC STU sú určené najmä pre </w:t>
      </w:r>
      <w:r w:rsidR="00AF52F0" w:rsidRPr="00622F79">
        <w:rPr>
          <w:rFonts w:ascii="Calibri" w:eastAsia="Times New Roman" w:hAnsi="Calibri" w:cs="Arial"/>
          <w:lang w:val="sk-SK" w:eastAsia="sk-SK"/>
        </w:rPr>
        <w:t xml:space="preserve">študentov STU. Ďalej aj pre </w:t>
      </w:r>
      <w:r w:rsidRPr="00622F79">
        <w:rPr>
          <w:rFonts w:ascii="Calibri" w:eastAsia="Times New Roman" w:hAnsi="Calibri" w:cs="Arial"/>
          <w:lang w:val="sk-SK" w:eastAsia="sk-SK"/>
        </w:rPr>
        <w:t>uchádzačov o</w:t>
      </w:r>
      <w:r w:rsidR="00AF52F0" w:rsidRPr="00622F79">
        <w:rPr>
          <w:rFonts w:ascii="Calibri" w:eastAsia="Times New Roman" w:hAnsi="Calibri" w:cs="Arial"/>
          <w:lang w:val="sk-SK" w:eastAsia="sk-SK"/>
        </w:rPr>
        <w:t> </w:t>
      </w:r>
      <w:r w:rsidRPr="00622F79">
        <w:rPr>
          <w:rFonts w:ascii="Calibri" w:eastAsia="Times New Roman" w:hAnsi="Calibri" w:cs="Arial"/>
          <w:lang w:val="sk-SK" w:eastAsia="sk-SK"/>
        </w:rPr>
        <w:t>štúdium</w:t>
      </w:r>
      <w:r w:rsidR="00AF52F0" w:rsidRPr="00622F79">
        <w:rPr>
          <w:rFonts w:ascii="Calibri" w:eastAsia="Times New Roman" w:hAnsi="Calibri" w:cs="Arial"/>
          <w:lang w:val="sk-SK" w:eastAsia="sk-SK"/>
        </w:rPr>
        <w:t xml:space="preserve"> na STU</w:t>
      </w:r>
      <w:r w:rsidRPr="00622F79">
        <w:rPr>
          <w:rFonts w:ascii="Calibri" w:eastAsia="Times New Roman" w:hAnsi="Calibri" w:cs="Arial"/>
          <w:lang w:val="sk-SK" w:eastAsia="sk-SK"/>
        </w:rPr>
        <w:t>, vysokoškolských pedagógov a ostatných zamestnancov STU v</w:t>
      </w:r>
      <w:r w:rsidR="00AF52F0" w:rsidRPr="00622F79">
        <w:rPr>
          <w:rFonts w:ascii="Calibri" w:eastAsia="Times New Roman" w:hAnsi="Calibri" w:cs="Arial"/>
          <w:lang w:val="sk-SK" w:eastAsia="sk-SK"/>
        </w:rPr>
        <w:t> </w:t>
      </w:r>
      <w:r w:rsidRPr="00622F79">
        <w:rPr>
          <w:rFonts w:ascii="Calibri" w:eastAsia="Times New Roman" w:hAnsi="Calibri" w:cs="Arial"/>
          <w:lang w:val="sk-SK" w:eastAsia="sk-SK"/>
        </w:rPr>
        <w:t>súvislosti so špecifickými potrebami.</w:t>
      </w:r>
    </w:p>
    <w:p w14:paraId="23382C90" w14:textId="77777777" w:rsidR="00802F1F" w:rsidRPr="00622F79" w:rsidRDefault="00802F1F" w:rsidP="00FF22AA">
      <w:pPr>
        <w:pStyle w:val="Odsekzoznamu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eastAsia="Times New Roman" w:hAnsi="Calibri" w:cs="Arial"/>
          <w:lang w:val="sk-SK" w:eastAsia="sk-SK"/>
        </w:rPr>
      </w:pPr>
      <w:r w:rsidRPr="00622F79">
        <w:rPr>
          <w:rFonts w:ascii="Calibri" w:eastAsia="Times New Roman" w:hAnsi="Calibri" w:cs="Arial"/>
          <w:lang w:val="sk-SK" w:eastAsia="sk-SK"/>
        </w:rPr>
        <w:t>PC STU v súlade so svojim hlavným poslaním vykonáva najmä nasledovné činnosti:</w:t>
      </w:r>
    </w:p>
    <w:p w14:paraId="3D124EBA" w14:textId="77777777" w:rsidR="00802F1F" w:rsidRPr="00622F79" w:rsidRDefault="00802F1F" w:rsidP="00FF22AA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="Calibri" w:eastAsia="Times New Roman" w:hAnsi="Calibri" w:cs="Arial"/>
          <w:lang w:val="sk-SK" w:eastAsia="sk-SK"/>
        </w:rPr>
      </w:pPr>
      <w:r w:rsidRPr="00622F79">
        <w:rPr>
          <w:rFonts w:ascii="Calibri" w:eastAsia="Times New Roman" w:hAnsi="Calibri" w:cs="Arial"/>
          <w:lang w:val="sk-SK" w:eastAsia="sk-SK"/>
        </w:rPr>
        <w:t>zabezpečovanie odborného poradenstva pre študentov STU, uchádzačov o štúdium na STU, koordinátorov, vysokoškolských učiteľov a ostatných zamestnancov STU v oblasti špecifických potrieb študentov,</w:t>
      </w:r>
    </w:p>
    <w:p w14:paraId="02631B2D" w14:textId="77777777" w:rsidR="00802F1F" w:rsidRPr="00622F79" w:rsidRDefault="00802F1F" w:rsidP="00FF22AA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="Calibri" w:eastAsia="Times New Roman" w:hAnsi="Calibri" w:cs="Arial"/>
          <w:lang w:val="sk-SK" w:eastAsia="sk-SK"/>
        </w:rPr>
      </w:pPr>
      <w:r w:rsidRPr="00622F79">
        <w:rPr>
          <w:rFonts w:ascii="Calibri" w:eastAsia="Times New Roman" w:hAnsi="Calibri" w:cs="Arial"/>
          <w:lang w:val="sk-SK" w:eastAsia="sk-SK"/>
        </w:rPr>
        <w:t>poskytovanie aktívnej podpory vysokoškolským učiteľom STU, v bezprostrednej reakcii na ich potreby, pri aplikovaní alternatívnych prístupných metód výučby, ako aj v uplatňovaní vhodných foriem pre komunikáciu so študentmi STU so špecifickými potrebami,</w:t>
      </w:r>
    </w:p>
    <w:p w14:paraId="2F164C83" w14:textId="77777777" w:rsidR="00802F1F" w:rsidRPr="00622F79" w:rsidRDefault="00802F1F" w:rsidP="00FF22AA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="Calibri" w:eastAsia="Times New Roman" w:hAnsi="Calibri" w:cs="Arial"/>
          <w:lang w:val="sk-SK" w:eastAsia="sk-SK"/>
        </w:rPr>
      </w:pPr>
      <w:r w:rsidRPr="00622F79">
        <w:rPr>
          <w:rFonts w:ascii="Calibri" w:eastAsia="Times New Roman" w:hAnsi="Calibri" w:cs="Arial"/>
          <w:lang w:val="sk-SK" w:eastAsia="sk-SK"/>
        </w:rPr>
        <w:t>vykonávanie vzdelávacej činnosti, organizovanie seminárov a školení so zameraním na tvorbu prístupného akademického prostredia, vrátane podporných služieb, asistenčných pomôcok a technológií pre študentov STU so špecifickými potrebami,</w:t>
      </w:r>
    </w:p>
    <w:p w14:paraId="05821C28" w14:textId="77777777" w:rsidR="00802F1F" w:rsidRPr="00622F79" w:rsidRDefault="00802F1F" w:rsidP="00FF22AA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="Calibri" w:eastAsia="Times New Roman" w:hAnsi="Calibri" w:cs="Arial"/>
          <w:lang w:val="sk-SK" w:eastAsia="sk-SK"/>
        </w:rPr>
      </w:pPr>
      <w:r w:rsidRPr="00622F79">
        <w:rPr>
          <w:rFonts w:ascii="Calibri" w:eastAsia="Times New Roman" w:hAnsi="Calibri" w:cs="Arial"/>
          <w:lang w:val="sk-SK" w:eastAsia="sk-SK"/>
        </w:rPr>
        <w:t>vykonávanie publikačnej činnosti, vrátane informačných a odborných materiálov so zameraním na tvorbu prístupného akademického prostredia a podporu študentov so špecifickými potrebami na STU,</w:t>
      </w:r>
    </w:p>
    <w:p w14:paraId="6B7ED77C" w14:textId="77777777" w:rsidR="00802F1F" w:rsidRPr="00622F79" w:rsidRDefault="00802F1F" w:rsidP="00FF22AA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="Calibri" w:eastAsia="Times New Roman" w:hAnsi="Calibri" w:cs="Arial"/>
          <w:lang w:val="sk-SK" w:eastAsia="sk-SK"/>
        </w:rPr>
      </w:pPr>
      <w:r w:rsidRPr="00622F79">
        <w:rPr>
          <w:rFonts w:ascii="Calibri" w:eastAsia="Times New Roman" w:hAnsi="Calibri" w:cs="Arial"/>
          <w:lang w:val="sk-SK" w:eastAsia="sk-SK"/>
        </w:rPr>
        <w:t xml:space="preserve">zabezpečovanie a koordinovanie študijnej, technickej a materiálnej podpory pre študentov so špecifickými potrebami na STU, vrátane </w:t>
      </w:r>
      <w:r w:rsidRPr="00622F79">
        <w:rPr>
          <w:rFonts w:ascii="Calibri" w:eastAsia="Times New Roman" w:hAnsi="Calibri" w:cs="Arial"/>
          <w:lang w:val="sk-SK" w:eastAsia="sk-SK"/>
        </w:rPr>
        <w:lastRenderedPageBreak/>
        <w:t>študijných materiálov v prístupnej alternatívnej forme, asistenčných pomôcok a technológií na jednotlivých fakultách STU,</w:t>
      </w:r>
    </w:p>
    <w:p w14:paraId="7C1DAFA5" w14:textId="77777777" w:rsidR="00802F1F" w:rsidRPr="00622F79" w:rsidRDefault="00802F1F" w:rsidP="00FF22AA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="Calibri" w:eastAsia="Times New Roman" w:hAnsi="Calibri" w:cs="Arial"/>
          <w:lang w:val="sk-SK" w:eastAsia="sk-SK"/>
        </w:rPr>
      </w:pPr>
      <w:r w:rsidRPr="00622F79">
        <w:rPr>
          <w:rFonts w:ascii="Calibri" w:eastAsia="Times New Roman" w:hAnsi="Calibri" w:cs="Arial"/>
          <w:lang w:val="sk-SK" w:eastAsia="sk-SK"/>
        </w:rPr>
        <w:t>zabezpečovanie evidencie a štatistiky týkajúcej sa študentov so špecifickými potrebami na jednotlivých fakultách STU,</w:t>
      </w:r>
    </w:p>
    <w:p w14:paraId="19E85A09" w14:textId="77777777" w:rsidR="00802F1F" w:rsidRPr="00622F79" w:rsidRDefault="00802F1F" w:rsidP="00FF22AA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="Calibri" w:eastAsia="Times New Roman" w:hAnsi="Calibri" w:cs="Arial"/>
          <w:lang w:val="sk-SK" w:eastAsia="sk-SK"/>
        </w:rPr>
      </w:pPr>
      <w:r w:rsidRPr="00622F79">
        <w:rPr>
          <w:rFonts w:ascii="Calibri" w:eastAsia="Times New Roman" w:hAnsi="Calibri" w:cs="Arial"/>
          <w:lang w:val="sk-SK" w:eastAsia="sk-SK"/>
        </w:rPr>
        <w:t>vypracovanie rozpočtových návrhov na využitie finančných prostriedkov na podporu štúdia študentov so špecifickými potrebami na STU,</w:t>
      </w:r>
    </w:p>
    <w:p w14:paraId="01D2BFF3" w14:textId="77777777" w:rsidR="00802F1F" w:rsidRPr="00622F79" w:rsidRDefault="00802F1F" w:rsidP="00FF22AA">
      <w:pPr>
        <w:pStyle w:val="Odsekzoznamu"/>
        <w:numPr>
          <w:ilvl w:val="0"/>
          <w:numId w:val="19"/>
        </w:numPr>
        <w:spacing w:line="276" w:lineRule="auto"/>
        <w:jc w:val="both"/>
        <w:rPr>
          <w:rFonts w:ascii="Calibri" w:eastAsia="Times New Roman" w:hAnsi="Calibri" w:cs="Arial"/>
          <w:lang w:val="sk-SK" w:eastAsia="sk-SK"/>
        </w:rPr>
      </w:pPr>
      <w:r w:rsidRPr="00622F79">
        <w:rPr>
          <w:rFonts w:ascii="Calibri" w:eastAsia="Times New Roman" w:hAnsi="Calibri" w:cs="Arial"/>
          <w:lang w:val="sk-SK" w:eastAsia="sk-SK"/>
        </w:rPr>
        <w:t>poskytovanie informácií vedeniu STU o počte študentov so špecifickými potrebami na STU a použití účelovo určených finančných prostriedkov na podporu štúdia študentov so špecifickými potrebami na STU.</w:t>
      </w:r>
    </w:p>
    <w:p w14:paraId="0D1A74FE" w14:textId="77777777" w:rsidR="00802F1F" w:rsidRPr="00622F79" w:rsidRDefault="00802F1F" w:rsidP="00FF22AA">
      <w:pPr>
        <w:pStyle w:val="Odsekzoznamu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eastAsia="Times New Roman" w:hAnsi="Calibri" w:cs="Arial"/>
          <w:lang w:val="sk-SK" w:eastAsia="sk-SK"/>
        </w:rPr>
      </w:pPr>
      <w:r w:rsidRPr="00622F79">
        <w:rPr>
          <w:rFonts w:ascii="Calibri" w:eastAsia="Times New Roman" w:hAnsi="Calibri" w:cs="Arial"/>
          <w:lang w:val="sk-SK" w:eastAsia="sk-SK"/>
        </w:rPr>
        <w:t>PC STU pri realizácií svojich úloh spolupracuje najmä:</w:t>
      </w:r>
    </w:p>
    <w:p w14:paraId="4B06F217" w14:textId="25F53C22" w:rsidR="00802F1F" w:rsidRPr="00622F79" w:rsidRDefault="00802F1F" w:rsidP="00FF22AA">
      <w:pPr>
        <w:pStyle w:val="Odsekzoznamu"/>
        <w:numPr>
          <w:ilvl w:val="0"/>
          <w:numId w:val="24"/>
        </w:numPr>
        <w:spacing w:line="276" w:lineRule="auto"/>
        <w:ind w:left="1134"/>
        <w:jc w:val="both"/>
        <w:rPr>
          <w:rFonts w:ascii="Calibri" w:eastAsia="Times New Roman" w:hAnsi="Calibri" w:cs="Arial"/>
          <w:lang w:val="sk-SK" w:eastAsia="sk-SK"/>
        </w:rPr>
      </w:pPr>
      <w:r w:rsidRPr="00622F79">
        <w:rPr>
          <w:rFonts w:ascii="Calibri" w:eastAsia="Times New Roman" w:hAnsi="Calibri" w:cs="Arial"/>
          <w:lang w:val="sk-SK" w:eastAsia="sk-SK"/>
        </w:rPr>
        <w:t xml:space="preserve">s Radou ministra </w:t>
      </w:r>
      <w:r w:rsidRPr="00622F79">
        <w:rPr>
          <w:rFonts w:ascii="Calibri" w:hAnsi="Calibri" w:cs="Arial"/>
          <w:color w:val="000000" w:themeColor="text1"/>
          <w:lang w:val="sk-SK"/>
        </w:rPr>
        <w:t>školstva, vedy, výskumu a športu Slovenskej republiky</w:t>
      </w:r>
      <w:r w:rsidR="00FF22AA">
        <w:rPr>
          <w:rFonts w:ascii="Calibri" w:eastAsia="Times New Roman" w:hAnsi="Calibri" w:cs="Arial"/>
          <w:lang w:val="sk-SK" w:eastAsia="sk-SK"/>
        </w:rPr>
        <w:t xml:space="preserve"> na </w:t>
      </w:r>
      <w:r w:rsidRPr="00622F79">
        <w:rPr>
          <w:rFonts w:ascii="Calibri" w:eastAsia="Times New Roman" w:hAnsi="Calibri" w:cs="Arial"/>
          <w:lang w:val="sk-SK" w:eastAsia="sk-SK"/>
        </w:rPr>
        <w:t xml:space="preserve">podporu </w:t>
      </w:r>
      <w:r w:rsidR="00FF22AA">
        <w:rPr>
          <w:rFonts w:ascii="Calibri" w:eastAsia="Times New Roman" w:hAnsi="Calibri" w:cs="Arial"/>
          <w:lang w:val="sk-SK" w:eastAsia="sk-SK"/>
        </w:rPr>
        <w:t xml:space="preserve">štúdia </w:t>
      </w:r>
      <w:r w:rsidRPr="00622F79">
        <w:rPr>
          <w:rFonts w:ascii="Calibri" w:eastAsia="Times New Roman" w:hAnsi="Calibri" w:cs="Arial"/>
          <w:lang w:val="sk-SK" w:eastAsia="sk-SK"/>
        </w:rPr>
        <w:t>študentov so špecifickými potrebami</w:t>
      </w:r>
      <w:r w:rsidR="00FF22AA">
        <w:rPr>
          <w:rStyle w:val="Odkaznapoznmkupodiarou"/>
          <w:rFonts w:ascii="Calibri" w:eastAsia="Times New Roman" w:hAnsi="Calibri" w:cs="Arial"/>
          <w:lang w:val="sk-SK" w:eastAsia="sk-SK"/>
        </w:rPr>
        <w:footnoteReference w:id="3"/>
      </w:r>
      <w:r w:rsidRPr="00622F79">
        <w:rPr>
          <w:rFonts w:ascii="Calibri" w:eastAsia="Times New Roman" w:hAnsi="Calibri" w:cs="Arial"/>
          <w:lang w:val="sk-SK" w:eastAsia="sk-SK"/>
        </w:rPr>
        <w:t>,</w:t>
      </w:r>
    </w:p>
    <w:p w14:paraId="64824791" w14:textId="77777777" w:rsidR="00802F1F" w:rsidRPr="00622F79" w:rsidRDefault="0055535E" w:rsidP="00FF22AA">
      <w:pPr>
        <w:pStyle w:val="Odsekzoznamu"/>
        <w:numPr>
          <w:ilvl w:val="0"/>
          <w:numId w:val="24"/>
        </w:numPr>
        <w:spacing w:line="276" w:lineRule="auto"/>
        <w:ind w:left="1134"/>
        <w:jc w:val="both"/>
        <w:rPr>
          <w:rFonts w:ascii="Calibri" w:eastAsia="Times New Roman" w:hAnsi="Calibri" w:cs="Arial"/>
          <w:lang w:val="sk-SK" w:eastAsia="sk-SK"/>
        </w:rPr>
      </w:pPr>
      <w:r>
        <w:rPr>
          <w:rFonts w:ascii="Calibri" w:eastAsia="Times New Roman" w:hAnsi="Calibri" w:cs="Arial"/>
          <w:lang w:val="sk-SK" w:eastAsia="sk-SK"/>
        </w:rPr>
        <w:t xml:space="preserve">s </w:t>
      </w:r>
      <w:r w:rsidR="00802F1F" w:rsidRPr="00622F79">
        <w:rPr>
          <w:rFonts w:ascii="Calibri" w:eastAsia="Times New Roman" w:hAnsi="Calibri" w:cs="Arial"/>
          <w:lang w:val="sk-SK" w:eastAsia="sk-SK"/>
        </w:rPr>
        <w:t>prorektorom pre vzdelávanie a prodekanmi pre vzdelávaciu činnosť,</w:t>
      </w:r>
    </w:p>
    <w:p w14:paraId="750073D1" w14:textId="174064F5" w:rsidR="00802F1F" w:rsidRPr="00622F79" w:rsidRDefault="00802F1F" w:rsidP="00FF22AA">
      <w:pPr>
        <w:pStyle w:val="Odsekzoznamu"/>
        <w:numPr>
          <w:ilvl w:val="0"/>
          <w:numId w:val="24"/>
        </w:numPr>
        <w:spacing w:line="276" w:lineRule="auto"/>
        <w:ind w:left="1134"/>
        <w:jc w:val="both"/>
        <w:rPr>
          <w:rFonts w:ascii="Calibri" w:eastAsia="Times New Roman" w:hAnsi="Calibri" w:cs="Arial"/>
          <w:lang w:val="sk-SK" w:eastAsia="sk-SK"/>
        </w:rPr>
      </w:pPr>
      <w:r w:rsidRPr="00622F79">
        <w:rPr>
          <w:rFonts w:ascii="Calibri" w:eastAsia="Times New Roman" w:hAnsi="Calibri" w:cs="Arial"/>
          <w:lang w:val="sk-SK" w:eastAsia="sk-SK"/>
        </w:rPr>
        <w:t xml:space="preserve">s koordinátormi </w:t>
      </w:r>
      <w:r w:rsidR="00467B67" w:rsidRPr="00622F79">
        <w:rPr>
          <w:rFonts w:ascii="Calibri" w:hAnsi="Calibri" w:cs="Arial"/>
          <w:color w:val="000000" w:themeColor="text1"/>
          <w:lang w:val="sk-SK"/>
        </w:rPr>
        <w:t>pre študentov so špecifickými potrebami na fakultách STU</w:t>
      </w:r>
      <w:r w:rsidR="00FF22AA">
        <w:rPr>
          <w:rFonts w:ascii="Calibri" w:hAnsi="Calibri" w:cs="Arial"/>
          <w:color w:val="000000" w:themeColor="text1"/>
          <w:lang w:val="sk-SK"/>
        </w:rPr>
        <w:t xml:space="preserve"> (ďalej len „fakultn</w:t>
      </w:r>
      <w:r w:rsidR="00005A91">
        <w:rPr>
          <w:rFonts w:ascii="Calibri" w:hAnsi="Calibri" w:cs="Arial"/>
          <w:color w:val="000000" w:themeColor="text1"/>
          <w:lang w:val="sk-SK"/>
        </w:rPr>
        <w:t>í</w:t>
      </w:r>
      <w:r w:rsidR="00FF22AA">
        <w:rPr>
          <w:rFonts w:ascii="Calibri" w:hAnsi="Calibri" w:cs="Arial"/>
          <w:color w:val="000000" w:themeColor="text1"/>
          <w:lang w:val="sk-SK"/>
        </w:rPr>
        <w:t xml:space="preserve"> koordinátori“)</w:t>
      </w:r>
      <w:r w:rsidR="00467B67" w:rsidRPr="00622F79">
        <w:rPr>
          <w:rFonts w:ascii="Calibri" w:eastAsia="Times New Roman" w:hAnsi="Calibri" w:cs="Arial"/>
          <w:lang w:val="sk-SK" w:eastAsia="sk-SK"/>
        </w:rPr>
        <w:t>,</w:t>
      </w:r>
    </w:p>
    <w:p w14:paraId="2D681994" w14:textId="77777777" w:rsidR="00467B67" w:rsidRPr="00622F79" w:rsidRDefault="00467B67" w:rsidP="00FF22AA">
      <w:pPr>
        <w:pStyle w:val="Odsekzoznamu"/>
        <w:numPr>
          <w:ilvl w:val="0"/>
          <w:numId w:val="24"/>
        </w:numPr>
        <w:spacing w:line="276" w:lineRule="auto"/>
        <w:ind w:left="1134"/>
        <w:jc w:val="both"/>
        <w:rPr>
          <w:rFonts w:ascii="Calibri" w:eastAsia="Times New Roman" w:hAnsi="Calibri" w:cs="Arial"/>
          <w:lang w:val="sk-SK" w:eastAsia="sk-SK"/>
        </w:rPr>
      </w:pPr>
      <w:r w:rsidRPr="00622F79">
        <w:rPr>
          <w:rFonts w:ascii="Calibri" w:eastAsia="Times New Roman" w:hAnsi="Calibri" w:cs="Arial"/>
          <w:lang w:val="sk-SK" w:eastAsia="sk-SK"/>
        </w:rPr>
        <w:t xml:space="preserve">s koordinátormi </w:t>
      </w:r>
      <w:r w:rsidRPr="00622F79">
        <w:rPr>
          <w:rFonts w:ascii="Calibri" w:hAnsi="Calibri" w:cs="Arial"/>
          <w:color w:val="000000" w:themeColor="text1"/>
          <w:lang w:val="sk-SK"/>
        </w:rPr>
        <w:t xml:space="preserve">pre študentov so špecifickými potrebami </w:t>
      </w:r>
      <w:r w:rsidRPr="00622F79">
        <w:rPr>
          <w:rFonts w:ascii="Calibri" w:eastAsia="Times New Roman" w:hAnsi="Calibri" w:cs="Arial"/>
          <w:lang w:val="sk-SK" w:eastAsia="sk-SK"/>
        </w:rPr>
        <w:t>iných vysokých škôl,</w:t>
      </w:r>
    </w:p>
    <w:p w14:paraId="0DAA17F6" w14:textId="77777777" w:rsidR="00467B67" w:rsidRPr="00622F79" w:rsidRDefault="00467B67" w:rsidP="00FF22AA">
      <w:pPr>
        <w:pStyle w:val="Odsekzoznamu"/>
        <w:numPr>
          <w:ilvl w:val="0"/>
          <w:numId w:val="24"/>
        </w:numPr>
        <w:spacing w:line="276" w:lineRule="auto"/>
        <w:ind w:left="1134"/>
        <w:jc w:val="both"/>
        <w:rPr>
          <w:rFonts w:ascii="Calibri" w:eastAsia="Times New Roman" w:hAnsi="Calibri" w:cs="Arial"/>
          <w:lang w:val="sk-SK" w:eastAsia="sk-SK"/>
        </w:rPr>
      </w:pPr>
      <w:r w:rsidRPr="00622F79">
        <w:rPr>
          <w:rFonts w:ascii="Calibri" w:eastAsia="Times New Roman" w:hAnsi="Calibri" w:cs="Arial"/>
          <w:lang w:val="sk-SK" w:eastAsia="sk-SK"/>
        </w:rPr>
        <w:t>so zástupcami stredných škôl,</w:t>
      </w:r>
    </w:p>
    <w:p w14:paraId="5165FFFF" w14:textId="77777777" w:rsidR="00467B67" w:rsidRPr="00622F79" w:rsidRDefault="00467B67" w:rsidP="00FF22AA">
      <w:pPr>
        <w:pStyle w:val="Odsekzoznamu"/>
        <w:numPr>
          <w:ilvl w:val="0"/>
          <w:numId w:val="24"/>
        </w:numPr>
        <w:spacing w:line="276" w:lineRule="auto"/>
        <w:ind w:left="1134"/>
        <w:jc w:val="both"/>
        <w:rPr>
          <w:rFonts w:ascii="Calibri" w:eastAsia="Times New Roman" w:hAnsi="Calibri" w:cs="Arial"/>
          <w:lang w:val="sk-SK" w:eastAsia="sk-SK"/>
        </w:rPr>
      </w:pPr>
      <w:r w:rsidRPr="00622F79">
        <w:rPr>
          <w:rFonts w:ascii="Calibri" w:eastAsia="Times New Roman" w:hAnsi="Calibri" w:cs="Arial"/>
          <w:lang w:val="sk-SK" w:eastAsia="sk-SK"/>
        </w:rPr>
        <w:t>s tretím sektorom,</w:t>
      </w:r>
    </w:p>
    <w:p w14:paraId="511ACC5A" w14:textId="77777777" w:rsidR="00467B67" w:rsidRPr="00622F79" w:rsidRDefault="00802F1F" w:rsidP="00FF22AA">
      <w:pPr>
        <w:pStyle w:val="Odsekzoznamu"/>
        <w:numPr>
          <w:ilvl w:val="0"/>
          <w:numId w:val="24"/>
        </w:numPr>
        <w:spacing w:line="276" w:lineRule="auto"/>
        <w:ind w:left="1134"/>
        <w:jc w:val="both"/>
        <w:rPr>
          <w:rFonts w:ascii="Calibri" w:eastAsia="Times New Roman" w:hAnsi="Calibri" w:cs="Arial"/>
          <w:lang w:val="sk-SK" w:eastAsia="sk-SK"/>
        </w:rPr>
      </w:pPr>
      <w:r w:rsidRPr="00622F79">
        <w:rPr>
          <w:rFonts w:ascii="Calibri" w:eastAsia="Times New Roman" w:hAnsi="Calibri" w:cs="Arial"/>
          <w:lang w:val="sk-SK" w:eastAsia="sk-SK"/>
        </w:rPr>
        <w:t>s ďalšími odborníkmi na základe aktuálnej potreby,</w:t>
      </w:r>
    </w:p>
    <w:p w14:paraId="0C1E760F" w14:textId="77777777" w:rsidR="00802F1F" w:rsidRPr="00622F79" w:rsidRDefault="00802F1F" w:rsidP="00FF22AA">
      <w:pPr>
        <w:pStyle w:val="Odsekzoznamu"/>
        <w:numPr>
          <w:ilvl w:val="0"/>
          <w:numId w:val="24"/>
        </w:numPr>
        <w:spacing w:line="276" w:lineRule="auto"/>
        <w:ind w:left="1134"/>
        <w:jc w:val="both"/>
        <w:rPr>
          <w:rFonts w:ascii="Calibri" w:eastAsia="Times New Roman" w:hAnsi="Calibri" w:cs="Arial"/>
          <w:lang w:val="sk-SK" w:eastAsia="sk-SK"/>
        </w:rPr>
      </w:pPr>
      <w:r w:rsidRPr="00622F79">
        <w:rPr>
          <w:rFonts w:ascii="Calibri" w:eastAsia="Times New Roman" w:hAnsi="Calibri" w:cs="Arial"/>
          <w:lang w:val="sk-SK" w:eastAsia="sk-SK"/>
        </w:rPr>
        <w:t>s domácimi a medzinárodnými organizáciami obdobného poslania.</w:t>
      </w:r>
    </w:p>
    <w:p w14:paraId="07A3DD5E" w14:textId="77777777" w:rsidR="003D08DB" w:rsidRPr="00622F79" w:rsidRDefault="003D08DB" w:rsidP="00FF22AA">
      <w:pPr>
        <w:spacing w:line="276" w:lineRule="auto"/>
        <w:jc w:val="both"/>
        <w:rPr>
          <w:rFonts w:ascii="Calibri" w:eastAsia="Times New Roman" w:hAnsi="Calibri" w:cs="Arial"/>
          <w:lang w:val="sk-SK" w:eastAsia="sk-SK"/>
        </w:rPr>
      </w:pPr>
    </w:p>
    <w:p w14:paraId="3470104D" w14:textId="77777777" w:rsidR="0053738C" w:rsidRPr="00622F79" w:rsidRDefault="0053738C" w:rsidP="00FF22AA">
      <w:pPr>
        <w:spacing w:line="276" w:lineRule="auto"/>
        <w:jc w:val="both"/>
        <w:rPr>
          <w:rFonts w:ascii="Calibri" w:hAnsi="Calibri" w:cs="Arial"/>
          <w:color w:val="000000" w:themeColor="text1"/>
          <w:highlight w:val="yellow"/>
          <w:lang w:val="sk-SK"/>
        </w:rPr>
      </w:pPr>
    </w:p>
    <w:p w14:paraId="4A2E39CE" w14:textId="77777777" w:rsidR="0053738C" w:rsidRPr="00622F79" w:rsidRDefault="0060179B" w:rsidP="00FF22AA">
      <w:pPr>
        <w:spacing w:line="276" w:lineRule="auto"/>
        <w:jc w:val="center"/>
        <w:rPr>
          <w:rFonts w:ascii="Calibri" w:hAnsi="Calibri" w:cs="Arial"/>
          <w:b/>
          <w:color w:val="000000" w:themeColor="text1"/>
          <w:lang w:val="sk-SK"/>
        </w:rPr>
      </w:pPr>
      <w:r w:rsidRPr="00622F79">
        <w:rPr>
          <w:rFonts w:ascii="Calibri" w:hAnsi="Calibri" w:cs="Arial"/>
          <w:b/>
          <w:color w:val="000000" w:themeColor="text1"/>
          <w:lang w:val="sk-SK"/>
        </w:rPr>
        <w:t xml:space="preserve">Článok </w:t>
      </w:r>
      <w:r w:rsidR="00DA7F63" w:rsidRPr="00622F79">
        <w:rPr>
          <w:rFonts w:ascii="Calibri" w:hAnsi="Calibri" w:cs="Arial"/>
          <w:b/>
          <w:color w:val="000000" w:themeColor="text1"/>
          <w:lang w:val="sk-SK"/>
        </w:rPr>
        <w:t>3</w:t>
      </w:r>
    </w:p>
    <w:p w14:paraId="6A6C79E3" w14:textId="77777777" w:rsidR="0053738C" w:rsidRPr="00622F79" w:rsidRDefault="00B8111A" w:rsidP="00FF22AA">
      <w:pPr>
        <w:spacing w:line="276" w:lineRule="auto"/>
        <w:jc w:val="center"/>
        <w:rPr>
          <w:rFonts w:ascii="Calibri" w:hAnsi="Calibri" w:cs="Arial"/>
          <w:b/>
          <w:color w:val="000000" w:themeColor="text1"/>
          <w:lang w:val="sk-SK"/>
        </w:rPr>
      </w:pPr>
      <w:r w:rsidRPr="00622F79">
        <w:rPr>
          <w:rFonts w:ascii="Calibri" w:hAnsi="Calibri" w:cs="Arial"/>
          <w:b/>
          <w:color w:val="000000" w:themeColor="text1"/>
          <w:lang w:val="sk-SK"/>
        </w:rPr>
        <w:t>Riadenie a o</w:t>
      </w:r>
      <w:r w:rsidR="0060179B" w:rsidRPr="00622F79">
        <w:rPr>
          <w:rFonts w:ascii="Calibri" w:hAnsi="Calibri" w:cs="Arial"/>
          <w:b/>
          <w:color w:val="000000" w:themeColor="text1"/>
          <w:lang w:val="sk-SK"/>
        </w:rPr>
        <w:t>rganizačná štruktúra PC</w:t>
      </w:r>
      <w:r w:rsidR="0053738C" w:rsidRPr="00622F79">
        <w:rPr>
          <w:rFonts w:ascii="Calibri" w:hAnsi="Calibri" w:cs="Arial"/>
          <w:b/>
          <w:color w:val="000000" w:themeColor="text1"/>
          <w:lang w:val="sk-SK"/>
        </w:rPr>
        <w:t xml:space="preserve"> STU</w:t>
      </w:r>
    </w:p>
    <w:p w14:paraId="5E8CE270" w14:textId="77777777" w:rsidR="0053738C" w:rsidRPr="00622F79" w:rsidRDefault="0053738C" w:rsidP="00FF22AA">
      <w:pPr>
        <w:spacing w:line="276" w:lineRule="auto"/>
        <w:jc w:val="center"/>
        <w:rPr>
          <w:rFonts w:ascii="Calibri" w:hAnsi="Calibri" w:cs="Arial"/>
          <w:b/>
          <w:color w:val="000000" w:themeColor="text1"/>
          <w:highlight w:val="yellow"/>
          <w:lang w:val="sk-SK"/>
        </w:rPr>
      </w:pPr>
    </w:p>
    <w:p w14:paraId="5DD7CEE2" w14:textId="77777777" w:rsidR="00FE1F87" w:rsidRPr="00622F79" w:rsidRDefault="0060179B" w:rsidP="00FF22AA">
      <w:pPr>
        <w:pStyle w:val="Odsekzoznamu"/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Arial"/>
          <w:color w:val="000000" w:themeColor="text1"/>
          <w:lang w:val="sk-SK"/>
        </w:rPr>
      </w:pPr>
      <w:r w:rsidRPr="00622F79">
        <w:rPr>
          <w:rFonts w:ascii="Calibri" w:hAnsi="Calibri" w:cs="Arial"/>
          <w:color w:val="000000" w:themeColor="text1"/>
          <w:lang w:val="sk-SK"/>
        </w:rPr>
        <w:t>PC</w:t>
      </w:r>
      <w:r w:rsidR="00BD7BEF" w:rsidRPr="00622F79">
        <w:rPr>
          <w:rFonts w:ascii="Calibri" w:hAnsi="Calibri" w:cs="Arial"/>
          <w:color w:val="000000" w:themeColor="text1"/>
          <w:lang w:val="sk-SK"/>
        </w:rPr>
        <w:t xml:space="preserve"> STU </w:t>
      </w:r>
      <w:r w:rsidR="003C5640" w:rsidRPr="00622F79">
        <w:rPr>
          <w:rFonts w:ascii="Calibri" w:hAnsi="Calibri" w:cs="Arial"/>
          <w:color w:val="000000" w:themeColor="text1"/>
          <w:lang w:val="sk-SK"/>
        </w:rPr>
        <w:t xml:space="preserve">riadi </w:t>
      </w:r>
      <w:r w:rsidRPr="00813B80">
        <w:rPr>
          <w:rFonts w:ascii="Calibri" w:hAnsi="Calibri" w:cs="Arial"/>
          <w:color w:val="000000" w:themeColor="text1"/>
          <w:lang w:val="sk-SK"/>
        </w:rPr>
        <w:t>vedúci PC</w:t>
      </w:r>
      <w:r w:rsidR="003C5640" w:rsidRPr="00813B80">
        <w:rPr>
          <w:rFonts w:ascii="Calibri" w:hAnsi="Calibri" w:cs="Arial"/>
          <w:color w:val="000000" w:themeColor="text1"/>
          <w:lang w:val="sk-SK"/>
        </w:rPr>
        <w:t xml:space="preserve"> STU</w:t>
      </w:r>
      <w:r w:rsidR="00B8111A" w:rsidRPr="00622F79">
        <w:rPr>
          <w:rFonts w:ascii="Calibri" w:hAnsi="Calibri" w:cs="Arial"/>
          <w:color w:val="000000" w:themeColor="text1"/>
          <w:lang w:val="sk-SK"/>
        </w:rPr>
        <w:t xml:space="preserve"> menovaný </w:t>
      </w:r>
      <w:r w:rsidR="00622F79" w:rsidRPr="00622F79">
        <w:rPr>
          <w:rFonts w:ascii="Calibri" w:hAnsi="Calibri" w:cs="Arial"/>
          <w:color w:val="000000" w:themeColor="text1"/>
          <w:lang w:val="sk-SK"/>
        </w:rPr>
        <w:t>rektorom</w:t>
      </w:r>
      <w:r w:rsidR="00BD7BEF" w:rsidRPr="00622F79">
        <w:rPr>
          <w:rFonts w:ascii="Calibri" w:hAnsi="Calibri" w:cs="Arial"/>
          <w:color w:val="000000" w:themeColor="text1"/>
          <w:lang w:val="sk-SK"/>
        </w:rPr>
        <w:t xml:space="preserve">, ktorý </w:t>
      </w:r>
      <w:r w:rsidR="003C5640" w:rsidRPr="00622F79">
        <w:rPr>
          <w:rFonts w:ascii="Calibri" w:hAnsi="Calibri" w:cs="Arial"/>
          <w:color w:val="000000" w:themeColor="text1"/>
          <w:lang w:val="sk-SK"/>
        </w:rPr>
        <w:t xml:space="preserve">rektorovi </w:t>
      </w:r>
      <w:r w:rsidR="00BD7BEF" w:rsidRPr="00622F79">
        <w:rPr>
          <w:rFonts w:ascii="Calibri" w:hAnsi="Calibri" w:cs="Arial"/>
          <w:color w:val="000000" w:themeColor="text1"/>
          <w:lang w:val="sk-SK"/>
        </w:rPr>
        <w:t>zodpovedá za</w:t>
      </w:r>
      <w:r w:rsidR="00B8111A" w:rsidRPr="00622F79">
        <w:rPr>
          <w:rFonts w:ascii="Calibri" w:hAnsi="Calibri" w:cs="Arial"/>
          <w:color w:val="000000" w:themeColor="text1"/>
          <w:lang w:val="sk-SK"/>
        </w:rPr>
        <w:t> </w:t>
      </w:r>
      <w:r w:rsidR="00BD7BEF" w:rsidRPr="00622F79">
        <w:rPr>
          <w:rFonts w:ascii="Calibri" w:hAnsi="Calibri" w:cs="Arial"/>
          <w:color w:val="000000" w:themeColor="text1"/>
          <w:lang w:val="sk-SK"/>
        </w:rPr>
        <w:t>výkon odborných pracovných činností a</w:t>
      </w:r>
      <w:r w:rsidR="00B80601" w:rsidRPr="00622F79">
        <w:rPr>
          <w:rFonts w:ascii="Calibri" w:hAnsi="Calibri" w:cs="Arial"/>
          <w:color w:val="000000" w:themeColor="text1"/>
          <w:lang w:val="sk-SK"/>
        </w:rPr>
        <w:t> ostatných práv a povinností smerujúcich k plneniu úloh ním riadeného univerzitného pracoviska.</w:t>
      </w:r>
    </w:p>
    <w:p w14:paraId="3B289908" w14:textId="1502511C" w:rsidR="00DA7F63" w:rsidRPr="00622F79" w:rsidRDefault="00C47E5C" w:rsidP="00FF22AA">
      <w:pPr>
        <w:pStyle w:val="Odsekzoznamu"/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Arial"/>
          <w:color w:val="000000" w:themeColor="text1"/>
          <w:lang w:val="sk-SK"/>
        </w:rPr>
      </w:pPr>
      <w:r w:rsidRPr="00813B80">
        <w:rPr>
          <w:rFonts w:ascii="Calibri" w:hAnsi="Calibri" w:cs="Arial"/>
          <w:color w:val="000000" w:themeColor="text1"/>
          <w:lang w:val="sk-SK"/>
        </w:rPr>
        <w:t>Vedúci</w:t>
      </w:r>
      <w:r w:rsidR="00813B80">
        <w:rPr>
          <w:rFonts w:ascii="Calibri" w:hAnsi="Calibri" w:cs="Arial"/>
          <w:color w:val="000000" w:themeColor="text1"/>
          <w:lang w:val="sk-SK"/>
        </w:rPr>
        <w:t xml:space="preserve"> </w:t>
      </w:r>
      <w:r w:rsidR="00B8111A" w:rsidRPr="00813B80">
        <w:rPr>
          <w:rFonts w:ascii="Calibri" w:hAnsi="Calibri" w:cs="Arial"/>
          <w:color w:val="000000" w:themeColor="text1"/>
          <w:lang w:val="sk-SK"/>
        </w:rPr>
        <w:t>PC</w:t>
      </w:r>
      <w:r w:rsidR="00B80601" w:rsidRPr="00813B80">
        <w:rPr>
          <w:rFonts w:ascii="Calibri" w:hAnsi="Calibri" w:cs="Arial"/>
          <w:color w:val="000000" w:themeColor="text1"/>
          <w:lang w:val="sk-SK"/>
        </w:rPr>
        <w:t xml:space="preserve"> STU</w:t>
      </w:r>
      <w:r w:rsidR="00B80601" w:rsidRPr="00622F79">
        <w:rPr>
          <w:rFonts w:ascii="Calibri" w:hAnsi="Calibri" w:cs="Arial"/>
          <w:color w:val="000000" w:themeColor="text1"/>
          <w:lang w:val="sk-SK"/>
        </w:rPr>
        <w:t xml:space="preserve"> zodpovedá najmä za:</w:t>
      </w:r>
    </w:p>
    <w:p w14:paraId="1F839516" w14:textId="77777777" w:rsidR="00DA7F63" w:rsidRPr="00622F79" w:rsidRDefault="00E16B8D" w:rsidP="00FF22AA">
      <w:pPr>
        <w:pStyle w:val="Odsekzoznamu"/>
        <w:numPr>
          <w:ilvl w:val="0"/>
          <w:numId w:val="20"/>
        </w:numPr>
        <w:spacing w:line="276" w:lineRule="auto"/>
        <w:jc w:val="both"/>
        <w:rPr>
          <w:rFonts w:ascii="Calibri" w:hAnsi="Calibri" w:cs="Arial"/>
          <w:color w:val="000000" w:themeColor="text1"/>
          <w:lang w:val="sk-SK"/>
        </w:rPr>
      </w:pPr>
      <w:r w:rsidRPr="00622F79">
        <w:rPr>
          <w:rFonts w:ascii="Calibri" w:hAnsi="Calibri" w:cs="Arial"/>
          <w:color w:val="000000" w:themeColor="text1"/>
          <w:lang w:val="sk-SK"/>
        </w:rPr>
        <w:t>d</w:t>
      </w:r>
      <w:r w:rsidR="00B80601" w:rsidRPr="00622F79">
        <w:rPr>
          <w:rFonts w:ascii="Calibri" w:hAnsi="Calibri" w:cs="Arial"/>
          <w:color w:val="000000" w:themeColor="text1"/>
          <w:lang w:val="sk-SK"/>
        </w:rPr>
        <w:t>održiavanie zákonov a</w:t>
      </w:r>
      <w:r w:rsidR="003C5640" w:rsidRPr="00622F79">
        <w:rPr>
          <w:rFonts w:ascii="Calibri" w:hAnsi="Calibri" w:cs="Arial"/>
          <w:color w:val="000000" w:themeColor="text1"/>
          <w:lang w:val="sk-SK"/>
        </w:rPr>
        <w:t xml:space="preserve"> ostatných </w:t>
      </w:r>
      <w:r w:rsidR="00B80601" w:rsidRPr="00622F79">
        <w:rPr>
          <w:rFonts w:ascii="Calibri" w:hAnsi="Calibri" w:cs="Arial"/>
          <w:color w:val="000000" w:themeColor="text1"/>
          <w:lang w:val="sk-SK"/>
        </w:rPr>
        <w:t>všeob</w:t>
      </w:r>
      <w:r w:rsidR="00254D66" w:rsidRPr="00622F79">
        <w:rPr>
          <w:rFonts w:ascii="Calibri" w:hAnsi="Calibri" w:cs="Arial"/>
          <w:color w:val="000000" w:themeColor="text1"/>
          <w:lang w:val="sk-SK"/>
        </w:rPr>
        <w:t>e</w:t>
      </w:r>
      <w:r w:rsidR="00B80601" w:rsidRPr="00622F79">
        <w:rPr>
          <w:rFonts w:ascii="Calibri" w:hAnsi="Calibri" w:cs="Arial"/>
          <w:color w:val="000000" w:themeColor="text1"/>
          <w:lang w:val="sk-SK"/>
        </w:rPr>
        <w:t>cne záväzných právnych predpisov</w:t>
      </w:r>
      <w:r w:rsidR="003C5640" w:rsidRPr="00622F79">
        <w:rPr>
          <w:rFonts w:ascii="Calibri" w:hAnsi="Calibri" w:cs="Arial"/>
          <w:color w:val="000000" w:themeColor="text1"/>
          <w:lang w:val="sk-SK"/>
        </w:rPr>
        <w:t xml:space="preserve"> a interných </w:t>
      </w:r>
      <w:r w:rsidR="001E4AF7" w:rsidRPr="00622F79">
        <w:rPr>
          <w:rFonts w:ascii="Calibri" w:hAnsi="Calibri" w:cs="Arial"/>
          <w:color w:val="000000" w:themeColor="text1"/>
          <w:lang w:val="sk-SK"/>
        </w:rPr>
        <w:t>predpisov STU,</w:t>
      </w:r>
    </w:p>
    <w:p w14:paraId="15FB23EB" w14:textId="77777777" w:rsidR="00DA7F63" w:rsidRPr="00622F79" w:rsidRDefault="00E16B8D" w:rsidP="00FF22AA">
      <w:pPr>
        <w:pStyle w:val="Odsekzoznamu"/>
        <w:numPr>
          <w:ilvl w:val="0"/>
          <w:numId w:val="20"/>
        </w:numPr>
        <w:spacing w:line="276" w:lineRule="auto"/>
        <w:jc w:val="both"/>
        <w:rPr>
          <w:rFonts w:ascii="Calibri" w:hAnsi="Calibri" w:cs="Arial"/>
          <w:color w:val="000000" w:themeColor="text1"/>
          <w:lang w:val="sk-SK"/>
        </w:rPr>
      </w:pPr>
      <w:r w:rsidRPr="00622F79">
        <w:rPr>
          <w:rFonts w:ascii="Calibri" w:hAnsi="Calibri" w:cs="Arial"/>
          <w:color w:val="000000" w:themeColor="text1"/>
          <w:lang w:val="sk-SK"/>
        </w:rPr>
        <w:t>h</w:t>
      </w:r>
      <w:r w:rsidR="00254D66" w:rsidRPr="00622F79">
        <w:rPr>
          <w:rFonts w:ascii="Calibri" w:hAnsi="Calibri" w:cs="Arial"/>
          <w:color w:val="000000" w:themeColor="text1"/>
          <w:lang w:val="sk-SK"/>
        </w:rPr>
        <w:t xml:space="preserve">ospodárenie s finančnými prostriedkami a za </w:t>
      </w:r>
      <w:r w:rsidR="00DA7F63" w:rsidRPr="00622F79">
        <w:rPr>
          <w:rFonts w:ascii="Calibri" w:hAnsi="Calibri" w:cs="Arial"/>
          <w:color w:val="000000" w:themeColor="text1"/>
          <w:lang w:val="sk-SK"/>
        </w:rPr>
        <w:t>nakladanie so zvereným majetkom,</w:t>
      </w:r>
    </w:p>
    <w:p w14:paraId="5E9DA751" w14:textId="77777777" w:rsidR="00FE1F87" w:rsidRPr="00622F79" w:rsidRDefault="00E16B8D" w:rsidP="00FF22AA">
      <w:pPr>
        <w:pStyle w:val="Odsekzoznamu"/>
        <w:numPr>
          <w:ilvl w:val="0"/>
          <w:numId w:val="20"/>
        </w:numPr>
        <w:spacing w:line="276" w:lineRule="auto"/>
        <w:jc w:val="both"/>
        <w:rPr>
          <w:rFonts w:ascii="Calibri" w:hAnsi="Calibri" w:cs="Arial"/>
          <w:color w:val="000000" w:themeColor="text1"/>
          <w:lang w:val="sk-SK"/>
        </w:rPr>
      </w:pPr>
      <w:r w:rsidRPr="00622F79">
        <w:rPr>
          <w:rFonts w:ascii="Calibri" w:hAnsi="Calibri" w:cs="Arial"/>
          <w:color w:val="000000" w:themeColor="text1"/>
          <w:lang w:val="sk-SK"/>
        </w:rPr>
        <w:t>h</w:t>
      </w:r>
      <w:r w:rsidR="00254D66" w:rsidRPr="00622F79">
        <w:rPr>
          <w:rFonts w:ascii="Calibri" w:hAnsi="Calibri" w:cs="Arial"/>
          <w:color w:val="000000" w:themeColor="text1"/>
          <w:lang w:val="sk-SK"/>
        </w:rPr>
        <w:t>ospodárenie a efektívne poskytovan</w:t>
      </w:r>
      <w:r w:rsidR="00B8111A" w:rsidRPr="00622F79">
        <w:rPr>
          <w:rFonts w:ascii="Calibri" w:hAnsi="Calibri" w:cs="Arial"/>
          <w:color w:val="000000" w:themeColor="text1"/>
          <w:lang w:val="sk-SK"/>
        </w:rPr>
        <w:t>ie služieb v súlade s poslaním P</w:t>
      </w:r>
      <w:r w:rsidR="00254D66" w:rsidRPr="00622F79">
        <w:rPr>
          <w:rFonts w:ascii="Calibri" w:hAnsi="Calibri" w:cs="Arial"/>
          <w:color w:val="000000" w:themeColor="text1"/>
          <w:lang w:val="sk-SK"/>
        </w:rPr>
        <w:t>C STU</w:t>
      </w:r>
      <w:r w:rsidR="00FE1F87" w:rsidRPr="00622F79">
        <w:rPr>
          <w:rFonts w:ascii="Calibri" w:hAnsi="Calibri" w:cs="Arial"/>
          <w:color w:val="000000" w:themeColor="text1"/>
          <w:lang w:val="sk-SK"/>
        </w:rPr>
        <w:t>.</w:t>
      </w:r>
    </w:p>
    <w:p w14:paraId="6128AA10" w14:textId="77777777" w:rsidR="00DA7F63" w:rsidRPr="00622F79" w:rsidRDefault="00DA7F63" w:rsidP="00FF22AA">
      <w:pPr>
        <w:pStyle w:val="Odsekzoznamu"/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Arial"/>
          <w:color w:val="000000" w:themeColor="text1"/>
          <w:lang w:val="sk-SK"/>
        </w:rPr>
      </w:pPr>
      <w:r w:rsidRPr="00622F79">
        <w:rPr>
          <w:rFonts w:ascii="Calibri" w:hAnsi="Calibri" w:cs="Arial"/>
          <w:color w:val="000000" w:themeColor="text1"/>
          <w:lang w:val="sk-SK"/>
        </w:rPr>
        <w:lastRenderedPageBreak/>
        <w:t xml:space="preserve">Činnosť PC STU je zabezpečovaná </w:t>
      </w:r>
      <w:r w:rsidR="002B72BA">
        <w:rPr>
          <w:rFonts w:ascii="Calibri" w:hAnsi="Calibri" w:cs="Arial"/>
          <w:color w:val="000000" w:themeColor="text1"/>
          <w:lang w:val="sk-SK"/>
        </w:rPr>
        <w:t xml:space="preserve">univerzitným </w:t>
      </w:r>
      <w:r w:rsidRPr="00622F79">
        <w:rPr>
          <w:rFonts w:ascii="Calibri" w:hAnsi="Calibri" w:cs="Arial"/>
          <w:color w:val="000000" w:themeColor="text1"/>
          <w:lang w:val="sk-SK"/>
        </w:rPr>
        <w:t>koordinátorom pre študentov so špecifickými potrebami na STU (ďalej len „koordinátor“) a odbornými zamestnancami v</w:t>
      </w:r>
      <w:r w:rsidR="00212567" w:rsidRPr="00622F79">
        <w:rPr>
          <w:rFonts w:ascii="Calibri" w:hAnsi="Calibri" w:cs="Arial"/>
          <w:color w:val="000000" w:themeColor="text1"/>
          <w:lang w:val="sk-SK"/>
        </w:rPr>
        <w:t> </w:t>
      </w:r>
      <w:r w:rsidRPr="00622F79">
        <w:rPr>
          <w:rFonts w:ascii="Calibri" w:hAnsi="Calibri" w:cs="Arial"/>
          <w:color w:val="000000" w:themeColor="text1"/>
          <w:lang w:val="sk-SK"/>
        </w:rPr>
        <w:t>oblasti špeciálnej alebo liečebnej pedagogiky, psychológie, ako aj bezbariérovej tvorby prostredia a informačno-komunikačných a asistenčných technológií.</w:t>
      </w:r>
    </w:p>
    <w:p w14:paraId="70110745" w14:textId="208C3D6E" w:rsidR="00BD1795" w:rsidRPr="00622F79" w:rsidRDefault="00BD1795" w:rsidP="00FF22AA">
      <w:pPr>
        <w:pStyle w:val="Odsekzoznamu"/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Arial"/>
          <w:color w:val="000000" w:themeColor="text1"/>
          <w:lang w:val="sk-SK"/>
        </w:rPr>
      </w:pPr>
      <w:r w:rsidRPr="00622F79">
        <w:rPr>
          <w:rFonts w:ascii="Calibri" w:hAnsi="Calibri" w:cs="Arial"/>
          <w:color w:val="000000" w:themeColor="text1"/>
          <w:lang w:val="sk-SK"/>
        </w:rPr>
        <w:t>Pôsobnosť koordinátora je upravená osobitným interným predpisom STU</w:t>
      </w:r>
      <w:r w:rsidRPr="00622F79">
        <w:rPr>
          <w:rStyle w:val="Odkaznapoznmkupodiarou"/>
          <w:rFonts w:ascii="Calibri" w:hAnsi="Calibri" w:cs="Arial"/>
          <w:color w:val="000000" w:themeColor="text1"/>
          <w:lang w:val="sk-SK"/>
        </w:rPr>
        <w:footnoteReference w:id="4"/>
      </w:r>
      <w:r w:rsidRPr="00622F79">
        <w:rPr>
          <w:rFonts w:ascii="Calibri" w:hAnsi="Calibri" w:cs="Arial"/>
          <w:color w:val="000000" w:themeColor="text1"/>
          <w:lang w:val="sk-SK"/>
        </w:rPr>
        <w:t>.</w:t>
      </w:r>
    </w:p>
    <w:p w14:paraId="5850CBA4" w14:textId="65921A80" w:rsidR="00DA7F63" w:rsidRPr="00622F79" w:rsidRDefault="00813B80" w:rsidP="00FF22AA">
      <w:pPr>
        <w:pStyle w:val="Odsekzoznamu"/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Arial"/>
          <w:color w:val="000000" w:themeColor="text1"/>
          <w:lang w:val="sk-SK"/>
        </w:rPr>
      </w:pPr>
      <w:r>
        <w:rPr>
          <w:rFonts w:ascii="Calibri" w:hAnsi="Calibri" w:cs="Arial"/>
          <w:color w:val="000000" w:themeColor="text1"/>
          <w:lang w:val="sk-SK"/>
        </w:rPr>
        <w:t xml:space="preserve">Funkciu </w:t>
      </w:r>
      <w:r w:rsidR="00DA7F63" w:rsidRPr="00622F79">
        <w:rPr>
          <w:rFonts w:ascii="Calibri" w:hAnsi="Calibri" w:cs="Arial"/>
          <w:color w:val="000000" w:themeColor="text1"/>
          <w:lang w:val="sk-SK"/>
        </w:rPr>
        <w:t xml:space="preserve">koordinátora môže vykonávať aj </w:t>
      </w:r>
      <w:r w:rsidR="00DA7F63" w:rsidRPr="00813B80">
        <w:rPr>
          <w:rFonts w:ascii="Calibri" w:hAnsi="Calibri" w:cs="Arial"/>
          <w:color w:val="000000" w:themeColor="text1"/>
          <w:lang w:val="sk-SK"/>
        </w:rPr>
        <w:t>vedúci PC STU</w:t>
      </w:r>
      <w:r w:rsidR="00DA7F63" w:rsidRPr="00622F79">
        <w:rPr>
          <w:rFonts w:ascii="Calibri" w:hAnsi="Calibri" w:cs="Arial"/>
          <w:color w:val="000000" w:themeColor="text1"/>
          <w:lang w:val="sk-SK"/>
        </w:rPr>
        <w:t>.</w:t>
      </w:r>
    </w:p>
    <w:p w14:paraId="77D01AF0" w14:textId="7BD74566" w:rsidR="00B80601" w:rsidRPr="008059F0" w:rsidRDefault="00813B80" w:rsidP="00FF22AA">
      <w:pPr>
        <w:pStyle w:val="Odsekzoznamu"/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Arial"/>
          <w:color w:val="000000" w:themeColor="text1"/>
          <w:lang w:val="sk-SK"/>
        </w:rPr>
      </w:pPr>
      <w:r w:rsidRPr="00622F79">
        <w:rPr>
          <w:rFonts w:ascii="Calibri" w:hAnsi="Calibri" w:cs="Arial"/>
          <w:color w:val="000000" w:themeColor="text1"/>
          <w:lang w:val="sk-SK"/>
        </w:rPr>
        <w:t>K</w:t>
      </w:r>
      <w:r w:rsidR="00DA7F63" w:rsidRPr="00622F79">
        <w:rPr>
          <w:rFonts w:ascii="Calibri" w:hAnsi="Calibri" w:cs="Arial"/>
          <w:color w:val="000000" w:themeColor="text1"/>
          <w:lang w:val="sk-SK"/>
        </w:rPr>
        <w:t>oordinátor metodicky riadi a koordinuje činnosť fakultných koordinátorov.</w:t>
      </w:r>
    </w:p>
    <w:p w14:paraId="05A65B9B" w14:textId="001280DA" w:rsidR="00DA7F63" w:rsidRDefault="00DA7F63" w:rsidP="00FF22AA">
      <w:pPr>
        <w:spacing w:line="276" w:lineRule="auto"/>
        <w:rPr>
          <w:rFonts w:ascii="Calibri" w:hAnsi="Calibri" w:cs="Arial"/>
          <w:color w:val="000000" w:themeColor="text1"/>
          <w:lang w:val="sk-SK"/>
        </w:rPr>
      </w:pPr>
    </w:p>
    <w:p w14:paraId="60E5EA0F" w14:textId="77777777" w:rsidR="008059F0" w:rsidRPr="00622F79" w:rsidRDefault="008059F0" w:rsidP="00FF22AA">
      <w:pPr>
        <w:spacing w:line="276" w:lineRule="auto"/>
        <w:rPr>
          <w:rFonts w:ascii="Calibri" w:hAnsi="Calibri" w:cs="Arial"/>
          <w:color w:val="000000" w:themeColor="text1"/>
          <w:lang w:val="sk-SK"/>
        </w:rPr>
      </w:pPr>
    </w:p>
    <w:p w14:paraId="5A150ADF" w14:textId="77777777" w:rsidR="0053738C" w:rsidRPr="00622F79" w:rsidRDefault="0053738C" w:rsidP="00FF22AA">
      <w:pPr>
        <w:spacing w:line="276" w:lineRule="auto"/>
        <w:jc w:val="center"/>
        <w:rPr>
          <w:rFonts w:ascii="Calibri" w:hAnsi="Calibri" w:cs="Arial"/>
          <w:b/>
          <w:color w:val="000000" w:themeColor="text1"/>
          <w:lang w:val="sk-SK"/>
        </w:rPr>
      </w:pPr>
      <w:r w:rsidRPr="00622F79">
        <w:rPr>
          <w:rFonts w:ascii="Calibri" w:hAnsi="Calibri" w:cs="Arial"/>
          <w:b/>
          <w:color w:val="000000" w:themeColor="text1"/>
          <w:lang w:val="sk-SK"/>
        </w:rPr>
        <w:t>Článok 4</w:t>
      </w:r>
    </w:p>
    <w:p w14:paraId="744EE460" w14:textId="77777777" w:rsidR="0053738C" w:rsidRPr="00622F79" w:rsidRDefault="0075427D" w:rsidP="00FF22AA">
      <w:pPr>
        <w:spacing w:line="276" w:lineRule="auto"/>
        <w:jc w:val="center"/>
        <w:rPr>
          <w:rFonts w:ascii="Calibri" w:hAnsi="Calibri" w:cs="Arial"/>
          <w:b/>
          <w:color w:val="000000" w:themeColor="text1"/>
          <w:lang w:val="sk-SK"/>
        </w:rPr>
      </w:pPr>
      <w:r w:rsidRPr="00622F79">
        <w:rPr>
          <w:rFonts w:ascii="Calibri" w:hAnsi="Calibri" w:cs="Arial"/>
          <w:b/>
          <w:color w:val="000000" w:themeColor="text1"/>
          <w:lang w:val="sk-SK"/>
        </w:rPr>
        <w:t>Hospodárenie a finančné zabezpečenie PC STU</w:t>
      </w:r>
    </w:p>
    <w:p w14:paraId="119C2F23" w14:textId="77777777" w:rsidR="008C0D63" w:rsidRPr="00622F79" w:rsidRDefault="008C0D63" w:rsidP="00FF22AA">
      <w:pPr>
        <w:spacing w:line="276" w:lineRule="auto"/>
        <w:jc w:val="both"/>
        <w:rPr>
          <w:rFonts w:ascii="Calibri" w:hAnsi="Calibri" w:cs="Arial"/>
          <w:color w:val="000000" w:themeColor="text1"/>
          <w:lang w:val="sk-SK"/>
        </w:rPr>
      </w:pPr>
    </w:p>
    <w:p w14:paraId="2FC919B9" w14:textId="77777777" w:rsidR="00E31864" w:rsidRPr="00622F79" w:rsidRDefault="0075427D" w:rsidP="00FF22AA">
      <w:pPr>
        <w:pStyle w:val="Odsekzoznamu"/>
        <w:numPr>
          <w:ilvl w:val="0"/>
          <w:numId w:val="7"/>
        </w:numPr>
        <w:spacing w:line="276" w:lineRule="auto"/>
        <w:ind w:left="426" w:hanging="426"/>
        <w:jc w:val="both"/>
        <w:rPr>
          <w:rFonts w:ascii="Calibri" w:hAnsi="Calibri" w:cs="Arial"/>
          <w:color w:val="000000" w:themeColor="text1"/>
          <w:lang w:val="sk-SK"/>
        </w:rPr>
      </w:pPr>
      <w:r w:rsidRPr="00622F79">
        <w:rPr>
          <w:rFonts w:ascii="Calibri" w:hAnsi="Calibri" w:cs="Arial"/>
          <w:color w:val="000000" w:themeColor="text1"/>
          <w:lang w:val="sk-SK"/>
        </w:rPr>
        <w:t>PC STU je centrálne financovanou súčasťou STU</w:t>
      </w:r>
      <w:r w:rsidRPr="00622F79">
        <w:rPr>
          <w:rStyle w:val="Odkaznapoznmkupodiarou"/>
          <w:rFonts w:ascii="Calibri" w:hAnsi="Calibri" w:cs="Arial"/>
          <w:color w:val="000000" w:themeColor="text1"/>
          <w:lang w:val="sk-SK"/>
        </w:rPr>
        <w:footnoteReference w:id="5"/>
      </w:r>
      <w:r w:rsidRPr="00622F79">
        <w:rPr>
          <w:rFonts w:ascii="Calibri" w:hAnsi="Calibri" w:cs="Arial"/>
          <w:color w:val="000000" w:themeColor="text1"/>
          <w:lang w:val="sk-SK"/>
        </w:rPr>
        <w:t>.</w:t>
      </w:r>
    </w:p>
    <w:p w14:paraId="1F6B2364" w14:textId="483E0EE3" w:rsidR="00E31864" w:rsidRDefault="00E31864" w:rsidP="00BE2E05">
      <w:pPr>
        <w:pStyle w:val="Odsekzoznamu"/>
        <w:numPr>
          <w:ilvl w:val="0"/>
          <w:numId w:val="7"/>
        </w:numPr>
        <w:spacing w:line="276" w:lineRule="auto"/>
        <w:ind w:left="426" w:hanging="426"/>
        <w:jc w:val="both"/>
        <w:rPr>
          <w:rFonts w:ascii="Calibri" w:hAnsi="Calibri" w:cs="Arial"/>
          <w:color w:val="000000" w:themeColor="text1"/>
          <w:lang w:val="sk-SK"/>
        </w:rPr>
      </w:pPr>
      <w:r w:rsidRPr="00622F79">
        <w:rPr>
          <w:rFonts w:ascii="Calibri" w:hAnsi="Calibri" w:cs="Arial"/>
          <w:color w:val="000000" w:themeColor="text1"/>
          <w:lang w:val="sk-SK"/>
        </w:rPr>
        <w:t>PC STU je financované spôso</w:t>
      </w:r>
      <w:r w:rsidR="00BE2E05">
        <w:rPr>
          <w:rFonts w:ascii="Calibri" w:hAnsi="Calibri" w:cs="Arial"/>
          <w:color w:val="000000" w:themeColor="text1"/>
          <w:lang w:val="sk-SK"/>
        </w:rPr>
        <w:t xml:space="preserve">bom viaczdrojového financovania, ktorého základ tvorí </w:t>
      </w:r>
      <w:r w:rsidRPr="00BE2E05">
        <w:rPr>
          <w:rFonts w:ascii="Calibri" w:hAnsi="Calibri" w:cs="Arial"/>
          <w:color w:val="000000" w:themeColor="text1"/>
          <w:lang w:val="sk-SK"/>
        </w:rPr>
        <w:t>účelov</w:t>
      </w:r>
      <w:r w:rsidR="00BE2E05">
        <w:rPr>
          <w:rFonts w:ascii="Calibri" w:hAnsi="Calibri" w:cs="Arial"/>
          <w:color w:val="000000" w:themeColor="text1"/>
          <w:lang w:val="sk-SK"/>
        </w:rPr>
        <w:t>á</w:t>
      </w:r>
      <w:r w:rsidRPr="00BE2E05">
        <w:rPr>
          <w:rFonts w:ascii="Calibri" w:hAnsi="Calibri" w:cs="Arial"/>
          <w:color w:val="000000" w:themeColor="text1"/>
          <w:lang w:val="sk-SK"/>
        </w:rPr>
        <w:t xml:space="preserve"> dotáci</w:t>
      </w:r>
      <w:r w:rsidR="00BE2E05">
        <w:rPr>
          <w:rFonts w:ascii="Calibri" w:hAnsi="Calibri" w:cs="Arial"/>
          <w:color w:val="000000" w:themeColor="text1"/>
          <w:lang w:val="sk-SK"/>
        </w:rPr>
        <w:t>a</w:t>
      </w:r>
      <w:r w:rsidRPr="00BE2E05">
        <w:rPr>
          <w:rFonts w:ascii="Calibri" w:hAnsi="Calibri" w:cs="Arial"/>
          <w:color w:val="000000" w:themeColor="text1"/>
          <w:lang w:val="sk-SK"/>
        </w:rPr>
        <w:t xml:space="preserve"> Ministerstva školstva, vedy, výskumu a športu Slovenskej republiky na podporu štud</w:t>
      </w:r>
      <w:r w:rsidR="00BE2E05">
        <w:rPr>
          <w:rFonts w:ascii="Calibri" w:hAnsi="Calibri" w:cs="Arial"/>
          <w:color w:val="000000" w:themeColor="text1"/>
          <w:lang w:val="sk-SK"/>
        </w:rPr>
        <w:t>entov so špecifickými potrebami.</w:t>
      </w:r>
    </w:p>
    <w:p w14:paraId="0FCE065D" w14:textId="3E1141B5" w:rsidR="00BE2E05" w:rsidRPr="00BE2E05" w:rsidRDefault="00BE2E05" w:rsidP="00BE2E05">
      <w:pPr>
        <w:pStyle w:val="Odsekzoznamu"/>
        <w:spacing w:line="276" w:lineRule="auto"/>
        <w:ind w:left="426"/>
        <w:jc w:val="both"/>
        <w:rPr>
          <w:rFonts w:ascii="Calibri" w:hAnsi="Calibri" w:cs="Arial"/>
          <w:color w:val="000000" w:themeColor="text1"/>
          <w:lang w:val="sk-SK"/>
        </w:rPr>
      </w:pPr>
      <w:r>
        <w:rPr>
          <w:rFonts w:ascii="Calibri" w:hAnsi="Calibri" w:cs="Arial"/>
          <w:color w:val="000000" w:themeColor="text1"/>
          <w:lang w:val="sk-SK"/>
        </w:rPr>
        <w:t xml:space="preserve">Ďalšími zdrojmi </w:t>
      </w:r>
      <w:proofErr w:type="spellStart"/>
      <w:r>
        <w:rPr>
          <w:rFonts w:ascii="Calibri" w:hAnsi="Calibri" w:cs="Arial"/>
          <w:color w:val="000000" w:themeColor="text1"/>
          <w:lang w:val="sk-SK"/>
        </w:rPr>
        <w:t>finacovania</w:t>
      </w:r>
      <w:proofErr w:type="spellEnd"/>
      <w:r>
        <w:rPr>
          <w:rFonts w:ascii="Calibri" w:hAnsi="Calibri" w:cs="Arial"/>
          <w:color w:val="000000" w:themeColor="text1"/>
          <w:lang w:val="sk-SK"/>
        </w:rPr>
        <w:t xml:space="preserve"> PC STU sú:</w:t>
      </w:r>
    </w:p>
    <w:p w14:paraId="6C39751D" w14:textId="21973C42" w:rsidR="00E31864" w:rsidRPr="00622F79" w:rsidRDefault="00E31864" w:rsidP="00FF22AA">
      <w:pPr>
        <w:pStyle w:val="Odsekzoznamu"/>
        <w:numPr>
          <w:ilvl w:val="0"/>
          <w:numId w:val="21"/>
        </w:numPr>
        <w:spacing w:line="276" w:lineRule="auto"/>
        <w:jc w:val="both"/>
        <w:rPr>
          <w:rFonts w:ascii="Calibri" w:hAnsi="Calibri" w:cs="Arial"/>
          <w:color w:val="000000" w:themeColor="text1"/>
          <w:lang w:val="sk-SK"/>
        </w:rPr>
      </w:pPr>
      <w:r w:rsidRPr="00622F79">
        <w:rPr>
          <w:rFonts w:ascii="Calibri" w:hAnsi="Calibri" w:cs="Arial"/>
          <w:color w:val="000000" w:themeColor="text1"/>
          <w:lang w:val="sk-SK"/>
        </w:rPr>
        <w:t>Fond na podporu štúdia študentov so špecifickými potrebami</w:t>
      </w:r>
      <w:r w:rsidR="00310AC8">
        <w:rPr>
          <w:rFonts w:ascii="Calibri" w:hAnsi="Calibri" w:cs="Arial"/>
          <w:color w:val="000000" w:themeColor="text1"/>
          <w:lang w:val="sk-SK"/>
        </w:rPr>
        <w:t xml:space="preserve"> (ďalej len „fond“)</w:t>
      </w:r>
      <w:r w:rsidRPr="00622F79">
        <w:rPr>
          <w:rFonts w:ascii="Calibri" w:hAnsi="Calibri" w:cs="Arial"/>
          <w:color w:val="000000" w:themeColor="text1"/>
          <w:lang w:val="sk-SK"/>
        </w:rPr>
        <w:t xml:space="preserve">, ktorý je tvorený </w:t>
      </w:r>
      <w:r w:rsidR="00201345">
        <w:rPr>
          <w:rFonts w:ascii="Calibri" w:hAnsi="Calibri" w:cs="Arial"/>
          <w:color w:val="000000" w:themeColor="text1"/>
          <w:lang w:val="sk-SK"/>
        </w:rPr>
        <w:t xml:space="preserve">najmä </w:t>
      </w:r>
      <w:r w:rsidRPr="00622F79">
        <w:rPr>
          <w:rFonts w:ascii="Calibri" w:hAnsi="Calibri" w:cs="Arial"/>
          <w:color w:val="000000" w:themeColor="text1"/>
          <w:lang w:val="sk-SK"/>
        </w:rPr>
        <w:t>zo školného:</w:t>
      </w:r>
    </w:p>
    <w:p w14:paraId="734EC5CE" w14:textId="41C0C8CF" w:rsidR="00E31864" w:rsidRPr="00622F79" w:rsidRDefault="00E31864" w:rsidP="00FF22AA">
      <w:pPr>
        <w:pStyle w:val="Odsekzoznamu"/>
        <w:numPr>
          <w:ilvl w:val="0"/>
          <w:numId w:val="23"/>
        </w:numPr>
        <w:spacing w:line="276" w:lineRule="auto"/>
        <w:jc w:val="both"/>
        <w:rPr>
          <w:rFonts w:ascii="Calibri" w:hAnsi="Calibri" w:cs="Arial"/>
          <w:color w:val="000000" w:themeColor="text1"/>
          <w:lang w:val="sk-SK"/>
        </w:rPr>
      </w:pPr>
      <w:r w:rsidRPr="00622F79">
        <w:rPr>
          <w:rFonts w:ascii="Calibri" w:hAnsi="Calibri" w:cs="Arial"/>
          <w:color w:val="000000" w:themeColor="text1"/>
          <w:lang w:val="sk-SK"/>
        </w:rPr>
        <w:t>za externé štúdium</w:t>
      </w:r>
      <w:r w:rsidR="00813B80">
        <w:rPr>
          <w:rFonts w:ascii="Calibri" w:hAnsi="Calibri" w:cs="Arial"/>
          <w:color w:val="000000" w:themeColor="text1"/>
          <w:lang w:val="sk-SK"/>
        </w:rPr>
        <w:t xml:space="preserve"> počas štandardnej dĺžky štúdia</w:t>
      </w:r>
      <w:r w:rsidRPr="00622F79">
        <w:rPr>
          <w:rFonts w:ascii="Calibri" w:hAnsi="Calibri" w:cs="Arial"/>
          <w:color w:val="000000" w:themeColor="text1"/>
          <w:lang w:val="sk-SK"/>
        </w:rPr>
        <w:t>,</w:t>
      </w:r>
    </w:p>
    <w:p w14:paraId="30075BCF" w14:textId="77777777" w:rsidR="00E31864" w:rsidRPr="00622F79" w:rsidRDefault="00E31864" w:rsidP="00FF22AA">
      <w:pPr>
        <w:pStyle w:val="Odsekzoznamu"/>
        <w:numPr>
          <w:ilvl w:val="0"/>
          <w:numId w:val="23"/>
        </w:numPr>
        <w:spacing w:line="276" w:lineRule="auto"/>
        <w:jc w:val="both"/>
        <w:rPr>
          <w:rFonts w:ascii="Calibri" w:hAnsi="Calibri" w:cs="Arial"/>
          <w:color w:val="000000" w:themeColor="text1"/>
          <w:lang w:val="sk-SK"/>
        </w:rPr>
      </w:pPr>
      <w:r w:rsidRPr="00622F79">
        <w:rPr>
          <w:rFonts w:ascii="Calibri" w:hAnsi="Calibri" w:cs="Arial"/>
          <w:color w:val="000000" w:themeColor="text1"/>
          <w:lang w:val="sk-SK"/>
        </w:rPr>
        <w:t>za externé štúdium po prekročení štandardnej dĺžky štúdia,</w:t>
      </w:r>
    </w:p>
    <w:p w14:paraId="2559E44D" w14:textId="25B84F97" w:rsidR="00E31864" w:rsidRPr="00622F79" w:rsidRDefault="00E31864" w:rsidP="00FF22AA">
      <w:pPr>
        <w:pStyle w:val="Odsekzoznamu"/>
        <w:numPr>
          <w:ilvl w:val="0"/>
          <w:numId w:val="23"/>
        </w:numPr>
        <w:spacing w:line="276" w:lineRule="auto"/>
        <w:jc w:val="both"/>
        <w:rPr>
          <w:rFonts w:ascii="Calibri" w:hAnsi="Calibri" w:cs="Arial"/>
          <w:color w:val="000000" w:themeColor="text1"/>
          <w:lang w:val="sk-SK"/>
        </w:rPr>
      </w:pPr>
      <w:r w:rsidRPr="00622F79">
        <w:rPr>
          <w:rFonts w:ascii="Calibri" w:hAnsi="Calibri" w:cs="Arial"/>
          <w:color w:val="000000" w:themeColor="text1"/>
          <w:lang w:val="sk-SK"/>
        </w:rPr>
        <w:t xml:space="preserve">za </w:t>
      </w:r>
      <w:r w:rsidR="003035A6">
        <w:rPr>
          <w:rFonts w:ascii="Calibri" w:hAnsi="Calibri" w:cs="Arial"/>
          <w:color w:val="000000" w:themeColor="text1"/>
          <w:lang w:val="sk-SK"/>
        </w:rPr>
        <w:t>denn</w:t>
      </w:r>
      <w:r w:rsidR="000E733B">
        <w:rPr>
          <w:rFonts w:ascii="Calibri" w:hAnsi="Calibri" w:cs="Arial"/>
          <w:color w:val="000000" w:themeColor="text1"/>
          <w:lang w:val="sk-SK"/>
        </w:rPr>
        <w:t>é</w:t>
      </w:r>
      <w:r w:rsidR="003035A6">
        <w:rPr>
          <w:rFonts w:ascii="Calibri" w:hAnsi="Calibri" w:cs="Arial"/>
          <w:color w:val="000000" w:themeColor="text1"/>
          <w:lang w:val="sk-SK"/>
        </w:rPr>
        <w:t xml:space="preserve"> štúdium po prekročení štandardnej dĺžky št</w:t>
      </w:r>
      <w:r w:rsidR="004A4182">
        <w:rPr>
          <w:rFonts w:ascii="Calibri" w:hAnsi="Calibri" w:cs="Arial"/>
          <w:color w:val="000000" w:themeColor="text1"/>
          <w:lang w:val="sk-SK"/>
        </w:rPr>
        <w:t>údia</w:t>
      </w:r>
      <w:r w:rsidRPr="00622F79">
        <w:rPr>
          <w:rFonts w:ascii="Calibri" w:hAnsi="Calibri" w:cs="Arial"/>
          <w:color w:val="000000" w:themeColor="text1"/>
          <w:lang w:val="sk-SK"/>
        </w:rPr>
        <w:t>,</w:t>
      </w:r>
    </w:p>
    <w:p w14:paraId="0498181F" w14:textId="77546C4A" w:rsidR="00E31864" w:rsidRPr="00622F79" w:rsidRDefault="00E31864" w:rsidP="00FF22AA">
      <w:pPr>
        <w:pStyle w:val="Odsekzoznamu"/>
        <w:numPr>
          <w:ilvl w:val="0"/>
          <w:numId w:val="23"/>
        </w:numPr>
        <w:spacing w:line="276" w:lineRule="auto"/>
        <w:jc w:val="both"/>
        <w:rPr>
          <w:rFonts w:ascii="Calibri" w:hAnsi="Calibri" w:cs="Arial"/>
          <w:color w:val="000000" w:themeColor="text1"/>
          <w:lang w:val="sk-SK"/>
        </w:rPr>
      </w:pPr>
      <w:r w:rsidRPr="00622F79">
        <w:rPr>
          <w:rFonts w:ascii="Calibri" w:hAnsi="Calibri" w:cs="Arial"/>
          <w:color w:val="000000" w:themeColor="text1"/>
          <w:lang w:val="sk-SK"/>
        </w:rPr>
        <w:t xml:space="preserve">za </w:t>
      </w:r>
      <w:r w:rsidR="004A4182">
        <w:rPr>
          <w:rFonts w:ascii="Calibri" w:hAnsi="Calibri" w:cs="Arial"/>
          <w:color w:val="000000" w:themeColor="text1"/>
          <w:lang w:val="sk-SK"/>
        </w:rPr>
        <w:t>denn</w:t>
      </w:r>
      <w:r w:rsidR="000E733B">
        <w:rPr>
          <w:rFonts w:ascii="Calibri" w:hAnsi="Calibri" w:cs="Arial"/>
          <w:color w:val="000000" w:themeColor="text1"/>
          <w:lang w:val="sk-SK"/>
        </w:rPr>
        <w:t>é</w:t>
      </w:r>
      <w:r w:rsidR="009C423E">
        <w:rPr>
          <w:rFonts w:ascii="Calibri" w:hAnsi="Calibri" w:cs="Arial"/>
          <w:color w:val="000000" w:themeColor="text1"/>
          <w:lang w:val="sk-SK"/>
        </w:rPr>
        <w:t xml:space="preserve"> štúdia</w:t>
      </w:r>
      <w:r w:rsidRPr="00622F79">
        <w:rPr>
          <w:rFonts w:ascii="Calibri" w:hAnsi="Calibri" w:cs="Arial"/>
          <w:color w:val="000000" w:themeColor="text1"/>
          <w:lang w:val="sk-SK"/>
        </w:rPr>
        <w:t xml:space="preserve"> </w:t>
      </w:r>
      <w:r w:rsidR="004A4182">
        <w:rPr>
          <w:rFonts w:ascii="Calibri" w:hAnsi="Calibri" w:cs="Arial"/>
          <w:color w:val="000000" w:themeColor="text1"/>
          <w:lang w:val="sk-SK"/>
        </w:rPr>
        <w:t xml:space="preserve">uskutočňované </w:t>
      </w:r>
      <w:r w:rsidR="00490D60">
        <w:rPr>
          <w:rFonts w:ascii="Calibri" w:hAnsi="Calibri" w:cs="Arial"/>
          <w:color w:val="000000" w:themeColor="text1"/>
          <w:lang w:val="sk-SK"/>
        </w:rPr>
        <w:t>výlučne</w:t>
      </w:r>
      <w:r w:rsidR="004A4182">
        <w:rPr>
          <w:rFonts w:ascii="Calibri" w:hAnsi="Calibri" w:cs="Arial"/>
          <w:color w:val="000000" w:themeColor="text1"/>
          <w:lang w:val="sk-SK"/>
        </w:rPr>
        <w:t xml:space="preserve"> </w:t>
      </w:r>
      <w:r w:rsidRPr="00622F79">
        <w:rPr>
          <w:rFonts w:ascii="Calibri" w:hAnsi="Calibri" w:cs="Arial"/>
          <w:color w:val="000000" w:themeColor="text1"/>
          <w:lang w:val="sk-SK"/>
        </w:rPr>
        <w:t>v inom ako štátnom jazyku,</w:t>
      </w:r>
    </w:p>
    <w:p w14:paraId="59E20EF0" w14:textId="77777777" w:rsidR="00E31864" w:rsidRPr="00622F79" w:rsidRDefault="00E31864" w:rsidP="00FF22AA">
      <w:pPr>
        <w:pStyle w:val="Odsekzoznamu"/>
        <w:numPr>
          <w:ilvl w:val="0"/>
          <w:numId w:val="23"/>
        </w:numPr>
        <w:spacing w:line="276" w:lineRule="auto"/>
        <w:jc w:val="both"/>
        <w:rPr>
          <w:rFonts w:ascii="Calibri" w:hAnsi="Calibri" w:cs="Arial"/>
          <w:color w:val="000000" w:themeColor="text1"/>
          <w:lang w:val="sk-SK"/>
        </w:rPr>
      </w:pPr>
      <w:r w:rsidRPr="00622F79">
        <w:rPr>
          <w:rFonts w:ascii="Calibri" w:hAnsi="Calibri" w:cs="Arial"/>
          <w:color w:val="000000" w:themeColor="text1"/>
          <w:lang w:val="sk-SK"/>
        </w:rPr>
        <w:t xml:space="preserve">za </w:t>
      </w:r>
      <w:r w:rsidR="00490D60">
        <w:rPr>
          <w:rFonts w:ascii="Calibri" w:hAnsi="Calibri" w:cs="Arial"/>
          <w:color w:val="000000" w:themeColor="text1"/>
          <w:lang w:val="sk-SK"/>
        </w:rPr>
        <w:t>denn</w:t>
      </w:r>
      <w:r w:rsidR="000E3A5D">
        <w:rPr>
          <w:rFonts w:ascii="Calibri" w:hAnsi="Calibri" w:cs="Arial"/>
          <w:color w:val="000000" w:themeColor="text1"/>
          <w:lang w:val="sk-SK"/>
        </w:rPr>
        <w:t>é</w:t>
      </w:r>
      <w:r w:rsidR="00490D60">
        <w:rPr>
          <w:rFonts w:ascii="Calibri" w:hAnsi="Calibri" w:cs="Arial"/>
          <w:color w:val="000000" w:themeColor="text1"/>
          <w:lang w:val="sk-SK"/>
        </w:rPr>
        <w:t xml:space="preserve"> </w:t>
      </w:r>
      <w:r w:rsidRPr="00622F79">
        <w:rPr>
          <w:rFonts w:ascii="Calibri" w:hAnsi="Calibri" w:cs="Arial"/>
          <w:color w:val="000000" w:themeColor="text1"/>
          <w:lang w:val="sk-SK"/>
        </w:rPr>
        <w:t>súbežné štúdium.</w:t>
      </w:r>
    </w:p>
    <w:p w14:paraId="5063F76F" w14:textId="4C470652" w:rsidR="00E31864" w:rsidRPr="00622F79" w:rsidRDefault="00E31864" w:rsidP="00FF22AA">
      <w:pPr>
        <w:pStyle w:val="Odsekzoznamu"/>
        <w:spacing w:line="276" w:lineRule="auto"/>
        <w:ind w:left="1146"/>
        <w:jc w:val="both"/>
        <w:rPr>
          <w:rFonts w:ascii="Calibri" w:hAnsi="Calibri" w:cs="Arial"/>
          <w:color w:val="000000" w:themeColor="text1"/>
          <w:lang w:val="sk-SK"/>
        </w:rPr>
      </w:pPr>
      <w:r w:rsidRPr="00622F79">
        <w:rPr>
          <w:rFonts w:ascii="Calibri" w:hAnsi="Calibri" w:cs="Arial"/>
          <w:color w:val="000000" w:themeColor="text1"/>
          <w:lang w:val="sk-SK"/>
        </w:rPr>
        <w:t xml:space="preserve">Výšku odvodu </w:t>
      </w:r>
      <w:r w:rsidR="00310AC8">
        <w:rPr>
          <w:rFonts w:ascii="Calibri" w:hAnsi="Calibri" w:cs="Arial"/>
          <w:color w:val="000000" w:themeColor="text1"/>
          <w:lang w:val="sk-SK"/>
        </w:rPr>
        <w:t xml:space="preserve">do fondu </w:t>
      </w:r>
      <w:r w:rsidRPr="00622F79">
        <w:rPr>
          <w:rFonts w:ascii="Calibri" w:hAnsi="Calibri" w:cs="Arial"/>
          <w:color w:val="000000" w:themeColor="text1"/>
          <w:lang w:val="sk-SK"/>
        </w:rPr>
        <w:t>zo školného každoročne určí rektor.</w:t>
      </w:r>
    </w:p>
    <w:p w14:paraId="26184CE5" w14:textId="6FE397B2" w:rsidR="00E31864" w:rsidRPr="00622F79" w:rsidRDefault="00E31864" w:rsidP="00FF22AA">
      <w:pPr>
        <w:pStyle w:val="Odsekzoznamu"/>
        <w:numPr>
          <w:ilvl w:val="0"/>
          <w:numId w:val="21"/>
        </w:numPr>
        <w:spacing w:line="276" w:lineRule="auto"/>
        <w:jc w:val="both"/>
        <w:rPr>
          <w:rFonts w:ascii="Calibri" w:hAnsi="Calibri" w:cs="Arial"/>
          <w:color w:val="000000" w:themeColor="text1"/>
          <w:lang w:val="sk-SK"/>
        </w:rPr>
      </w:pPr>
      <w:r w:rsidRPr="00622F79">
        <w:rPr>
          <w:rFonts w:ascii="Calibri" w:hAnsi="Calibri" w:cs="Arial"/>
          <w:color w:val="000000" w:themeColor="text1"/>
          <w:lang w:val="sk-SK"/>
        </w:rPr>
        <w:t>domác</w:t>
      </w:r>
      <w:r w:rsidR="00BE2E05">
        <w:rPr>
          <w:rFonts w:ascii="Calibri" w:hAnsi="Calibri" w:cs="Arial"/>
          <w:color w:val="000000" w:themeColor="text1"/>
          <w:lang w:val="sk-SK"/>
        </w:rPr>
        <w:t>e</w:t>
      </w:r>
      <w:r w:rsidRPr="00622F79">
        <w:rPr>
          <w:rFonts w:ascii="Calibri" w:hAnsi="Calibri" w:cs="Arial"/>
          <w:color w:val="000000" w:themeColor="text1"/>
          <w:lang w:val="sk-SK"/>
        </w:rPr>
        <w:t xml:space="preserve"> a zahraničn</w:t>
      </w:r>
      <w:r w:rsidR="00BE2E05">
        <w:rPr>
          <w:rFonts w:ascii="Calibri" w:hAnsi="Calibri" w:cs="Arial"/>
          <w:color w:val="000000" w:themeColor="text1"/>
          <w:lang w:val="sk-SK"/>
        </w:rPr>
        <w:t>é</w:t>
      </w:r>
      <w:r w:rsidRPr="00622F79">
        <w:rPr>
          <w:rFonts w:ascii="Calibri" w:hAnsi="Calibri" w:cs="Arial"/>
          <w:color w:val="000000" w:themeColor="text1"/>
          <w:lang w:val="sk-SK"/>
        </w:rPr>
        <w:t xml:space="preserve"> projekt</w:t>
      </w:r>
      <w:r w:rsidR="00BE2E05">
        <w:rPr>
          <w:rFonts w:ascii="Calibri" w:hAnsi="Calibri" w:cs="Arial"/>
          <w:color w:val="000000" w:themeColor="text1"/>
          <w:lang w:val="sk-SK"/>
        </w:rPr>
        <w:t>y</w:t>
      </w:r>
      <w:r w:rsidRPr="00622F79">
        <w:rPr>
          <w:rFonts w:ascii="Calibri" w:hAnsi="Calibri" w:cs="Arial"/>
          <w:color w:val="000000" w:themeColor="text1"/>
          <w:lang w:val="sk-SK"/>
        </w:rPr>
        <w:t>,</w:t>
      </w:r>
    </w:p>
    <w:p w14:paraId="0D4AB26E" w14:textId="2D4F0B31" w:rsidR="00E31864" w:rsidRPr="00622F79" w:rsidRDefault="00E31864" w:rsidP="00FF22AA">
      <w:pPr>
        <w:pStyle w:val="Odsekzoznamu"/>
        <w:numPr>
          <w:ilvl w:val="0"/>
          <w:numId w:val="21"/>
        </w:numPr>
        <w:spacing w:line="276" w:lineRule="auto"/>
        <w:jc w:val="both"/>
        <w:rPr>
          <w:rFonts w:ascii="Calibri" w:hAnsi="Calibri" w:cs="Arial"/>
          <w:color w:val="000000" w:themeColor="text1"/>
          <w:lang w:val="sk-SK"/>
        </w:rPr>
      </w:pPr>
      <w:r w:rsidRPr="00622F79">
        <w:rPr>
          <w:rFonts w:ascii="Calibri" w:hAnsi="Calibri" w:cs="Arial"/>
          <w:color w:val="000000" w:themeColor="text1"/>
          <w:lang w:val="sk-SK"/>
        </w:rPr>
        <w:t>podnikateľsk</w:t>
      </w:r>
      <w:r w:rsidR="00BE2E05">
        <w:rPr>
          <w:rFonts w:ascii="Calibri" w:hAnsi="Calibri" w:cs="Arial"/>
          <w:color w:val="000000" w:themeColor="text1"/>
          <w:lang w:val="sk-SK"/>
        </w:rPr>
        <w:t>á</w:t>
      </w:r>
      <w:r w:rsidRPr="00622F79">
        <w:rPr>
          <w:rFonts w:ascii="Calibri" w:hAnsi="Calibri" w:cs="Arial"/>
          <w:color w:val="000000" w:themeColor="text1"/>
          <w:lang w:val="sk-SK"/>
        </w:rPr>
        <w:t xml:space="preserve"> činnos</w:t>
      </w:r>
      <w:r w:rsidR="00BE2E05">
        <w:rPr>
          <w:rFonts w:ascii="Calibri" w:hAnsi="Calibri" w:cs="Arial"/>
          <w:color w:val="000000" w:themeColor="text1"/>
          <w:lang w:val="sk-SK"/>
        </w:rPr>
        <w:t>ť</w:t>
      </w:r>
      <w:r w:rsidRPr="00622F79">
        <w:rPr>
          <w:rFonts w:ascii="Calibri" w:hAnsi="Calibri" w:cs="Arial"/>
          <w:color w:val="000000" w:themeColor="text1"/>
          <w:lang w:val="sk-SK"/>
        </w:rPr>
        <w:t xml:space="preserve"> (napr. príjmy z poskytovania služieb iným vysokým školám); vzhľadom na osobitosť činnosti PC STU je táto podnikateľská činnosť oslobodená od platenia správnej réžie,</w:t>
      </w:r>
    </w:p>
    <w:p w14:paraId="05ABD326" w14:textId="10D33907" w:rsidR="00E31864" w:rsidRPr="00622F79" w:rsidRDefault="00BE2E05" w:rsidP="00FF22AA">
      <w:pPr>
        <w:pStyle w:val="Odsekzoznamu"/>
        <w:numPr>
          <w:ilvl w:val="0"/>
          <w:numId w:val="21"/>
        </w:numPr>
        <w:spacing w:line="276" w:lineRule="auto"/>
        <w:jc w:val="both"/>
        <w:rPr>
          <w:rFonts w:ascii="Calibri" w:hAnsi="Calibri" w:cs="Arial"/>
          <w:color w:val="000000" w:themeColor="text1"/>
          <w:lang w:val="sk-SK"/>
        </w:rPr>
      </w:pPr>
      <w:r>
        <w:rPr>
          <w:rFonts w:ascii="Calibri" w:hAnsi="Calibri" w:cs="Arial"/>
          <w:color w:val="000000" w:themeColor="text1"/>
          <w:lang w:val="sk-SK"/>
        </w:rPr>
        <w:t>dary</w:t>
      </w:r>
      <w:r w:rsidR="00E31864" w:rsidRPr="00622F79">
        <w:rPr>
          <w:rFonts w:ascii="Calibri" w:hAnsi="Calibri" w:cs="Arial"/>
          <w:color w:val="000000" w:themeColor="text1"/>
          <w:lang w:val="sk-SK"/>
        </w:rPr>
        <w:t>.</w:t>
      </w:r>
    </w:p>
    <w:p w14:paraId="2BCFFA39" w14:textId="77777777" w:rsidR="00FA4121" w:rsidRPr="00622F79" w:rsidRDefault="00742372" w:rsidP="00FF22AA">
      <w:pPr>
        <w:pStyle w:val="Odsekzoznamu"/>
        <w:numPr>
          <w:ilvl w:val="0"/>
          <w:numId w:val="7"/>
        </w:numPr>
        <w:spacing w:line="276" w:lineRule="auto"/>
        <w:ind w:left="426" w:hanging="426"/>
        <w:jc w:val="both"/>
        <w:rPr>
          <w:rFonts w:ascii="Calibri" w:hAnsi="Calibri" w:cs="Arial"/>
          <w:color w:val="000000" w:themeColor="text1"/>
          <w:lang w:val="sk-SK"/>
        </w:rPr>
      </w:pPr>
      <w:r w:rsidRPr="00622F79">
        <w:rPr>
          <w:rFonts w:ascii="Calibri" w:hAnsi="Calibri" w:cs="Arial"/>
          <w:color w:val="000000" w:themeColor="text1"/>
          <w:lang w:val="sk-SK"/>
        </w:rPr>
        <w:t>PC STU hospodári na základe schváleného rozpočtu. Rozpočet bude zohľadňovať všetky zdroje financovania.</w:t>
      </w:r>
    </w:p>
    <w:p w14:paraId="64BF36FE" w14:textId="77777777" w:rsidR="00F37FE0" w:rsidRPr="00622F79" w:rsidRDefault="00F37FE0" w:rsidP="00FF22AA">
      <w:pPr>
        <w:spacing w:line="276" w:lineRule="auto"/>
        <w:jc w:val="both"/>
        <w:rPr>
          <w:rFonts w:ascii="Calibri" w:hAnsi="Calibri" w:cs="Arial"/>
          <w:color w:val="000000" w:themeColor="text1"/>
          <w:lang w:val="sk-SK"/>
        </w:rPr>
      </w:pPr>
    </w:p>
    <w:p w14:paraId="16ADA9C2" w14:textId="77777777" w:rsidR="003C4413" w:rsidRPr="00622F79" w:rsidRDefault="003C4413" w:rsidP="00FF22AA">
      <w:pPr>
        <w:spacing w:line="276" w:lineRule="auto"/>
        <w:jc w:val="both"/>
        <w:rPr>
          <w:rFonts w:ascii="Calibri" w:hAnsi="Calibri" w:cs="Arial"/>
          <w:color w:val="000000" w:themeColor="text1"/>
          <w:lang w:val="sk-SK"/>
        </w:rPr>
      </w:pPr>
    </w:p>
    <w:p w14:paraId="1F563824" w14:textId="77777777" w:rsidR="0053738C" w:rsidRPr="00622F79" w:rsidRDefault="0053738C" w:rsidP="00FF22AA">
      <w:pPr>
        <w:spacing w:line="276" w:lineRule="auto"/>
        <w:jc w:val="center"/>
        <w:rPr>
          <w:rFonts w:ascii="Calibri" w:hAnsi="Calibri" w:cs="Arial"/>
          <w:b/>
          <w:color w:val="000000" w:themeColor="text1"/>
          <w:lang w:val="sk-SK"/>
        </w:rPr>
      </w:pPr>
      <w:r w:rsidRPr="00622F79">
        <w:rPr>
          <w:rFonts w:ascii="Calibri" w:hAnsi="Calibri" w:cs="Arial"/>
          <w:b/>
          <w:color w:val="000000" w:themeColor="text1"/>
          <w:lang w:val="sk-SK"/>
        </w:rPr>
        <w:t xml:space="preserve">Článok </w:t>
      </w:r>
      <w:r w:rsidR="003C4413" w:rsidRPr="00622F79">
        <w:rPr>
          <w:rFonts w:ascii="Calibri" w:hAnsi="Calibri" w:cs="Arial"/>
          <w:b/>
          <w:color w:val="000000" w:themeColor="text1"/>
          <w:lang w:val="sk-SK"/>
        </w:rPr>
        <w:t>5</w:t>
      </w:r>
    </w:p>
    <w:p w14:paraId="49B48D8D" w14:textId="77777777" w:rsidR="0053738C" w:rsidRPr="00622F79" w:rsidRDefault="0053738C" w:rsidP="00FF22AA">
      <w:pPr>
        <w:spacing w:line="276" w:lineRule="auto"/>
        <w:jc w:val="center"/>
        <w:rPr>
          <w:rFonts w:ascii="Calibri" w:hAnsi="Calibri" w:cs="Arial"/>
          <w:b/>
          <w:color w:val="000000" w:themeColor="text1"/>
          <w:lang w:val="sk-SK"/>
        </w:rPr>
      </w:pPr>
      <w:r w:rsidRPr="00622F79">
        <w:rPr>
          <w:rFonts w:ascii="Calibri" w:hAnsi="Calibri" w:cs="Arial"/>
          <w:b/>
          <w:color w:val="000000" w:themeColor="text1"/>
          <w:lang w:val="sk-SK"/>
        </w:rPr>
        <w:t>Záverečné ustanoveni</w:t>
      </w:r>
      <w:r w:rsidR="003C4413" w:rsidRPr="00622F79">
        <w:rPr>
          <w:rFonts w:ascii="Calibri" w:hAnsi="Calibri" w:cs="Arial"/>
          <w:b/>
          <w:color w:val="000000" w:themeColor="text1"/>
          <w:lang w:val="sk-SK"/>
        </w:rPr>
        <w:t>a</w:t>
      </w:r>
    </w:p>
    <w:p w14:paraId="2EA73736" w14:textId="77777777" w:rsidR="0053738C" w:rsidRPr="00622F79" w:rsidRDefault="0053738C" w:rsidP="00FF22AA">
      <w:pPr>
        <w:spacing w:line="276" w:lineRule="auto"/>
        <w:jc w:val="center"/>
        <w:rPr>
          <w:rFonts w:ascii="Calibri" w:hAnsi="Calibri" w:cs="Arial"/>
          <w:b/>
          <w:color w:val="000000" w:themeColor="text1"/>
          <w:lang w:val="sk-SK"/>
        </w:rPr>
      </w:pPr>
    </w:p>
    <w:p w14:paraId="5FFDD60D" w14:textId="17FE8ED8" w:rsidR="00A04A7B" w:rsidRPr="00622F79" w:rsidRDefault="00242889" w:rsidP="00FF22AA">
      <w:pPr>
        <w:pStyle w:val="Odsekzoznamu"/>
        <w:numPr>
          <w:ilvl w:val="0"/>
          <w:numId w:val="14"/>
        </w:numPr>
        <w:spacing w:line="276" w:lineRule="auto"/>
        <w:ind w:left="426" w:hanging="426"/>
        <w:jc w:val="both"/>
        <w:rPr>
          <w:rFonts w:ascii="Calibri" w:hAnsi="Calibri" w:cs="Arial"/>
          <w:color w:val="000000" w:themeColor="text1"/>
          <w:lang w:val="sk-SK"/>
        </w:rPr>
      </w:pPr>
      <w:r w:rsidRPr="00622F79">
        <w:rPr>
          <w:rFonts w:ascii="Calibri" w:hAnsi="Calibri" w:cs="Arial"/>
          <w:color w:val="000000" w:themeColor="text1"/>
          <w:lang w:val="sk-SK"/>
        </w:rPr>
        <w:t xml:space="preserve">Okrem tohto </w:t>
      </w:r>
      <w:r w:rsidR="004D5251">
        <w:rPr>
          <w:rFonts w:ascii="Calibri" w:hAnsi="Calibri" w:cs="Arial"/>
          <w:color w:val="000000" w:themeColor="text1"/>
          <w:lang w:val="sk-SK"/>
        </w:rPr>
        <w:t>O</w:t>
      </w:r>
      <w:r w:rsidRPr="00622F79">
        <w:rPr>
          <w:rFonts w:ascii="Calibri" w:hAnsi="Calibri" w:cs="Arial"/>
          <w:color w:val="000000" w:themeColor="text1"/>
          <w:lang w:val="sk-SK"/>
        </w:rPr>
        <w:t xml:space="preserve">rganizačného poriadku </w:t>
      </w:r>
      <w:r w:rsidR="004D5251">
        <w:rPr>
          <w:rFonts w:ascii="Calibri" w:hAnsi="Calibri" w:cs="Arial"/>
          <w:color w:val="000000" w:themeColor="text1"/>
          <w:lang w:val="sk-SK"/>
        </w:rPr>
        <w:t xml:space="preserve">PC STU </w:t>
      </w:r>
      <w:r w:rsidR="003C4413" w:rsidRPr="00622F79">
        <w:rPr>
          <w:rFonts w:ascii="Calibri" w:hAnsi="Calibri" w:cs="Arial"/>
          <w:color w:val="000000" w:themeColor="text1"/>
          <w:lang w:val="sk-SK"/>
        </w:rPr>
        <w:t>sa</w:t>
      </w:r>
      <w:r w:rsidRPr="00622F79">
        <w:rPr>
          <w:rFonts w:ascii="Calibri" w:hAnsi="Calibri" w:cs="Arial"/>
          <w:color w:val="000000" w:themeColor="text1"/>
          <w:lang w:val="sk-SK"/>
        </w:rPr>
        <w:t xml:space="preserve"> č</w:t>
      </w:r>
      <w:r w:rsidR="00855B64" w:rsidRPr="00622F79">
        <w:rPr>
          <w:rFonts w:ascii="Calibri" w:hAnsi="Calibri" w:cs="Arial"/>
          <w:color w:val="000000" w:themeColor="text1"/>
          <w:lang w:val="sk-SK"/>
        </w:rPr>
        <w:t xml:space="preserve">innosť </w:t>
      </w:r>
      <w:r w:rsidR="003C4413" w:rsidRPr="00622F79">
        <w:rPr>
          <w:rFonts w:ascii="Calibri" w:hAnsi="Calibri" w:cs="Arial"/>
          <w:color w:val="000000" w:themeColor="text1"/>
          <w:lang w:val="sk-SK"/>
        </w:rPr>
        <w:t>P</w:t>
      </w:r>
      <w:r w:rsidR="00855B64" w:rsidRPr="00622F79">
        <w:rPr>
          <w:rFonts w:ascii="Calibri" w:hAnsi="Calibri" w:cs="Arial"/>
          <w:color w:val="000000" w:themeColor="text1"/>
          <w:lang w:val="sk-SK"/>
        </w:rPr>
        <w:t>C STU riadi všeobecne záväznými právnymi predpismi</w:t>
      </w:r>
      <w:r w:rsidRPr="00622F79">
        <w:rPr>
          <w:rFonts w:ascii="Calibri" w:hAnsi="Calibri" w:cs="Arial"/>
          <w:color w:val="000000" w:themeColor="text1"/>
          <w:lang w:val="sk-SK"/>
        </w:rPr>
        <w:t xml:space="preserve"> a</w:t>
      </w:r>
      <w:r w:rsidR="003C4413" w:rsidRPr="00622F79">
        <w:rPr>
          <w:rFonts w:ascii="Calibri" w:hAnsi="Calibri" w:cs="Arial"/>
          <w:color w:val="000000" w:themeColor="text1"/>
          <w:lang w:val="sk-SK"/>
        </w:rPr>
        <w:t xml:space="preserve"> ostatnými </w:t>
      </w:r>
      <w:r w:rsidR="00855B64" w:rsidRPr="00622F79">
        <w:rPr>
          <w:rFonts w:ascii="Calibri" w:hAnsi="Calibri" w:cs="Arial"/>
          <w:color w:val="000000" w:themeColor="text1"/>
          <w:lang w:val="sk-SK"/>
        </w:rPr>
        <w:t>internými predpismi STU.</w:t>
      </w:r>
    </w:p>
    <w:p w14:paraId="28099CD9" w14:textId="77777777" w:rsidR="00855B64" w:rsidRPr="00622F79" w:rsidRDefault="00855B64" w:rsidP="00FF22AA">
      <w:pPr>
        <w:pStyle w:val="Odsekzoznamu"/>
        <w:numPr>
          <w:ilvl w:val="0"/>
          <w:numId w:val="14"/>
        </w:numPr>
        <w:spacing w:line="276" w:lineRule="auto"/>
        <w:ind w:left="426" w:hanging="426"/>
        <w:jc w:val="both"/>
        <w:rPr>
          <w:rFonts w:ascii="Calibri" w:hAnsi="Calibri" w:cs="Arial"/>
          <w:color w:val="000000" w:themeColor="text1"/>
          <w:lang w:val="sk-SK"/>
        </w:rPr>
      </w:pPr>
      <w:r w:rsidRPr="00622F79">
        <w:rPr>
          <w:rFonts w:ascii="Calibri" w:hAnsi="Calibri" w:cs="Arial"/>
          <w:color w:val="000000" w:themeColor="text1"/>
          <w:lang w:val="sk-SK"/>
        </w:rPr>
        <w:t xml:space="preserve">Akékoľvek zmeny a doplnenia tohto </w:t>
      </w:r>
      <w:r w:rsidR="003C4413" w:rsidRPr="00622F79">
        <w:rPr>
          <w:rFonts w:ascii="Calibri" w:hAnsi="Calibri" w:cs="Arial"/>
          <w:color w:val="000000" w:themeColor="text1"/>
          <w:lang w:val="sk-SK"/>
        </w:rPr>
        <w:t>O</w:t>
      </w:r>
      <w:r w:rsidRPr="00622F79">
        <w:rPr>
          <w:rFonts w:ascii="Calibri" w:hAnsi="Calibri" w:cs="Arial"/>
          <w:color w:val="000000" w:themeColor="text1"/>
          <w:lang w:val="sk-SK"/>
        </w:rPr>
        <w:t xml:space="preserve">rganizačného poriadku </w:t>
      </w:r>
      <w:r w:rsidR="003C4413" w:rsidRPr="00622F79">
        <w:rPr>
          <w:rFonts w:ascii="Calibri" w:hAnsi="Calibri" w:cs="Arial"/>
          <w:color w:val="000000" w:themeColor="text1"/>
          <w:lang w:val="sk-SK"/>
        </w:rPr>
        <w:t xml:space="preserve">PC STU </w:t>
      </w:r>
      <w:r w:rsidRPr="00622F79">
        <w:rPr>
          <w:rFonts w:ascii="Calibri" w:hAnsi="Calibri" w:cs="Arial"/>
          <w:color w:val="000000" w:themeColor="text1"/>
          <w:lang w:val="sk-SK"/>
        </w:rPr>
        <w:t>je možné vykonať len číslovanými dodatkami k</w:t>
      </w:r>
      <w:r w:rsidR="003C4413" w:rsidRPr="00622F79">
        <w:rPr>
          <w:rFonts w:ascii="Calibri" w:hAnsi="Calibri" w:cs="Arial"/>
          <w:color w:val="000000" w:themeColor="text1"/>
          <w:lang w:val="sk-SK"/>
        </w:rPr>
        <w:t xml:space="preserve"> nemu </w:t>
      </w:r>
      <w:r w:rsidRPr="00622F79">
        <w:rPr>
          <w:rFonts w:ascii="Calibri" w:hAnsi="Calibri" w:cs="Arial"/>
          <w:color w:val="000000" w:themeColor="text1"/>
          <w:lang w:val="sk-SK"/>
        </w:rPr>
        <w:t>vydaným</w:t>
      </w:r>
      <w:r w:rsidR="00242889" w:rsidRPr="00622F79">
        <w:rPr>
          <w:rFonts w:ascii="Calibri" w:hAnsi="Calibri" w:cs="Arial"/>
          <w:color w:val="000000" w:themeColor="text1"/>
          <w:lang w:val="sk-SK"/>
        </w:rPr>
        <w:t>i</w:t>
      </w:r>
      <w:r w:rsidRPr="00622F79">
        <w:rPr>
          <w:rFonts w:ascii="Calibri" w:hAnsi="Calibri" w:cs="Arial"/>
          <w:color w:val="000000" w:themeColor="text1"/>
          <w:lang w:val="sk-SK"/>
        </w:rPr>
        <w:t xml:space="preserve"> rektorom po ich prerokovaní v Akademickom senáte STU. Rektor je oprávnený po prerokovaní dodatku k</w:t>
      </w:r>
      <w:r w:rsidR="003C4413" w:rsidRPr="00622F79">
        <w:rPr>
          <w:rFonts w:ascii="Calibri" w:hAnsi="Calibri" w:cs="Arial"/>
          <w:color w:val="000000" w:themeColor="text1"/>
          <w:lang w:val="sk-SK"/>
        </w:rPr>
        <w:t xml:space="preserve"> tomuto </w:t>
      </w:r>
      <w:r w:rsidR="00622F79" w:rsidRPr="00622F79">
        <w:rPr>
          <w:rFonts w:ascii="Calibri" w:hAnsi="Calibri" w:cs="Arial"/>
          <w:color w:val="000000" w:themeColor="text1"/>
          <w:lang w:val="sk-SK"/>
        </w:rPr>
        <w:t>Organizačnému</w:t>
      </w:r>
      <w:r w:rsidRPr="00622F79">
        <w:rPr>
          <w:rFonts w:ascii="Calibri" w:hAnsi="Calibri" w:cs="Arial"/>
          <w:color w:val="000000" w:themeColor="text1"/>
          <w:lang w:val="sk-SK"/>
        </w:rPr>
        <w:t xml:space="preserve"> poriadku </w:t>
      </w:r>
      <w:r w:rsidR="003C4413" w:rsidRPr="00622F79">
        <w:rPr>
          <w:rFonts w:ascii="Calibri" w:hAnsi="Calibri" w:cs="Arial"/>
          <w:color w:val="000000" w:themeColor="text1"/>
          <w:lang w:val="sk-SK"/>
        </w:rPr>
        <w:t xml:space="preserve">PC STU </w:t>
      </w:r>
      <w:r w:rsidRPr="00622F79">
        <w:rPr>
          <w:rFonts w:ascii="Calibri" w:hAnsi="Calibri" w:cs="Arial"/>
          <w:color w:val="000000" w:themeColor="text1"/>
          <w:lang w:val="sk-SK"/>
        </w:rPr>
        <w:t xml:space="preserve">v Akademickom senáte STU vydať aktuálne úplné znenie Organizačného poriadku </w:t>
      </w:r>
      <w:r w:rsidR="003C4413" w:rsidRPr="00622F79">
        <w:rPr>
          <w:rFonts w:ascii="Calibri" w:hAnsi="Calibri" w:cs="Arial"/>
          <w:color w:val="000000" w:themeColor="text1"/>
          <w:lang w:val="sk-SK"/>
        </w:rPr>
        <w:t>PC</w:t>
      </w:r>
      <w:r w:rsidRPr="00622F79">
        <w:rPr>
          <w:rFonts w:ascii="Calibri" w:hAnsi="Calibri" w:cs="Arial"/>
          <w:color w:val="000000" w:themeColor="text1"/>
          <w:lang w:val="sk-SK"/>
        </w:rPr>
        <w:t xml:space="preserve"> STU.</w:t>
      </w:r>
    </w:p>
    <w:p w14:paraId="13D2E86F" w14:textId="77777777" w:rsidR="00A04A7B" w:rsidRPr="00622F79" w:rsidRDefault="00855B64" w:rsidP="00FF22AA">
      <w:pPr>
        <w:pStyle w:val="Odsekzoznamu"/>
        <w:numPr>
          <w:ilvl w:val="0"/>
          <w:numId w:val="14"/>
        </w:numPr>
        <w:spacing w:line="276" w:lineRule="auto"/>
        <w:ind w:left="426" w:hanging="426"/>
        <w:jc w:val="both"/>
        <w:rPr>
          <w:rFonts w:ascii="Calibri" w:hAnsi="Calibri" w:cs="Arial"/>
          <w:color w:val="000000" w:themeColor="text1"/>
          <w:lang w:val="sk-SK"/>
        </w:rPr>
      </w:pPr>
      <w:r w:rsidRPr="00622F79">
        <w:rPr>
          <w:rFonts w:ascii="Calibri" w:hAnsi="Calibri" w:cs="Arial"/>
          <w:color w:val="000000" w:themeColor="text1"/>
          <w:lang w:val="sk-SK"/>
        </w:rPr>
        <w:t xml:space="preserve">Tento Organizačný poriadok </w:t>
      </w:r>
      <w:r w:rsidR="003C4413" w:rsidRPr="00622F79">
        <w:rPr>
          <w:rFonts w:ascii="Calibri" w:hAnsi="Calibri" w:cs="Arial"/>
          <w:color w:val="000000" w:themeColor="text1"/>
          <w:lang w:val="sk-SK"/>
        </w:rPr>
        <w:t>P</w:t>
      </w:r>
      <w:r w:rsidRPr="00622F79">
        <w:rPr>
          <w:rFonts w:ascii="Calibri" w:hAnsi="Calibri" w:cs="Arial"/>
          <w:color w:val="000000" w:themeColor="text1"/>
          <w:lang w:val="sk-SK"/>
        </w:rPr>
        <w:t xml:space="preserve">C STU bol prerokovaný v Akademickom senáte STU dňa </w:t>
      </w:r>
      <w:r w:rsidR="003C4413" w:rsidRPr="00622F79">
        <w:rPr>
          <w:rFonts w:ascii="Calibri" w:hAnsi="Calibri" w:cs="Arial"/>
          <w:color w:val="000000" w:themeColor="text1"/>
          <w:lang w:val="sk-SK"/>
        </w:rPr>
        <w:t>12.03.</w:t>
      </w:r>
      <w:r w:rsidR="00A04A7B" w:rsidRPr="00622F79">
        <w:rPr>
          <w:rFonts w:ascii="Calibri" w:hAnsi="Calibri" w:cs="Arial"/>
          <w:color w:val="000000" w:themeColor="text1"/>
          <w:lang w:val="sk-SK"/>
        </w:rPr>
        <w:t>201</w:t>
      </w:r>
      <w:r w:rsidR="003C4413" w:rsidRPr="00622F79">
        <w:rPr>
          <w:rFonts w:ascii="Calibri" w:hAnsi="Calibri" w:cs="Arial"/>
          <w:color w:val="000000" w:themeColor="text1"/>
          <w:lang w:val="sk-SK"/>
        </w:rPr>
        <w:t>8</w:t>
      </w:r>
      <w:r w:rsidR="00A04A7B" w:rsidRPr="00622F79">
        <w:rPr>
          <w:rFonts w:ascii="Calibri" w:hAnsi="Calibri" w:cs="Arial"/>
          <w:color w:val="000000" w:themeColor="text1"/>
          <w:lang w:val="sk-SK"/>
        </w:rPr>
        <w:t>.</w:t>
      </w:r>
    </w:p>
    <w:p w14:paraId="1D2B9543" w14:textId="5520A959" w:rsidR="00855B64" w:rsidRPr="00622F79" w:rsidRDefault="00855B64" w:rsidP="00FF22AA">
      <w:pPr>
        <w:pStyle w:val="Odsekzoznamu"/>
        <w:numPr>
          <w:ilvl w:val="0"/>
          <w:numId w:val="14"/>
        </w:numPr>
        <w:spacing w:line="276" w:lineRule="auto"/>
        <w:ind w:left="426" w:hanging="426"/>
        <w:jc w:val="both"/>
        <w:rPr>
          <w:rFonts w:ascii="Calibri" w:hAnsi="Calibri" w:cs="Arial"/>
          <w:color w:val="000000" w:themeColor="text1"/>
          <w:lang w:val="sk-SK"/>
        </w:rPr>
      </w:pPr>
      <w:r w:rsidRPr="00622F79">
        <w:rPr>
          <w:rFonts w:ascii="Calibri" w:hAnsi="Calibri" w:cs="Arial"/>
          <w:color w:val="000000" w:themeColor="text1"/>
          <w:lang w:val="sk-SK"/>
        </w:rPr>
        <w:t xml:space="preserve">Organizačný poriadok </w:t>
      </w:r>
      <w:r w:rsidR="003C4413" w:rsidRPr="00622F79">
        <w:rPr>
          <w:rFonts w:ascii="Calibri" w:hAnsi="Calibri" w:cs="Arial"/>
          <w:color w:val="000000" w:themeColor="text1"/>
          <w:lang w:val="sk-SK"/>
        </w:rPr>
        <w:t>PC</w:t>
      </w:r>
      <w:r w:rsidRPr="00622F79">
        <w:rPr>
          <w:rFonts w:ascii="Calibri" w:hAnsi="Calibri" w:cs="Arial"/>
          <w:color w:val="000000" w:themeColor="text1"/>
          <w:lang w:val="sk-SK"/>
        </w:rPr>
        <w:t xml:space="preserve"> STU nadobúda </w:t>
      </w:r>
      <w:r w:rsidR="00A04A7B" w:rsidRPr="00622F79">
        <w:rPr>
          <w:rFonts w:ascii="Calibri" w:hAnsi="Calibri" w:cs="Arial"/>
          <w:color w:val="000000" w:themeColor="text1"/>
          <w:lang w:val="sk-SK"/>
        </w:rPr>
        <w:t xml:space="preserve">platnosť dňom jeho prerokovania v Akademickom senáte STU a </w:t>
      </w:r>
      <w:r w:rsidRPr="00622F79">
        <w:rPr>
          <w:rFonts w:ascii="Calibri" w:hAnsi="Calibri" w:cs="Arial"/>
          <w:color w:val="000000" w:themeColor="text1"/>
          <w:lang w:val="sk-SK"/>
        </w:rPr>
        <w:t xml:space="preserve">účinnosť </w:t>
      </w:r>
      <w:r w:rsidR="00A04A7B" w:rsidRPr="00622F79">
        <w:rPr>
          <w:rFonts w:ascii="Calibri" w:hAnsi="Calibri" w:cs="Arial"/>
          <w:color w:val="000000" w:themeColor="text1"/>
          <w:lang w:val="sk-SK"/>
        </w:rPr>
        <w:t xml:space="preserve">1. </w:t>
      </w:r>
      <w:r w:rsidR="003C4413" w:rsidRPr="00622F79">
        <w:rPr>
          <w:rFonts w:ascii="Calibri" w:hAnsi="Calibri" w:cs="Arial"/>
          <w:color w:val="000000" w:themeColor="text1"/>
          <w:lang w:val="sk-SK"/>
        </w:rPr>
        <w:t>apríl</w:t>
      </w:r>
      <w:r w:rsidR="00BE2E05">
        <w:rPr>
          <w:rFonts w:ascii="Calibri" w:hAnsi="Calibri" w:cs="Arial"/>
          <w:color w:val="000000" w:themeColor="text1"/>
          <w:lang w:val="sk-SK"/>
        </w:rPr>
        <w:t>a</w:t>
      </w:r>
      <w:bookmarkStart w:id="0" w:name="_GoBack"/>
      <w:bookmarkEnd w:id="0"/>
      <w:r w:rsidR="00A04A7B" w:rsidRPr="00622F79">
        <w:rPr>
          <w:rFonts w:ascii="Calibri" w:hAnsi="Calibri" w:cs="Arial"/>
          <w:color w:val="000000" w:themeColor="text1"/>
          <w:lang w:val="sk-SK"/>
        </w:rPr>
        <w:t xml:space="preserve"> 201</w:t>
      </w:r>
      <w:r w:rsidR="003C4413" w:rsidRPr="00622F79">
        <w:rPr>
          <w:rFonts w:ascii="Calibri" w:hAnsi="Calibri" w:cs="Arial"/>
          <w:color w:val="000000" w:themeColor="text1"/>
          <w:lang w:val="sk-SK"/>
        </w:rPr>
        <w:t>8</w:t>
      </w:r>
      <w:r w:rsidR="00A04A7B" w:rsidRPr="00622F79">
        <w:rPr>
          <w:rFonts w:ascii="Calibri" w:hAnsi="Calibri" w:cs="Arial"/>
          <w:color w:val="000000" w:themeColor="text1"/>
          <w:lang w:val="sk-SK"/>
        </w:rPr>
        <w:t>.</w:t>
      </w:r>
    </w:p>
    <w:p w14:paraId="2C09E1E4" w14:textId="77777777" w:rsidR="00855B64" w:rsidRPr="00622F79" w:rsidRDefault="00855B64" w:rsidP="00FF22AA">
      <w:pPr>
        <w:spacing w:line="276" w:lineRule="auto"/>
        <w:jc w:val="both"/>
        <w:rPr>
          <w:rFonts w:ascii="Calibri" w:hAnsi="Calibri" w:cs="Arial"/>
          <w:color w:val="000000" w:themeColor="text1"/>
          <w:lang w:val="sk-SK"/>
        </w:rPr>
      </w:pPr>
    </w:p>
    <w:p w14:paraId="2F4AC17D" w14:textId="58F38C58" w:rsidR="00A04A7B" w:rsidRDefault="00A04A7B" w:rsidP="00FF22AA">
      <w:pPr>
        <w:spacing w:line="276" w:lineRule="auto"/>
        <w:rPr>
          <w:rFonts w:ascii="Calibri" w:hAnsi="Calibri" w:cs="Arial"/>
          <w:color w:val="000000" w:themeColor="text1"/>
          <w:lang w:val="sk-SK"/>
        </w:rPr>
      </w:pPr>
    </w:p>
    <w:p w14:paraId="125BF386" w14:textId="26ECA55B" w:rsidR="00813B80" w:rsidRDefault="00813B80" w:rsidP="00FF22AA">
      <w:pPr>
        <w:spacing w:line="276" w:lineRule="auto"/>
        <w:rPr>
          <w:rFonts w:ascii="Calibri" w:hAnsi="Calibri" w:cs="Arial"/>
          <w:color w:val="000000" w:themeColor="text1"/>
          <w:lang w:val="sk-SK"/>
        </w:rPr>
      </w:pPr>
    </w:p>
    <w:p w14:paraId="05AF44B7" w14:textId="5BD4BF32" w:rsidR="00813B80" w:rsidRPr="00622F79" w:rsidRDefault="00813B80" w:rsidP="00FF22AA">
      <w:pPr>
        <w:spacing w:line="276" w:lineRule="auto"/>
        <w:rPr>
          <w:rFonts w:ascii="Calibri" w:hAnsi="Calibri" w:cs="Arial"/>
          <w:color w:val="000000" w:themeColor="text1"/>
          <w:lang w:val="sk-SK"/>
        </w:rPr>
      </w:pPr>
    </w:p>
    <w:p w14:paraId="61EDB5FE" w14:textId="77777777" w:rsidR="00A04A7B" w:rsidRPr="00622F79" w:rsidRDefault="00A04A7B" w:rsidP="00FF22AA">
      <w:pPr>
        <w:spacing w:line="276" w:lineRule="auto"/>
        <w:rPr>
          <w:rFonts w:ascii="Calibri" w:hAnsi="Calibri" w:cs="Arial"/>
          <w:color w:val="000000" w:themeColor="text1"/>
          <w:lang w:val="sk-SK"/>
        </w:rPr>
      </w:pPr>
    </w:p>
    <w:p w14:paraId="776BCC74" w14:textId="77777777" w:rsidR="00855B64" w:rsidRPr="00622F79" w:rsidRDefault="00855B64" w:rsidP="00FF22AA">
      <w:pPr>
        <w:spacing w:line="276" w:lineRule="auto"/>
        <w:ind w:left="3600" w:firstLine="720"/>
        <w:rPr>
          <w:rFonts w:ascii="Calibri" w:hAnsi="Calibri" w:cs="Arial"/>
          <w:color w:val="000000" w:themeColor="text1"/>
          <w:lang w:val="sk-SK"/>
        </w:rPr>
      </w:pPr>
      <w:r w:rsidRPr="00622F79">
        <w:rPr>
          <w:rFonts w:ascii="Calibri" w:hAnsi="Calibri" w:cs="Arial"/>
          <w:color w:val="000000" w:themeColor="text1"/>
          <w:lang w:val="sk-SK"/>
        </w:rPr>
        <w:t xml:space="preserve">prof. Ing. </w:t>
      </w:r>
      <w:r w:rsidR="00622F79" w:rsidRPr="00622F79">
        <w:rPr>
          <w:rFonts w:ascii="Calibri" w:hAnsi="Calibri" w:cs="Arial"/>
          <w:color w:val="000000" w:themeColor="text1"/>
          <w:lang w:val="sk-SK"/>
        </w:rPr>
        <w:t>Robert</w:t>
      </w:r>
      <w:r w:rsidRPr="00622F79">
        <w:rPr>
          <w:rFonts w:ascii="Calibri" w:hAnsi="Calibri" w:cs="Arial"/>
          <w:color w:val="000000" w:themeColor="text1"/>
          <w:lang w:val="sk-SK"/>
        </w:rPr>
        <w:t xml:space="preserve"> </w:t>
      </w:r>
      <w:proofErr w:type="spellStart"/>
      <w:r w:rsidRPr="00622F79">
        <w:rPr>
          <w:rFonts w:ascii="Calibri" w:hAnsi="Calibri" w:cs="Arial"/>
          <w:color w:val="000000" w:themeColor="text1"/>
          <w:lang w:val="sk-SK"/>
        </w:rPr>
        <w:t>Redhammer</w:t>
      </w:r>
      <w:proofErr w:type="spellEnd"/>
      <w:r w:rsidRPr="00622F79">
        <w:rPr>
          <w:rFonts w:ascii="Calibri" w:hAnsi="Calibri" w:cs="Arial"/>
          <w:color w:val="000000" w:themeColor="text1"/>
          <w:lang w:val="sk-SK"/>
        </w:rPr>
        <w:t>, PhD.</w:t>
      </w:r>
    </w:p>
    <w:p w14:paraId="7D8F6FA7" w14:textId="77777777" w:rsidR="00A04A7B" w:rsidRPr="00622F79" w:rsidRDefault="00855B64" w:rsidP="00FF22AA">
      <w:pPr>
        <w:spacing w:line="276" w:lineRule="auto"/>
        <w:ind w:left="5040" w:firstLine="720"/>
        <w:rPr>
          <w:rFonts w:ascii="Calibri" w:hAnsi="Calibri" w:cs="Arial"/>
          <w:color w:val="000000" w:themeColor="text1"/>
          <w:lang w:val="sk-SK"/>
        </w:rPr>
      </w:pPr>
      <w:r w:rsidRPr="00622F79">
        <w:rPr>
          <w:rFonts w:ascii="Calibri" w:hAnsi="Calibri" w:cs="Arial"/>
          <w:color w:val="000000" w:themeColor="text1"/>
          <w:lang w:val="sk-SK"/>
        </w:rPr>
        <w:t>rektor</w:t>
      </w:r>
    </w:p>
    <w:sectPr w:rsidR="00A04A7B" w:rsidRPr="00622F79" w:rsidSect="00A04A7B">
      <w:headerReference w:type="default" r:id="rId12"/>
      <w:footerReference w:type="default" r:id="rId13"/>
      <w:headerReference w:type="first" r:id="rId14"/>
      <w:pgSz w:w="11900" w:h="16840"/>
      <w:pgMar w:top="2269" w:right="1800" w:bottom="1418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9E512" w14:textId="77777777" w:rsidR="005B2AC9" w:rsidRDefault="005B2AC9" w:rsidP="0030006A">
      <w:r>
        <w:separator/>
      </w:r>
    </w:p>
  </w:endnote>
  <w:endnote w:type="continuationSeparator" w:id="0">
    <w:p w14:paraId="5C4C70A8" w14:textId="77777777" w:rsidR="005B2AC9" w:rsidRDefault="005B2AC9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8A280" w14:textId="77777777" w:rsidR="00012643" w:rsidRDefault="00012643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8DED094" w14:textId="77777777" w:rsidR="00012643" w:rsidRDefault="00012643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6F4B3EE" w14:textId="77777777" w:rsidR="00012643" w:rsidRDefault="00012643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D3F1D" w14:textId="77777777" w:rsidR="00012643" w:rsidRDefault="00012643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6E17B" w14:textId="5B543B11" w:rsidR="001A33C6" w:rsidRPr="00F72759" w:rsidRDefault="001A33C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BE2E05">
      <w:rPr>
        <w:rStyle w:val="slostrany"/>
        <w:rFonts w:asciiTheme="majorHAnsi" w:hAnsiTheme="majorHAnsi"/>
        <w:noProof/>
      </w:rPr>
      <w:t>6</w:t>
    </w:r>
    <w:r w:rsidRPr="00F72759">
      <w:rPr>
        <w:rStyle w:val="slostrany"/>
        <w:rFonts w:asciiTheme="majorHAnsi" w:hAnsiTheme="majorHAnsi"/>
      </w:rPr>
      <w:fldChar w:fldCharType="end"/>
    </w:r>
  </w:p>
  <w:p w14:paraId="636514BB" w14:textId="77777777" w:rsidR="001A33C6" w:rsidRDefault="001A33C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0CA7F" w14:textId="77777777" w:rsidR="005B2AC9" w:rsidRDefault="005B2AC9" w:rsidP="0030006A">
      <w:r>
        <w:separator/>
      </w:r>
    </w:p>
  </w:footnote>
  <w:footnote w:type="continuationSeparator" w:id="0">
    <w:p w14:paraId="10BEAEF5" w14:textId="77777777" w:rsidR="005B2AC9" w:rsidRDefault="005B2AC9" w:rsidP="0030006A">
      <w:r>
        <w:continuationSeparator/>
      </w:r>
    </w:p>
  </w:footnote>
  <w:footnote w:id="1">
    <w:p w14:paraId="7D7CD8D5" w14:textId="77777777" w:rsidR="007E1739" w:rsidRPr="00E31864" w:rsidRDefault="007E1739" w:rsidP="00E31864">
      <w:pPr>
        <w:pStyle w:val="Textpoznmkypodiarou"/>
        <w:jc w:val="both"/>
        <w:rPr>
          <w:rFonts w:ascii="Calibri" w:hAnsi="Calibri"/>
        </w:rPr>
      </w:pPr>
      <w:r w:rsidRPr="00E31864">
        <w:rPr>
          <w:rStyle w:val="Odkaznapoznmkupodiarou"/>
          <w:rFonts w:ascii="Calibri" w:hAnsi="Calibri"/>
        </w:rPr>
        <w:footnoteRef/>
      </w:r>
      <w:r w:rsidRPr="00E31864">
        <w:rPr>
          <w:rFonts w:ascii="Calibri" w:hAnsi="Calibri"/>
        </w:rPr>
        <w:t xml:space="preserve"> Článok 2 bod 3 Organizačného poriadku Slovenskej technickej univerzity v Bratislave.</w:t>
      </w:r>
    </w:p>
  </w:footnote>
  <w:footnote w:id="2">
    <w:p w14:paraId="399763CF" w14:textId="77777777" w:rsidR="003C5640" w:rsidRPr="00E31864" w:rsidRDefault="003C5640" w:rsidP="00E31864">
      <w:pPr>
        <w:pStyle w:val="Textpoznmkypodiarou"/>
        <w:jc w:val="both"/>
        <w:rPr>
          <w:rFonts w:ascii="Calibri" w:hAnsi="Calibri"/>
        </w:rPr>
      </w:pPr>
      <w:r w:rsidRPr="00E31864">
        <w:rPr>
          <w:rStyle w:val="Odkaznapoznmkupodiarou"/>
          <w:rFonts w:ascii="Calibri" w:hAnsi="Calibri"/>
        </w:rPr>
        <w:footnoteRef/>
      </w:r>
      <w:r w:rsidRPr="00E31864">
        <w:rPr>
          <w:rFonts w:ascii="Calibri" w:hAnsi="Calibri"/>
        </w:rPr>
        <w:t xml:space="preserve"> Článok 4 písm. </w:t>
      </w:r>
      <w:r w:rsidR="003D08DB" w:rsidRPr="00E31864">
        <w:rPr>
          <w:rFonts w:ascii="Calibri" w:hAnsi="Calibri"/>
        </w:rPr>
        <w:t>j</w:t>
      </w:r>
      <w:r w:rsidRPr="00E31864">
        <w:rPr>
          <w:rFonts w:ascii="Calibri" w:hAnsi="Calibri"/>
        </w:rPr>
        <w:t>) Organizačného poriadku Slovenskej technickej univerzity v Bratislave.</w:t>
      </w:r>
    </w:p>
  </w:footnote>
  <w:footnote w:id="3">
    <w:p w14:paraId="4C10AD08" w14:textId="001880C2" w:rsidR="00FF22AA" w:rsidRPr="00FF22AA" w:rsidRDefault="00FF22AA" w:rsidP="00FF22AA">
      <w:pPr>
        <w:pStyle w:val="Textpoznmkypodiarou"/>
        <w:jc w:val="both"/>
        <w:rPr>
          <w:rFonts w:ascii="Calibri" w:hAnsi="Calibri"/>
        </w:rPr>
      </w:pPr>
      <w:r w:rsidRPr="00FF22AA">
        <w:rPr>
          <w:rStyle w:val="Odkaznapoznmkupodiarou"/>
          <w:rFonts w:ascii="Calibri" w:hAnsi="Calibri"/>
        </w:rPr>
        <w:footnoteRef/>
      </w:r>
      <w:r w:rsidRPr="00FF22AA">
        <w:rPr>
          <w:rFonts w:ascii="Calibri" w:hAnsi="Calibri"/>
        </w:rPr>
        <w:t xml:space="preserve"> </w:t>
      </w:r>
      <w:hyperlink r:id="rId1" w:history="1">
        <w:r w:rsidRPr="009609EA">
          <w:rPr>
            <w:rStyle w:val="Hypertextovprepojenie"/>
            <w:rFonts w:ascii="Calibri" w:hAnsi="Calibri"/>
          </w:rPr>
          <w:t>https://www.minedu.sk/rada-ministra-na-podporu-studia-studentov-so-specifickymi-potrebami/</w:t>
        </w:r>
      </w:hyperlink>
    </w:p>
  </w:footnote>
  <w:footnote w:id="4">
    <w:p w14:paraId="7FDCBC8F" w14:textId="77777777" w:rsidR="00BD1795" w:rsidRPr="00FF22AA" w:rsidRDefault="00BD1795" w:rsidP="00FF22AA">
      <w:pPr>
        <w:pStyle w:val="Textpoznmkypodiarou"/>
        <w:jc w:val="both"/>
        <w:rPr>
          <w:rFonts w:ascii="Calibri" w:hAnsi="Calibri"/>
        </w:rPr>
      </w:pPr>
      <w:r w:rsidRPr="00FF22AA">
        <w:rPr>
          <w:rStyle w:val="Odkaznapoznmkupodiarou"/>
          <w:rFonts w:ascii="Calibri" w:hAnsi="Calibri"/>
        </w:rPr>
        <w:footnoteRef/>
      </w:r>
      <w:r w:rsidRPr="00FF22AA">
        <w:rPr>
          <w:rFonts w:ascii="Calibri" w:hAnsi="Calibri"/>
        </w:rPr>
        <w:t xml:space="preserve"> Smernica rektora číslo 5/2013 – SR „Pôsobnosť koordinátora pre študentov so špecifickými potrebami na Slovenskej technickej univerzite v Bratislave“ zo dňa 14.10.2013.</w:t>
      </w:r>
    </w:p>
  </w:footnote>
  <w:footnote w:id="5">
    <w:p w14:paraId="523ABB46" w14:textId="77777777" w:rsidR="0075427D" w:rsidRPr="00BD1795" w:rsidRDefault="0075427D" w:rsidP="00BD1795">
      <w:pPr>
        <w:pStyle w:val="Textpoznmkypodiarou"/>
        <w:jc w:val="both"/>
        <w:rPr>
          <w:rFonts w:ascii="Calibri" w:hAnsi="Calibri"/>
        </w:rPr>
      </w:pPr>
      <w:r w:rsidRPr="00BD1795">
        <w:rPr>
          <w:rStyle w:val="Odkaznapoznmkupodiarou"/>
          <w:rFonts w:ascii="Calibri" w:hAnsi="Calibri"/>
        </w:rPr>
        <w:footnoteRef/>
      </w:r>
      <w:r w:rsidRPr="00BD1795">
        <w:rPr>
          <w:rFonts w:ascii="Calibri" w:hAnsi="Calibri"/>
        </w:rPr>
        <w:t xml:space="preserve"> </w:t>
      </w:r>
      <w:r w:rsidR="00E31864" w:rsidRPr="00BD1795">
        <w:rPr>
          <w:rFonts w:ascii="Calibri" w:hAnsi="Calibri"/>
        </w:rPr>
        <w:t>Článok 2 bod 7 Organizačného poriadku Slovenskej technickej univerzity v Bratislave.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5B584" w14:textId="77777777" w:rsidR="00012643" w:rsidRDefault="00012643" w:rsidP="001234F7">
    <w:pPr>
      <w:pStyle w:val="Hlavika"/>
      <w:ind w:left="-1276" w:firstLine="850"/>
    </w:pPr>
    <w:r>
      <w:rPr>
        <w:noProof/>
        <w:lang w:val="sk-SK" w:eastAsia="sk-SK"/>
      </w:rPr>
      <w:drawing>
        <wp:inline distT="0" distB="0" distL="0" distR="0" wp14:anchorId="4F5D36CE" wp14:editId="460C6E81">
          <wp:extent cx="1675958" cy="615950"/>
          <wp:effectExtent l="0" t="0" r="0" b="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DC2EC" w14:textId="77777777" w:rsidR="00070155" w:rsidRDefault="00070155" w:rsidP="00D1079A">
    <w:pPr>
      <w:pStyle w:val="Hlavika"/>
      <w:ind w:left="-284"/>
    </w:pPr>
    <w:r>
      <w:rPr>
        <w:noProof/>
        <w:lang w:val="sk-SK" w:eastAsia="sk-SK"/>
      </w:rPr>
      <w:drawing>
        <wp:inline distT="0" distB="0" distL="0" distR="0" wp14:anchorId="65F81364" wp14:editId="790CDCEF">
          <wp:extent cx="1943766" cy="714375"/>
          <wp:effectExtent l="0" t="0" r="0" b="0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246" cy="721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4C3AC" w14:textId="77777777" w:rsidR="001A33C6" w:rsidRDefault="00012643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D84B575" wp14:editId="6732346D">
              <wp:simplePos x="0" y="0"/>
              <wp:positionH relativeFrom="column">
                <wp:posOffset>1003111</wp:posOffset>
              </wp:positionH>
              <wp:positionV relativeFrom="paragraph">
                <wp:posOffset>6189</wp:posOffset>
              </wp:positionV>
              <wp:extent cx="4268470" cy="570586"/>
              <wp:effectExtent l="0" t="0" r="0" b="127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68470" cy="5705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52EE34" w14:textId="18D493DE" w:rsidR="00F8285C" w:rsidRDefault="000F325D" w:rsidP="00012643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Akademický senát</w:t>
                          </w:r>
                          <w:r w:rsidR="00DE14A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</w:t>
                          </w:r>
                          <w:r w:rsidR="00F8285C" w:rsidRPr="00F8285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DE14A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12.03.</w:t>
                          </w:r>
                          <w:r w:rsidR="00F8285C" w:rsidRPr="00F8285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2018</w:t>
                          </w:r>
                        </w:p>
                        <w:p w14:paraId="22EBDD30" w14:textId="132E7533" w:rsidR="00012643" w:rsidRDefault="00592B7A" w:rsidP="00012643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592B7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Návrh Organizačného poriadku Poradenského centra STU</w:t>
                          </w:r>
                        </w:p>
                        <w:p w14:paraId="4D91387A" w14:textId="0E6297C0" w:rsidR="00012643" w:rsidRPr="00A20866" w:rsidRDefault="00DE14A2" w:rsidP="00012643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prof. </w:t>
                          </w:r>
                          <w:r w:rsidR="00F8285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I</w:t>
                          </w:r>
                          <w:r w:rsidR="0001264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ng.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Robert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Redhammer</w:t>
                          </w:r>
                          <w:proofErr w:type="spellEnd"/>
                          <w:r w:rsidR="0001264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84B5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9pt;margin-top:.5pt;width:336.1pt;height:44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" filled="f" stroked="f">
              <v:path arrowok="t"/>
              <v:textbox>
                <w:txbxContent>
                  <w:p w14:paraId="7852EE34" w14:textId="18D493DE" w:rsidR="00F8285C" w:rsidRDefault="000F325D" w:rsidP="00012643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Akademický senát</w:t>
                    </w:r>
                    <w:r w:rsidR="00DE14A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</w:t>
                    </w:r>
                    <w:r w:rsidR="00F8285C" w:rsidRPr="00F8285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DE14A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12.03.</w:t>
                    </w:r>
                    <w:r w:rsidR="00F8285C" w:rsidRPr="00F8285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2018</w:t>
                    </w:r>
                  </w:p>
                  <w:p w14:paraId="22EBDD30" w14:textId="132E7533" w:rsidR="00012643" w:rsidRDefault="00592B7A" w:rsidP="00012643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592B7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Návrh Organizačného poriadku Poradenského centra STU</w:t>
                    </w:r>
                  </w:p>
                  <w:p w14:paraId="4D91387A" w14:textId="0E6297C0" w:rsidR="00012643" w:rsidRPr="00A20866" w:rsidRDefault="00DE14A2" w:rsidP="00012643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</w:t>
                    </w:r>
                    <w:r w:rsidR="00F8285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I</w:t>
                    </w:r>
                    <w:r w:rsidR="0001264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ng.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Robert </w:t>
                    </w: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Redhammer</w:t>
                    </w:r>
                    <w:proofErr w:type="spellEnd"/>
                    <w:r w:rsidR="0001264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 w:rsidR="001A33C6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121B3C" wp14:editId="2DAB73E9">
              <wp:simplePos x="0" y="0"/>
              <wp:positionH relativeFrom="column">
                <wp:posOffset>2155825</wp:posOffset>
              </wp:positionH>
              <wp:positionV relativeFrom="paragraph">
                <wp:posOffset>36195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15AE2E" w14:textId="77777777" w:rsidR="001A33C6" w:rsidRPr="00A20866" w:rsidRDefault="001A33C6" w:rsidP="00CA5D7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121B3C" id="_x0000_s1027" type="#_x0000_t202" style="position:absolute;left:0;text-align:left;margin-left:169.75pt;margin-top:2.85pt;width:308.5pt;height: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/k7qwIAAKo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" filled="f" stroked="f">
              <v:textbox>
                <w:txbxContent>
                  <w:p w14:paraId="7C15AE2E" w14:textId="77777777" w:rsidR="001A33C6" w:rsidRPr="00A20866" w:rsidRDefault="001A33C6" w:rsidP="00CA5D7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 w:rsidR="001A33C6">
      <w:rPr>
        <w:noProof/>
        <w:lang w:val="sk-SK" w:eastAsia="sk-SK"/>
      </w:rPr>
      <w:drawing>
        <wp:inline distT="0" distB="0" distL="0" distR="0" wp14:anchorId="258A8471" wp14:editId="4E07B1E0">
          <wp:extent cx="1676400" cy="619125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F88A2" w14:textId="77777777" w:rsidR="001A33C6" w:rsidRDefault="00592B7A" w:rsidP="005B42EE">
    <w:pPr>
      <w:pStyle w:val="Hlavika"/>
      <w:ind w:left="-851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3FBB83" wp14:editId="600961F6">
              <wp:simplePos x="0" y="0"/>
              <wp:positionH relativeFrom="column">
                <wp:posOffset>1002183</wp:posOffset>
              </wp:positionH>
              <wp:positionV relativeFrom="paragraph">
                <wp:posOffset>6680</wp:posOffset>
              </wp:positionV>
              <wp:extent cx="4268470" cy="570586"/>
              <wp:effectExtent l="0" t="0" r="0" b="127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68470" cy="5705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2A8FD8" w14:textId="04E2B87A" w:rsidR="00070155" w:rsidRDefault="000F325D" w:rsidP="00070155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Akademický senát</w:t>
                          </w:r>
                          <w:r w:rsidR="00DE14A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</w:t>
                          </w:r>
                          <w:r w:rsidR="0007015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DE14A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12.03.</w:t>
                          </w:r>
                          <w:r w:rsidR="0007015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2018</w:t>
                          </w:r>
                        </w:p>
                        <w:p w14:paraId="49DD0851" w14:textId="77777777" w:rsidR="00070155" w:rsidRDefault="00592B7A" w:rsidP="00070155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Návrh Organizačného poriadku</w:t>
                          </w:r>
                          <w:r w:rsidR="0007015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Poradenského</w:t>
                          </w:r>
                          <w:r w:rsidR="00070155" w:rsidRPr="00C9702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centr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</w:t>
                          </w:r>
                          <w:r w:rsidR="00070155" w:rsidRPr="00C9702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</w:t>
                          </w:r>
                        </w:p>
                        <w:p w14:paraId="3F94E3C4" w14:textId="103925CB" w:rsidR="00070155" w:rsidRPr="00A20866" w:rsidRDefault="00DE14A2" w:rsidP="00070155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prof. </w:t>
                          </w:r>
                          <w:r w:rsidR="0007015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Ing.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Robert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Redhammer</w:t>
                          </w:r>
                          <w:proofErr w:type="spellEnd"/>
                          <w:r w:rsidR="0007015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3FBB8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78.9pt;margin-top:.55pt;width:336.1pt;height:4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" filled="f" stroked="f">
              <v:path arrowok="t"/>
              <v:textbox>
                <w:txbxContent>
                  <w:p w14:paraId="262A8FD8" w14:textId="04E2B87A" w:rsidR="00070155" w:rsidRDefault="000F325D" w:rsidP="00070155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Akademický senát</w:t>
                    </w:r>
                    <w:r w:rsidR="00DE14A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</w:t>
                    </w:r>
                    <w:r w:rsidR="0007015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DE14A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12.03.</w:t>
                    </w:r>
                    <w:r w:rsidR="0007015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2018</w:t>
                    </w:r>
                  </w:p>
                  <w:p w14:paraId="49DD0851" w14:textId="77777777" w:rsidR="00070155" w:rsidRDefault="00592B7A" w:rsidP="00070155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Návrh Organizačného poriadku</w:t>
                    </w:r>
                    <w:r w:rsidR="0007015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Poradenského</w:t>
                    </w:r>
                    <w:r w:rsidR="00070155" w:rsidRPr="00C9702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centr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</w:t>
                    </w:r>
                    <w:r w:rsidR="00070155" w:rsidRPr="00C9702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</w:t>
                    </w:r>
                  </w:p>
                  <w:p w14:paraId="3F94E3C4" w14:textId="103925CB" w:rsidR="00070155" w:rsidRPr="00A20866" w:rsidRDefault="00DE14A2" w:rsidP="00070155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</w:t>
                    </w:r>
                    <w:r w:rsidR="0007015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Ing.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Robert </w:t>
                    </w: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Redhammer</w:t>
                    </w:r>
                    <w:proofErr w:type="spellEnd"/>
                    <w:r w:rsidR="0007015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 w:rsidR="001A33C6">
      <w:rPr>
        <w:noProof/>
        <w:lang w:val="sk-SK" w:eastAsia="sk-SK"/>
      </w:rPr>
      <w:drawing>
        <wp:inline distT="0" distB="0" distL="0" distR="0" wp14:anchorId="62FFFE3F" wp14:editId="11C99599">
          <wp:extent cx="1774326" cy="657979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605" cy="6606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7AFD"/>
    <w:multiLevelType w:val="hybridMultilevel"/>
    <w:tmpl w:val="C3C609F8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EE79C4"/>
    <w:multiLevelType w:val="hybridMultilevel"/>
    <w:tmpl w:val="A0F66792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842F07"/>
    <w:multiLevelType w:val="hybridMultilevel"/>
    <w:tmpl w:val="42E259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117A7"/>
    <w:multiLevelType w:val="hybridMultilevel"/>
    <w:tmpl w:val="1E1C9A34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C10453"/>
    <w:multiLevelType w:val="hybridMultilevel"/>
    <w:tmpl w:val="A1E204E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2738D"/>
    <w:multiLevelType w:val="hybridMultilevel"/>
    <w:tmpl w:val="546AF00C"/>
    <w:lvl w:ilvl="0" w:tplc="214475E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34154F7C"/>
    <w:multiLevelType w:val="hybridMultilevel"/>
    <w:tmpl w:val="0898312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4EF00A4"/>
    <w:multiLevelType w:val="hybridMultilevel"/>
    <w:tmpl w:val="6BA4F3C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E835D9E"/>
    <w:multiLevelType w:val="hybridMultilevel"/>
    <w:tmpl w:val="65E4368A"/>
    <w:lvl w:ilvl="0" w:tplc="138AFD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9F5671"/>
    <w:multiLevelType w:val="hybridMultilevel"/>
    <w:tmpl w:val="2F0C4CD8"/>
    <w:lvl w:ilvl="0" w:tplc="365235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2069C7"/>
    <w:multiLevelType w:val="hybridMultilevel"/>
    <w:tmpl w:val="BA04D63E"/>
    <w:lvl w:ilvl="0" w:tplc="598CD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0C1084"/>
    <w:multiLevelType w:val="hybridMultilevel"/>
    <w:tmpl w:val="587E501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92563"/>
    <w:multiLevelType w:val="hybridMultilevel"/>
    <w:tmpl w:val="347CE944"/>
    <w:lvl w:ilvl="0" w:tplc="9C586C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27D27"/>
    <w:multiLevelType w:val="hybridMultilevel"/>
    <w:tmpl w:val="869A2B7E"/>
    <w:lvl w:ilvl="0" w:tplc="32961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1B3CB9"/>
    <w:multiLevelType w:val="hybridMultilevel"/>
    <w:tmpl w:val="5ED0B2A8"/>
    <w:lvl w:ilvl="0" w:tplc="DC3ECD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2318F8"/>
    <w:multiLevelType w:val="hybridMultilevel"/>
    <w:tmpl w:val="F3C0AB4E"/>
    <w:lvl w:ilvl="0" w:tplc="09EC26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931DC6"/>
    <w:multiLevelType w:val="hybridMultilevel"/>
    <w:tmpl w:val="BB124150"/>
    <w:lvl w:ilvl="0" w:tplc="7FCC2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304FD8"/>
    <w:multiLevelType w:val="hybridMultilevel"/>
    <w:tmpl w:val="004A7972"/>
    <w:lvl w:ilvl="0" w:tplc="0A8273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BE1D2A"/>
    <w:multiLevelType w:val="hybridMultilevel"/>
    <w:tmpl w:val="2BB06B0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443FF"/>
    <w:multiLevelType w:val="hybridMultilevel"/>
    <w:tmpl w:val="C242FDE4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DA6010C"/>
    <w:multiLevelType w:val="hybridMultilevel"/>
    <w:tmpl w:val="C3366D7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043DD"/>
    <w:multiLevelType w:val="hybridMultilevel"/>
    <w:tmpl w:val="EA543796"/>
    <w:lvl w:ilvl="0" w:tplc="BE44EA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63707F"/>
    <w:multiLevelType w:val="hybridMultilevel"/>
    <w:tmpl w:val="DCECE20A"/>
    <w:lvl w:ilvl="0" w:tplc="C4766A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932ED1"/>
    <w:multiLevelType w:val="hybridMultilevel"/>
    <w:tmpl w:val="CEAC1540"/>
    <w:lvl w:ilvl="0" w:tplc="A3A8D2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4397349"/>
    <w:multiLevelType w:val="hybridMultilevel"/>
    <w:tmpl w:val="223A8D5A"/>
    <w:lvl w:ilvl="0" w:tplc="041B0017">
      <w:start w:val="1"/>
      <w:numFmt w:val="lowerLetter"/>
      <w:lvlText w:val="%1)"/>
      <w:lvlJc w:val="left"/>
      <w:pPr>
        <w:ind w:left="2701" w:hanging="360"/>
      </w:pPr>
    </w:lvl>
    <w:lvl w:ilvl="1" w:tplc="041B0019" w:tentative="1">
      <w:start w:val="1"/>
      <w:numFmt w:val="lowerLetter"/>
      <w:lvlText w:val="%2."/>
      <w:lvlJc w:val="left"/>
      <w:pPr>
        <w:ind w:left="3421" w:hanging="360"/>
      </w:pPr>
    </w:lvl>
    <w:lvl w:ilvl="2" w:tplc="041B001B" w:tentative="1">
      <w:start w:val="1"/>
      <w:numFmt w:val="lowerRoman"/>
      <w:lvlText w:val="%3."/>
      <w:lvlJc w:val="right"/>
      <w:pPr>
        <w:ind w:left="4141" w:hanging="180"/>
      </w:pPr>
    </w:lvl>
    <w:lvl w:ilvl="3" w:tplc="041B000F" w:tentative="1">
      <w:start w:val="1"/>
      <w:numFmt w:val="decimal"/>
      <w:lvlText w:val="%4."/>
      <w:lvlJc w:val="left"/>
      <w:pPr>
        <w:ind w:left="4861" w:hanging="360"/>
      </w:pPr>
    </w:lvl>
    <w:lvl w:ilvl="4" w:tplc="041B0019" w:tentative="1">
      <w:start w:val="1"/>
      <w:numFmt w:val="lowerLetter"/>
      <w:lvlText w:val="%5."/>
      <w:lvlJc w:val="left"/>
      <w:pPr>
        <w:ind w:left="5581" w:hanging="360"/>
      </w:pPr>
    </w:lvl>
    <w:lvl w:ilvl="5" w:tplc="041B001B" w:tentative="1">
      <w:start w:val="1"/>
      <w:numFmt w:val="lowerRoman"/>
      <w:lvlText w:val="%6."/>
      <w:lvlJc w:val="right"/>
      <w:pPr>
        <w:ind w:left="6301" w:hanging="180"/>
      </w:pPr>
    </w:lvl>
    <w:lvl w:ilvl="6" w:tplc="041B000F" w:tentative="1">
      <w:start w:val="1"/>
      <w:numFmt w:val="decimal"/>
      <w:lvlText w:val="%7."/>
      <w:lvlJc w:val="left"/>
      <w:pPr>
        <w:ind w:left="7021" w:hanging="360"/>
      </w:pPr>
    </w:lvl>
    <w:lvl w:ilvl="7" w:tplc="041B0019" w:tentative="1">
      <w:start w:val="1"/>
      <w:numFmt w:val="lowerLetter"/>
      <w:lvlText w:val="%8."/>
      <w:lvlJc w:val="left"/>
      <w:pPr>
        <w:ind w:left="7741" w:hanging="360"/>
      </w:pPr>
    </w:lvl>
    <w:lvl w:ilvl="8" w:tplc="041B001B" w:tentative="1">
      <w:start w:val="1"/>
      <w:numFmt w:val="lowerRoman"/>
      <w:lvlText w:val="%9."/>
      <w:lvlJc w:val="right"/>
      <w:pPr>
        <w:ind w:left="8461" w:hanging="180"/>
      </w:p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20"/>
  </w:num>
  <w:num w:numId="5">
    <w:abstractNumId w:val="21"/>
  </w:num>
  <w:num w:numId="6">
    <w:abstractNumId w:val="23"/>
  </w:num>
  <w:num w:numId="7">
    <w:abstractNumId w:val="11"/>
  </w:num>
  <w:num w:numId="8">
    <w:abstractNumId w:val="13"/>
  </w:num>
  <w:num w:numId="9">
    <w:abstractNumId w:val="16"/>
  </w:num>
  <w:num w:numId="10">
    <w:abstractNumId w:val="9"/>
  </w:num>
  <w:num w:numId="11">
    <w:abstractNumId w:val="10"/>
  </w:num>
  <w:num w:numId="12">
    <w:abstractNumId w:val="2"/>
  </w:num>
  <w:num w:numId="13">
    <w:abstractNumId w:val="15"/>
  </w:num>
  <w:num w:numId="14">
    <w:abstractNumId w:val="18"/>
  </w:num>
  <w:num w:numId="15">
    <w:abstractNumId w:val="22"/>
  </w:num>
  <w:num w:numId="16">
    <w:abstractNumId w:val="14"/>
  </w:num>
  <w:num w:numId="17">
    <w:abstractNumId w:val="8"/>
  </w:num>
  <w:num w:numId="18">
    <w:abstractNumId w:val="24"/>
  </w:num>
  <w:num w:numId="19">
    <w:abstractNumId w:val="7"/>
  </w:num>
  <w:num w:numId="20">
    <w:abstractNumId w:val="19"/>
  </w:num>
  <w:num w:numId="21">
    <w:abstractNumId w:val="0"/>
  </w:num>
  <w:num w:numId="22">
    <w:abstractNumId w:val="6"/>
  </w:num>
  <w:num w:numId="23">
    <w:abstractNumId w:val="5"/>
  </w:num>
  <w:num w:numId="24">
    <w:abstractNumId w:val="1"/>
  </w:num>
  <w:num w:numId="25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FD"/>
    <w:rsid w:val="00000F6F"/>
    <w:rsid w:val="00001808"/>
    <w:rsid w:val="00005A91"/>
    <w:rsid w:val="000108F9"/>
    <w:rsid w:val="0001154F"/>
    <w:rsid w:val="00012643"/>
    <w:rsid w:val="00023469"/>
    <w:rsid w:val="000301B5"/>
    <w:rsid w:val="00035F8A"/>
    <w:rsid w:val="00040A79"/>
    <w:rsid w:val="000441D6"/>
    <w:rsid w:val="0004565C"/>
    <w:rsid w:val="0004639C"/>
    <w:rsid w:val="00050FF9"/>
    <w:rsid w:val="0006307B"/>
    <w:rsid w:val="00064600"/>
    <w:rsid w:val="00065421"/>
    <w:rsid w:val="00070155"/>
    <w:rsid w:val="00074A90"/>
    <w:rsid w:val="00082056"/>
    <w:rsid w:val="000833AA"/>
    <w:rsid w:val="00096C82"/>
    <w:rsid w:val="000A1A52"/>
    <w:rsid w:val="000A648B"/>
    <w:rsid w:val="000B4A97"/>
    <w:rsid w:val="000B5A92"/>
    <w:rsid w:val="000B62E1"/>
    <w:rsid w:val="000B682C"/>
    <w:rsid w:val="000B71D8"/>
    <w:rsid w:val="000B7938"/>
    <w:rsid w:val="000C3B95"/>
    <w:rsid w:val="000D0F31"/>
    <w:rsid w:val="000D57A5"/>
    <w:rsid w:val="000E3A5D"/>
    <w:rsid w:val="000E733B"/>
    <w:rsid w:val="000F325D"/>
    <w:rsid w:val="000F466A"/>
    <w:rsid w:val="000F5DC7"/>
    <w:rsid w:val="00105D75"/>
    <w:rsid w:val="001119A5"/>
    <w:rsid w:val="001208BC"/>
    <w:rsid w:val="00120C4E"/>
    <w:rsid w:val="00131D72"/>
    <w:rsid w:val="00132EBF"/>
    <w:rsid w:val="00134B94"/>
    <w:rsid w:val="001353B9"/>
    <w:rsid w:val="00140EB2"/>
    <w:rsid w:val="0014155E"/>
    <w:rsid w:val="00142830"/>
    <w:rsid w:val="001473ED"/>
    <w:rsid w:val="0015346B"/>
    <w:rsid w:val="00163E3C"/>
    <w:rsid w:val="00170D1D"/>
    <w:rsid w:val="00170FD7"/>
    <w:rsid w:val="001778F9"/>
    <w:rsid w:val="00190EB9"/>
    <w:rsid w:val="00191488"/>
    <w:rsid w:val="00197B05"/>
    <w:rsid w:val="00197B36"/>
    <w:rsid w:val="001A026F"/>
    <w:rsid w:val="001A2373"/>
    <w:rsid w:val="001A33C6"/>
    <w:rsid w:val="001B2FD7"/>
    <w:rsid w:val="001C32A6"/>
    <w:rsid w:val="001D0AB9"/>
    <w:rsid w:val="001D65C8"/>
    <w:rsid w:val="001E343F"/>
    <w:rsid w:val="001E4AF7"/>
    <w:rsid w:val="001F1F16"/>
    <w:rsid w:val="001F25C2"/>
    <w:rsid w:val="001F2BEE"/>
    <w:rsid w:val="001F6DC3"/>
    <w:rsid w:val="00201345"/>
    <w:rsid w:val="00212567"/>
    <w:rsid w:val="00242889"/>
    <w:rsid w:val="0024488A"/>
    <w:rsid w:val="00245B8F"/>
    <w:rsid w:val="00251DA0"/>
    <w:rsid w:val="00254D66"/>
    <w:rsid w:val="00260A67"/>
    <w:rsid w:val="0026256E"/>
    <w:rsid w:val="00263F07"/>
    <w:rsid w:val="00266B3B"/>
    <w:rsid w:val="0028563C"/>
    <w:rsid w:val="00296896"/>
    <w:rsid w:val="00297B03"/>
    <w:rsid w:val="002B72BA"/>
    <w:rsid w:val="002C076D"/>
    <w:rsid w:val="002C11ED"/>
    <w:rsid w:val="002D3436"/>
    <w:rsid w:val="002D3B63"/>
    <w:rsid w:val="002D6443"/>
    <w:rsid w:val="002E592E"/>
    <w:rsid w:val="002F0DB9"/>
    <w:rsid w:val="0030006A"/>
    <w:rsid w:val="003008EE"/>
    <w:rsid w:val="00302B87"/>
    <w:rsid w:val="003035A6"/>
    <w:rsid w:val="00310AC8"/>
    <w:rsid w:val="003169B8"/>
    <w:rsid w:val="00316B38"/>
    <w:rsid w:val="00326F85"/>
    <w:rsid w:val="00331729"/>
    <w:rsid w:val="00331CCB"/>
    <w:rsid w:val="00342133"/>
    <w:rsid w:val="0034562C"/>
    <w:rsid w:val="00347544"/>
    <w:rsid w:val="003506F9"/>
    <w:rsid w:val="00364BF3"/>
    <w:rsid w:val="00376E26"/>
    <w:rsid w:val="00376E36"/>
    <w:rsid w:val="00382B01"/>
    <w:rsid w:val="003A397E"/>
    <w:rsid w:val="003B30A5"/>
    <w:rsid w:val="003C4413"/>
    <w:rsid w:val="003C47E1"/>
    <w:rsid w:val="003C5640"/>
    <w:rsid w:val="003C59CE"/>
    <w:rsid w:val="003C6B16"/>
    <w:rsid w:val="003D08DB"/>
    <w:rsid w:val="003D3495"/>
    <w:rsid w:val="003D4CF0"/>
    <w:rsid w:val="003E670E"/>
    <w:rsid w:val="003E6E0C"/>
    <w:rsid w:val="003F0813"/>
    <w:rsid w:val="003F6D3E"/>
    <w:rsid w:val="003F7E94"/>
    <w:rsid w:val="004024FF"/>
    <w:rsid w:val="00411CD2"/>
    <w:rsid w:val="004124DE"/>
    <w:rsid w:val="00414D3D"/>
    <w:rsid w:val="0041635F"/>
    <w:rsid w:val="004177FC"/>
    <w:rsid w:val="0042738F"/>
    <w:rsid w:val="00442B8B"/>
    <w:rsid w:val="00443890"/>
    <w:rsid w:val="0045282D"/>
    <w:rsid w:val="004551F2"/>
    <w:rsid w:val="00455463"/>
    <w:rsid w:val="00456029"/>
    <w:rsid w:val="004576F3"/>
    <w:rsid w:val="00465CAB"/>
    <w:rsid w:val="00467B67"/>
    <w:rsid w:val="00482814"/>
    <w:rsid w:val="00490D60"/>
    <w:rsid w:val="00492929"/>
    <w:rsid w:val="004939C3"/>
    <w:rsid w:val="004A4182"/>
    <w:rsid w:val="004A6D59"/>
    <w:rsid w:val="004B1563"/>
    <w:rsid w:val="004B42CE"/>
    <w:rsid w:val="004B6385"/>
    <w:rsid w:val="004B68AC"/>
    <w:rsid w:val="004C11FF"/>
    <w:rsid w:val="004C1D47"/>
    <w:rsid w:val="004C4B8B"/>
    <w:rsid w:val="004C52D8"/>
    <w:rsid w:val="004C7782"/>
    <w:rsid w:val="004D5251"/>
    <w:rsid w:val="004D57AC"/>
    <w:rsid w:val="004E5A11"/>
    <w:rsid w:val="00506D60"/>
    <w:rsid w:val="00510235"/>
    <w:rsid w:val="00520A00"/>
    <w:rsid w:val="0053738C"/>
    <w:rsid w:val="0053785D"/>
    <w:rsid w:val="00537C64"/>
    <w:rsid w:val="00540585"/>
    <w:rsid w:val="00545BDA"/>
    <w:rsid w:val="00546A05"/>
    <w:rsid w:val="005509B6"/>
    <w:rsid w:val="00552A42"/>
    <w:rsid w:val="0055535E"/>
    <w:rsid w:val="00555D71"/>
    <w:rsid w:val="00556138"/>
    <w:rsid w:val="00563651"/>
    <w:rsid w:val="00570419"/>
    <w:rsid w:val="00573C22"/>
    <w:rsid w:val="005822B0"/>
    <w:rsid w:val="00587603"/>
    <w:rsid w:val="00592B7A"/>
    <w:rsid w:val="005A009D"/>
    <w:rsid w:val="005A1790"/>
    <w:rsid w:val="005A1E7D"/>
    <w:rsid w:val="005B20D3"/>
    <w:rsid w:val="005B22F4"/>
    <w:rsid w:val="005B2AC9"/>
    <w:rsid w:val="005B2C3E"/>
    <w:rsid w:val="005B2ED8"/>
    <w:rsid w:val="005B42EE"/>
    <w:rsid w:val="005B5B86"/>
    <w:rsid w:val="005B7841"/>
    <w:rsid w:val="005C6956"/>
    <w:rsid w:val="005C704D"/>
    <w:rsid w:val="005D169A"/>
    <w:rsid w:val="005D4865"/>
    <w:rsid w:val="005D6AF3"/>
    <w:rsid w:val="005D72F3"/>
    <w:rsid w:val="005E0D0D"/>
    <w:rsid w:val="005F3C13"/>
    <w:rsid w:val="005F522B"/>
    <w:rsid w:val="005F53BA"/>
    <w:rsid w:val="0060179B"/>
    <w:rsid w:val="00606B9B"/>
    <w:rsid w:val="00613B52"/>
    <w:rsid w:val="00614EED"/>
    <w:rsid w:val="00622F79"/>
    <w:rsid w:val="00623FB0"/>
    <w:rsid w:val="00626C1B"/>
    <w:rsid w:val="00634199"/>
    <w:rsid w:val="00635A52"/>
    <w:rsid w:val="0064076E"/>
    <w:rsid w:val="0064285F"/>
    <w:rsid w:val="00642B2B"/>
    <w:rsid w:val="006434EF"/>
    <w:rsid w:val="00643963"/>
    <w:rsid w:val="00646F76"/>
    <w:rsid w:val="006476F3"/>
    <w:rsid w:val="00655207"/>
    <w:rsid w:val="00656E6E"/>
    <w:rsid w:val="006666F3"/>
    <w:rsid w:val="006705B2"/>
    <w:rsid w:val="00671427"/>
    <w:rsid w:val="00682495"/>
    <w:rsid w:val="00691479"/>
    <w:rsid w:val="006919CA"/>
    <w:rsid w:val="00692219"/>
    <w:rsid w:val="00692C5E"/>
    <w:rsid w:val="00693065"/>
    <w:rsid w:val="006937E3"/>
    <w:rsid w:val="00696456"/>
    <w:rsid w:val="00696FF9"/>
    <w:rsid w:val="006A1572"/>
    <w:rsid w:val="006A22D6"/>
    <w:rsid w:val="006B4962"/>
    <w:rsid w:val="006B5B1C"/>
    <w:rsid w:val="006C35A1"/>
    <w:rsid w:val="006C417F"/>
    <w:rsid w:val="006C4440"/>
    <w:rsid w:val="006D01C7"/>
    <w:rsid w:val="006D13AF"/>
    <w:rsid w:val="006E68D9"/>
    <w:rsid w:val="006F4AFD"/>
    <w:rsid w:val="006F4C1C"/>
    <w:rsid w:val="006F5DC7"/>
    <w:rsid w:val="00701141"/>
    <w:rsid w:val="00710F4A"/>
    <w:rsid w:val="00726311"/>
    <w:rsid w:val="00730000"/>
    <w:rsid w:val="00730C85"/>
    <w:rsid w:val="00732F43"/>
    <w:rsid w:val="00742372"/>
    <w:rsid w:val="007429B9"/>
    <w:rsid w:val="0074569E"/>
    <w:rsid w:val="00751207"/>
    <w:rsid w:val="00752DB9"/>
    <w:rsid w:val="007540C7"/>
    <w:rsid w:val="0075427D"/>
    <w:rsid w:val="007558D0"/>
    <w:rsid w:val="0076088A"/>
    <w:rsid w:val="007609D9"/>
    <w:rsid w:val="00762D69"/>
    <w:rsid w:val="00774D8A"/>
    <w:rsid w:val="00775BE5"/>
    <w:rsid w:val="00780D27"/>
    <w:rsid w:val="0079589C"/>
    <w:rsid w:val="007A1DD1"/>
    <w:rsid w:val="007A2C52"/>
    <w:rsid w:val="007A618C"/>
    <w:rsid w:val="007C15BE"/>
    <w:rsid w:val="007C1A0C"/>
    <w:rsid w:val="007C517D"/>
    <w:rsid w:val="007D0258"/>
    <w:rsid w:val="007D2B8A"/>
    <w:rsid w:val="007E1739"/>
    <w:rsid w:val="007E3027"/>
    <w:rsid w:val="007E7686"/>
    <w:rsid w:val="007F0B6C"/>
    <w:rsid w:val="007F5771"/>
    <w:rsid w:val="00802F1F"/>
    <w:rsid w:val="00804FBE"/>
    <w:rsid w:val="008059F0"/>
    <w:rsid w:val="00806C4D"/>
    <w:rsid w:val="00810B6A"/>
    <w:rsid w:val="00813B80"/>
    <w:rsid w:val="00816351"/>
    <w:rsid w:val="00816D91"/>
    <w:rsid w:val="00817D2B"/>
    <w:rsid w:val="00822575"/>
    <w:rsid w:val="00822C9A"/>
    <w:rsid w:val="008252CD"/>
    <w:rsid w:val="00842815"/>
    <w:rsid w:val="00846CC6"/>
    <w:rsid w:val="008525E7"/>
    <w:rsid w:val="00855B64"/>
    <w:rsid w:val="00865C7D"/>
    <w:rsid w:val="008675A1"/>
    <w:rsid w:val="00872502"/>
    <w:rsid w:val="00872BE8"/>
    <w:rsid w:val="008766EE"/>
    <w:rsid w:val="00876DB7"/>
    <w:rsid w:val="0088335A"/>
    <w:rsid w:val="0089483E"/>
    <w:rsid w:val="008A0C3B"/>
    <w:rsid w:val="008A2CAC"/>
    <w:rsid w:val="008A32DF"/>
    <w:rsid w:val="008A6CE7"/>
    <w:rsid w:val="008B3C34"/>
    <w:rsid w:val="008B6099"/>
    <w:rsid w:val="008B72F7"/>
    <w:rsid w:val="008C0D63"/>
    <w:rsid w:val="008C245E"/>
    <w:rsid w:val="008C48EC"/>
    <w:rsid w:val="008C56FB"/>
    <w:rsid w:val="008C5780"/>
    <w:rsid w:val="008E431E"/>
    <w:rsid w:val="008E48CC"/>
    <w:rsid w:val="008E6AB4"/>
    <w:rsid w:val="008F70F5"/>
    <w:rsid w:val="00913026"/>
    <w:rsid w:val="0091753B"/>
    <w:rsid w:val="00923774"/>
    <w:rsid w:val="00927FE3"/>
    <w:rsid w:val="00930230"/>
    <w:rsid w:val="009316A3"/>
    <w:rsid w:val="009438CF"/>
    <w:rsid w:val="00944F73"/>
    <w:rsid w:val="009564EB"/>
    <w:rsid w:val="00960AD3"/>
    <w:rsid w:val="0096605A"/>
    <w:rsid w:val="00966177"/>
    <w:rsid w:val="009719F1"/>
    <w:rsid w:val="0097249F"/>
    <w:rsid w:val="00972B3D"/>
    <w:rsid w:val="00974914"/>
    <w:rsid w:val="00977B2B"/>
    <w:rsid w:val="009946B8"/>
    <w:rsid w:val="009952BB"/>
    <w:rsid w:val="009A172A"/>
    <w:rsid w:val="009B04FF"/>
    <w:rsid w:val="009B0FC5"/>
    <w:rsid w:val="009B1070"/>
    <w:rsid w:val="009B13A6"/>
    <w:rsid w:val="009B14AA"/>
    <w:rsid w:val="009B347C"/>
    <w:rsid w:val="009B35DD"/>
    <w:rsid w:val="009C3F93"/>
    <w:rsid w:val="009C423E"/>
    <w:rsid w:val="009D30EB"/>
    <w:rsid w:val="009D33F4"/>
    <w:rsid w:val="009E1D33"/>
    <w:rsid w:val="009E4015"/>
    <w:rsid w:val="009E4478"/>
    <w:rsid w:val="009E6254"/>
    <w:rsid w:val="009F091B"/>
    <w:rsid w:val="009F4226"/>
    <w:rsid w:val="00A04A7B"/>
    <w:rsid w:val="00A11A31"/>
    <w:rsid w:val="00A1329E"/>
    <w:rsid w:val="00A13DB1"/>
    <w:rsid w:val="00A15FAC"/>
    <w:rsid w:val="00A171E9"/>
    <w:rsid w:val="00A177A9"/>
    <w:rsid w:val="00A17E7E"/>
    <w:rsid w:val="00A20866"/>
    <w:rsid w:val="00A2293D"/>
    <w:rsid w:val="00A22B18"/>
    <w:rsid w:val="00A23B73"/>
    <w:rsid w:val="00A40805"/>
    <w:rsid w:val="00A44A16"/>
    <w:rsid w:val="00A473A6"/>
    <w:rsid w:val="00A53806"/>
    <w:rsid w:val="00A6141B"/>
    <w:rsid w:val="00A66EF6"/>
    <w:rsid w:val="00A70688"/>
    <w:rsid w:val="00A709F7"/>
    <w:rsid w:val="00A71C2D"/>
    <w:rsid w:val="00A7280F"/>
    <w:rsid w:val="00A77613"/>
    <w:rsid w:val="00A81E77"/>
    <w:rsid w:val="00A82109"/>
    <w:rsid w:val="00AA1132"/>
    <w:rsid w:val="00AA3801"/>
    <w:rsid w:val="00AA589A"/>
    <w:rsid w:val="00AA5FA6"/>
    <w:rsid w:val="00AA6770"/>
    <w:rsid w:val="00AB495A"/>
    <w:rsid w:val="00AC6A30"/>
    <w:rsid w:val="00AC72CA"/>
    <w:rsid w:val="00AD6D5C"/>
    <w:rsid w:val="00AE3355"/>
    <w:rsid w:val="00AF52F0"/>
    <w:rsid w:val="00AF7046"/>
    <w:rsid w:val="00AF78B6"/>
    <w:rsid w:val="00B00852"/>
    <w:rsid w:val="00B02C3D"/>
    <w:rsid w:val="00B15DCD"/>
    <w:rsid w:val="00B234B6"/>
    <w:rsid w:val="00B23E1A"/>
    <w:rsid w:val="00B27C30"/>
    <w:rsid w:val="00B34393"/>
    <w:rsid w:val="00B36C0A"/>
    <w:rsid w:val="00B40672"/>
    <w:rsid w:val="00B415EC"/>
    <w:rsid w:val="00B545C9"/>
    <w:rsid w:val="00B57CC3"/>
    <w:rsid w:val="00B621BE"/>
    <w:rsid w:val="00B650B2"/>
    <w:rsid w:val="00B6569A"/>
    <w:rsid w:val="00B67FE7"/>
    <w:rsid w:val="00B70A55"/>
    <w:rsid w:val="00B72349"/>
    <w:rsid w:val="00B73244"/>
    <w:rsid w:val="00B76DE5"/>
    <w:rsid w:val="00B76E2C"/>
    <w:rsid w:val="00B77748"/>
    <w:rsid w:val="00B80601"/>
    <w:rsid w:val="00B8111A"/>
    <w:rsid w:val="00B86382"/>
    <w:rsid w:val="00BA0007"/>
    <w:rsid w:val="00BA0596"/>
    <w:rsid w:val="00BA136E"/>
    <w:rsid w:val="00BA547D"/>
    <w:rsid w:val="00BB2EA9"/>
    <w:rsid w:val="00BD03ED"/>
    <w:rsid w:val="00BD1795"/>
    <w:rsid w:val="00BD3FBF"/>
    <w:rsid w:val="00BD7BEF"/>
    <w:rsid w:val="00BE063D"/>
    <w:rsid w:val="00BE2E05"/>
    <w:rsid w:val="00BE52F4"/>
    <w:rsid w:val="00BF10FD"/>
    <w:rsid w:val="00BF12EF"/>
    <w:rsid w:val="00BF221E"/>
    <w:rsid w:val="00BF77A8"/>
    <w:rsid w:val="00C01413"/>
    <w:rsid w:val="00C036C1"/>
    <w:rsid w:val="00C16876"/>
    <w:rsid w:val="00C1766A"/>
    <w:rsid w:val="00C3282D"/>
    <w:rsid w:val="00C328DC"/>
    <w:rsid w:val="00C32A0B"/>
    <w:rsid w:val="00C339C7"/>
    <w:rsid w:val="00C353CC"/>
    <w:rsid w:val="00C401FC"/>
    <w:rsid w:val="00C423DD"/>
    <w:rsid w:val="00C47E5C"/>
    <w:rsid w:val="00C5775A"/>
    <w:rsid w:val="00C65356"/>
    <w:rsid w:val="00C65620"/>
    <w:rsid w:val="00C65C1D"/>
    <w:rsid w:val="00C768D7"/>
    <w:rsid w:val="00C82000"/>
    <w:rsid w:val="00C840C1"/>
    <w:rsid w:val="00C868F5"/>
    <w:rsid w:val="00C975A4"/>
    <w:rsid w:val="00CA3597"/>
    <w:rsid w:val="00CA3C3F"/>
    <w:rsid w:val="00CA5D74"/>
    <w:rsid w:val="00CB1012"/>
    <w:rsid w:val="00CB5D7B"/>
    <w:rsid w:val="00CB6C25"/>
    <w:rsid w:val="00CC189A"/>
    <w:rsid w:val="00CE21E9"/>
    <w:rsid w:val="00CE6990"/>
    <w:rsid w:val="00CF5562"/>
    <w:rsid w:val="00CF645C"/>
    <w:rsid w:val="00D05095"/>
    <w:rsid w:val="00D1079A"/>
    <w:rsid w:val="00D11C7C"/>
    <w:rsid w:val="00D15933"/>
    <w:rsid w:val="00D20BC0"/>
    <w:rsid w:val="00D30298"/>
    <w:rsid w:val="00D30ADE"/>
    <w:rsid w:val="00D32C50"/>
    <w:rsid w:val="00D33148"/>
    <w:rsid w:val="00D33624"/>
    <w:rsid w:val="00D34342"/>
    <w:rsid w:val="00D36B44"/>
    <w:rsid w:val="00D3789D"/>
    <w:rsid w:val="00D41335"/>
    <w:rsid w:val="00D5209C"/>
    <w:rsid w:val="00D53842"/>
    <w:rsid w:val="00D53A3F"/>
    <w:rsid w:val="00D82059"/>
    <w:rsid w:val="00D8561F"/>
    <w:rsid w:val="00D87C75"/>
    <w:rsid w:val="00D9246B"/>
    <w:rsid w:val="00D95A4D"/>
    <w:rsid w:val="00DA7F63"/>
    <w:rsid w:val="00DB21D4"/>
    <w:rsid w:val="00DB779F"/>
    <w:rsid w:val="00DB7995"/>
    <w:rsid w:val="00DC4788"/>
    <w:rsid w:val="00DD0992"/>
    <w:rsid w:val="00DD508B"/>
    <w:rsid w:val="00DE14A2"/>
    <w:rsid w:val="00E05BAE"/>
    <w:rsid w:val="00E07C07"/>
    <w:rsid w:val="00E13DD5"/>
    <w:rsid w:val="00E16B8D"/>
    <w:rsid w:val="00E16CC5"/>
    <w:rsid w:val="00E27115"/>
    <w:rsid w:val="00E31864"/>
    <w:rsid w:val="00E35A85"/>
    <w:rsid w:val="00E416E2"/>
    <w:rsid w:val="00E45F13"/>
    <w:rsid w:val="00E46ED7"/>
    <w:rsid w:val="00E52047"/>
    <w:rsid w:val="00E55155"/>
    <w:rsid w:val="00E57C78"/>
    <w:rsid w:val="00E62B13"/>
    <w:rsid w:val="00E716D6"/>
    <w:rsid w:val="00E72C07"/>
    <w:rsid w:val="00E7469F"/>
    <w:rsid w:val="00E76676"/>
    <w:rsid w:val="00E775E1"/>
    <w:rsid w:val="00E84202"/>
    <w:rsid w:val="00E862F0"/>
    <w:rsid w:val="00E86AAB"/>
    <w:rsid w:val="00EA530D"/>
    <w:rsid w:val="00EA5592"/>
    <w:rsid w:val="00EB6E22"/>
    <w:rsid w:val="00EC1C3B"/>
    <w:rsid w:val="00EC708D"/>
    <w:rsid w:val="00ED2D82"/>
    <w:rsid w:val="00ED4F20"/>
    <w:rsid w:val="00ED710A"/>
    <w:rsid w:val="00EE3B6C"/>
    <w:rsid w:val="00EE6E6B"/>
    <w:rsid w:val="00EF071E"/>
    <w:rsid w:val="00EF55B9"/>
    <w:rsid w:val="00EF70F1"/>
    <w:rsid w:val="00EF766F"/>
    <w:rsid w:val="00F1789A"/>
    <w:rsid w:val="00F238A0"/>
    <w:rsid w:val="00F24799"/>
    <w:rsid w:val="00F24DC7"/>
    <w:rsid w:val="00F27414"/>
    <w:rsid w:val="00F3245B"/>
    <w:rsid w:val="00F340AB"/>
    <w:rsid w:val="00F3697B"/>
    <w:rsid w:val="00F37FE0"/>
    <w:rsid w:val="00F439C8"/>
    <w:rsid w:val="00F50E13"/>
    <w:rsid w:val="00F516B6"/>
    <w:rsid w:val="00F5582E"/>
    <w:rsid w:val="00F61419"/>
    <w:rsid w:val="00F6406C"/>
    <w:rsid w:val="00F72759"/>
    <w:rsid w:val="00F75941"/>
    <w:rsid w:val="00F826B9"/>
    <w:rsid w:val="00F8285C"/>
    <w:rsid w:val="00F83472"/>
    <w:rsid w:val="00F84035"/>
    <w:rsid w:val="00F866AD"/>
    <w:rsid w:val="00F907A7"/>
    <w:rsid w:val="00F910AE"/>
    <w:rsid w:val="00F94A75"/>
    <w:rsid w:val="00F950E9"/>
    <w:rsid w:val="00FA36C1"/>
    <w:rsid w:val="00FA4121"/>
    <w:rsid w:val="00FA4D4C"/>
    <w:rsid w:val="00FA56B8"/>
    <w:rsid w:val="00FA5A99"/>
    <w:rsid w:val="00FA66F9"/>
    <w:rsid w:val="00FB305D"/>
    <w:rsid w:val="00FD4CD9"/>
    <w:rsid w:val="00FE1F87"/>
    <w:rsid w:val="00FE4ECA"/>
    <w:rsid w:val="00FF22AA"/>
    <w:rsid w:val="00FF576B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AD7587"/>
  <w14:defaultImageDpi w14:val="300"/>
  <w15:docId w15:val="{702D6E61-4290-468C-B2BA-A255385D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5592"/>
  </w:style>
  <w:style w:type="paragraph" w:styleId="Nadpis1">
    <w:name w:val="heading 1"/>
    <w:basedOn w:val="Normlny"/>
    <w:next w:val="Normlny"/>
    <w:link w:val="Nadpis1Char"/>
    <w:uiPriority w:val="9"/>
    <w:qFormat/>
    <w:rsid w:val="00197B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97B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6552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styleId="Siln">
    <w:name w:val="Strong"/>
    <w:basedOn w:val="Predvolenpsmoodseku"/>
    <w:uiPriority w:val="22"/>
    <w:qFormat/>
    <w:rsid w:val="00537C64"/>
    <w:rPr>
      <w:b/>
      <w:bCs/>
    </w:rPr>
  </w:style>
  <w:style w:type="paragraph" w:styleId="Odsekzoznamu">
    <w:name w:val="List Paragraph"/>
    <w:basedOn w:val="Normlny"/>
    <w:uiPriority w:val="34"/>
    <w:qFormat/>
    <w:rsid w:val="00B76E2C"/>
    <w:pPr>
      <w:ind w:left="720"/>
      <w:contextualSpacing/>
    </w:pPr>
  </w:style>
  <w:style w:type="character" w:customStyle="1" w:styleId="hps">
    <w:name w:val="hps"/>
    <w:basedOn w:val="Predvolenpsmoodseku"/>
    <w:rsid w:val="00B76E2C"/>
  </w:style>
  <w:style w:type="character" w:customStyle="1" w:styleId="atn">
    <w:name w:val="atn"/>
    <w:basedOn w:val="Predvolenpsmoodseku"/>
    <w:rsid w:val="00974914"/>
  </w:style>
  <w:style w:type="character" w:customStyle="1" w:styleId="Nadpis4Char">
    <w:name w:val="Nadpis 4 Char"/>
    <w:basedOn w:val="Predvolenpsmoodseku"/>
    <w:link w:val="Nadpis4"/>
    <w:rsid w:val="006552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1">
    <w:name w:val="st1"/>
    <w:basedOn w:val="Predvolenpsmoodseku"/>
    <w:rsid w:val="0034562C"/>
  </w:style>
  <w:style w:type="character" w:styleId="Hypertextovprepojenie">
    <w:name w:val="Hyperlink"/>
    <w:basedOn w:val="Predvolenpsmoodseku"/>
    <w:uiPriority w:val="99"/>
    <w:unhideWhenUsed/>
    <w:rsid w:val="001F6DC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646F76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197B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97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ov">
    <w:name w:val="Title"/>
    <w:basedOn w:val="Normlny"/>
    <w:link w:val="NzovChar"/>
    <w:qFormat/>
    <w:rsid w:val="00197B36"/>
    <w:pPr>
      <w:jc w:val="center"/>
    </w:pPr>
    <w:rPr>
      <w:rFonts w:ascii="Times New Roman" w:eastAsia="Times New Roman" w:hAnsi="Times New Roman" w:cs="Times New Roman"/>
      <w:b/>
      <w:bCs/>
      <w:lang w:val="sk-SK"/>
    </w:rPr>
  </w:style>
  <w:style w:type="character" w:customStyle="1" w:styleId="NzovChar">
    <w:name w:val="Názov Char"/>
    <w:basedOn w:val="Predvolenpsmoodseku"/>
    <w:link w:val="Nzov"/>
    <w:rsid w:val="00197B36"/>
    <w:rPr>
      <w:rFonts w:ascii="Times New Roman" w:eastAsia="Times New Roman" w:hAnsi="Times New Roman" w:cs="Times New Roman"/>
      <w:b/>
      <w:bCs/>
      <w:lang w:val="sk-SK"/>
    </w:rPr>
  </w:style>
  <w:style w:type="paragraph" w:styleId="Textpoznmkypodiarou">
    <w:name w:val="footnote text"/>
    <w:basedOn w:val="Normlny"/>
    <w:link w:val="TextpoznmkypodiarouChar"/>
    <w:semiHidden/>
    <w:rsid w:val="00197B36"/>
    <w:rPr>
      <w:rFonts w:ascii="Times New Roman" w:eastAsia="Times New Roman" w:hAnsi="Times New Roman" w:cs="Times New Roman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197B36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Zkladntext">
    <w:name w:val="Body Text"/>
    <w:aliases w:val="b"/>
    <w:basedOn w:val="Normlny"/>
    <w:link w:val="ZkladntextChar"/>
    <w:semiHidden/>
    <w:rsid w:val="00197B36"/>
    <w:pPr>
      <w:widowControl w:val="0"/>
    </w:pPr>
    <w:rPr>
      <w:rFonts w:ascii="Times New Roman" w:eastAsia="Times New Roman" w:hAnsi="Times New Roman" w:cs="Times New Roman"/>
      <w:color w:val="000000"/>
      <w:lang w:val="sk-SK"/>
    </w:rPr>
  </w:style>
  <w:style w:type="character" w:customStyle="1" w:styleId="ZkladntextChar">
    <w:name w:val="Základný text Char"/>
    <w:aliases w:val="b Char"/>
    <w:basedOn w:val="Predvolenpsmoodseku"/>
    <w:link w:val="Zkladntext"/>
    <w:semiHidden/>
    <w:rsid w:val="00197B36"/>
    <w:rPr>
      <w:rFonts w:ascii="Times New Roman" w:eastAsia="Times New Roman" w:hAnsi="Times New Roman" w:cs="Times New Roman"/>
      <w:color w:val="000000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159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593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59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59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5933"/>
    <w:rPr>
      <w:b/>
      <w:bCs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E1739"/>
    <w:rPr>
      <w:vertAlign w:val="superscript"/>
    </w:rPr>
  </w:style>
  <w:style w:type="paragraph" w:styleId="Revzia">
    <w:name w:val="Revision"/>
    <w:hidden/>
    <w:uiPriority w:val="99"/>
    <w:semiHidden/>
    <w:rsid w:val="00742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1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23751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5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15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8063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375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6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0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21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431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1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56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9403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90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2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74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2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76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60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1478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1692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31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76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8384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53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14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0509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5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95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6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02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5431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62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00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72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95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8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8946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6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73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704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8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nedu.sk/rada-ministra-na-podporu-studia-studentov-so-specifickymi-potrebam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EAE3B7-2966-4EFC-B7C2-55C665C3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36</TotalTime>
  <Pages>1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Michalicka</cp:lastModifiedBy>
  <cp:revision>8</cp:revision>
  <cp:lastPrinted>2018-02-08T07:50:00Z</cp:lastPrinted>
  <dcterms:created xsi:type="dcterms:W3CDTF">2018-02-23T10:52:00Z</dcterms:created>
  <dcterms:modified xsi:type="dcterms:W3CDTF">2018-02-28T13:40:00Z</dcterms:modified>
</cp:coreProperties>
</file>