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357A25" w:rsidRDefault="00357A25" w:rsidP="00882A01">
      <w:pPr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357A25"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357A25" w:rsidRDefault="00357A25" w:rsidP="00882A01">
      <w:pPr>
        <w:rPr>
          <w:rFonts w:asciiTheme="majorHAnsi" w:hAnsiTheme="majorHAnsi"/>
          <w:sz w:val="36"/>
          <w:szCs w:val="36"/>
          <w:lang w:val="sk-SK"/>
        </w:rPr>
      </w:pPr>
      <w:r w:rsidRPr="00357A25">
        <w:rPr>
          <w:rFonts w:asciiTheme="majorHAnsi" w:hAnsiTheme="majorHAnsi"/>
          <w:sz w:val="36"/>
          <w:szCs w:val="36"/>
          <w:lang w:val="sk-SK"/>
        </w:rPr>
        <w:t>20</w:t>
      </w:r>
      <w:r w:rsidR="0030006A" w:rsidRPr="00357A25">
        <w:rPr>
          <w:rFonts w:asciiTheme="majorHAnsi" w:hAnsiTheme="majorHAnsi"/>
          <w:sz w:val="36"/>
          <w:szCs w:val="36"/>
          <w:lang w:val="sk-SK"/>
        </w:rPr>
        <w:t xml:space="preserve">. </w:t>
      </w:r>
      <w:r w:rsidRPr="00357A25">
        <w:rPr>
          <w:rFonts w:asciiTheme="majorHAnsi" w:hAnsiTheme="majorHAnsi"/>
          <w:sz w:val="36"/>
          <w:szCs w:val="36"/>
          <w:lang w:val="sk-SK"/>
        </w:rPr>
        <w:t>10</w:t>
      </w:r>
      <w:r w:rsidR="00B843B1" w:rsidRPr="00357A25">
        <w:rPr>
          <w:rFonts w:asciiTheme="majorHAnsi" w:hAnsiTheme="majorHAnsi"/>
          <w:sz w:val="36"/>
          <w:szCs w:val="36"/>
          <w:lang w:val="sk-SK"/>
        </w:rPr>
        <w:t>. 2014</w:t>
      </w:r>
    </w:p>
    <w:p w:rsidR="0094308E" w:rsidRDefault="0094308E" w:rsidP="00882A01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357A25" w:rsidRPr="00357A25" w:rsidRDefault="00357A25" w:rsidP="00882A01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30006A" w:rsidRPr="00357A25" w:rsidRDefault="00357A25" w:rsidP="00882A01">
      <w:pPr>
        <w:rPr>
          <w:rFonts w:asciiTheme="majorHAnsi" w:hAnsiTheme="majorHAnsi"/>
          <w:b/>
          <w:sz w:val="36"/>
          <w:szCs w:val="36"/>
          <w:lang w:val="sk-SK"/>
        </w:rPr>
      </w:pPr>
      <w:r w:rsidRPr="00357A25">
        <w:rPr>
          <w:rFonts w:asciiTheme="majorHAnsi" w:hAnsiTheme="majorHAnsi"/>
          <w:b/>
          <w:sz w:val="36"/>
          <w:szCs w:val="36"/>
          <w:lang w:val="sk-SK"/>
        </w:rPr>
        <w:t>Plán obnovy</w:t>
      </w:r>
      <w:r w:rsidR="008927A9" w:rsidRPr="00357A25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B843B1" w:rsidRPr="00357A25">
        <w:rPr>
          <w:rFonts w:asciiTheme="majorHAnsi" w:hAnsiTheme="majorHAnsi"/>
          <w:b/>
          <w:sz w:val="36"/>
          <w:szCs w:val="36"/>
          <w:lang w:val="sk-SK"/>
        </w:rPr>
        <w:t>budov STU</w:t>
      </w:r>
    </w:p>
    <w:p w:rsidR="0030006A" w:rsidRPr="00357A25" w:rsidRDefault="0030006A" w:rsidP="00882A01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1C1E54" w:rsidRPr="00357A25" w:rsidRDefault="001C1E54" w:rsidP="001C1E54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sk-SK"/>
        </w:rPr>
      </w:pPr>
      <w:r w:rsidRPr="00357A25">
        <w:rPr>
          <w:rFonts w:asciiTheme="majorHAnsi" w:hAnsiTheme="majorHAnsi"/>
          <w:sz w:val="22"/>
          <w:szCs w:val="22"/>
          <w:lang w:val="sk-SK"/>
        </w:rPr>
        <w:t>Predkladá:</w:t>
      </w:r>
      <w:r w:rsidRPr="00357A25">
        <w:rPr>
          <w:rFonts w:asciiTheme="majorHAnsi" w:hAnsiTheme="majorHAnsi"/>
          <w:sz w:val="22"/>
          <w:szCs w:val="22"/>
          <w:lang w:val="sk-SK"/>
        </w:rPr>
        <w:tab/>
      </w:r>
      <w:r w:rsidRPr="00357A25">
        <w:rPr>
          <w:rFonts w:asciiTheme="majorHAnsi" w:hAnsiTheme="majorHAnsi"/>
          <w:b/>
          <w:sz w:val="22"/>
          <w:szCs w:val="22"/>
          <w:lang w:val="sk-SK"/>
        </w:rPr>
        <w:t>prof. Ing. Robert Redhammer, PhD.</w:t>
      </w:r>
    </w:p>
    <w:p w:rsidR="001C1E54" w:rsidRPr="00357A25" w:rsidRDefault="001C1E54" w:rsidP="001C1E54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  <w:r w:rsidRPr="00357A25">
        <w:rPr>
          <w:rFonts w:asciiTheme="majorHAnsi" w:hAnsiTheme="majorHAnsi"/>
          <w:sz w:val="22"/>
          <w:szCs w:val="22"/>
          <w:lang w:val="sk-SK"/>
        </w:rPr>
        <w:tab/>
        <w:t>rektor</w:t>
      </w:r>
    </w:p>
    <w:p w:rsidR="001C1E54" w:rsidRPr="00357A25" w:rsidRDefault="001C1E54" w:rsidP="001C1E54">
      <w:pPr>
        <w:tabs>
          <w:tab w:val="left" w:pos="1985"/>
        </w:tabs>
        <w:ind w:left="-993" w:firstLine="851"/>
        <w:rPr>
          <w:rFonts w:asciiTheme="majorHAnsi" w:hAnsiTheme="majorHAnsi"/>
          <w:sz w:val="22"/>
          <w:szCs w:val="22"/>
          <w:lang w:val="sk-SK"/>
        </w:rPr>
      </w:pPr>
    </w:p>
    <w:p w:rsidR="0030006A" w:rsidRPr="00357A25" w:rsidRDefault="0030006A" w:rsidP="001C1E54">
      <w:pPr>
        <w:tabs>
          <w:tab w:val="left" w:pos="1985"/>
        </w:tabs>
        <w:ind w:left="1980" w:hanging="1980"/>
        <w:rPr>
          <w:rFonts w:asciiTheme="majorHAnsi" w:hAnsiTheme="majorHAnsi"/>
          <w:sz w:val="22"/>
          <w:szCs w:val="22"/>
          <w:lang w:val="sk-SK"/>
        </w:rPr>
      </w:pPr>
      <w:r w:rsidRPr="00357A25">
        <w:rPr>
          <w:rFonts w:asciiTheme="majorHAnsi" w:hAnsiTheme="majorHAnsi"/>
          <w:sz w:val="22"/>
          <w:szCs w:val="22"/>
          <w:lang w:val="sk-SK"/>
        </w:rPr>
        <w:t>Zdôvodnenie:</w:t>
      </w:r>
      <w:r w:rsidRPr="00357A25">
        <w:rPr>
          <w:rFonts w:asciiTheme="majorHAnsi" w:hAnsiTheme="majorHAnsi"/>
          <w:sz w:val="22"/>
          <w:szCs w:val="22"/>
          <w:lang w:val="sk-SK"/>
        </w:rPr>
        <w:tab/>
      </w:r>
      <w:r w:rsidR="001C1E54" w:rsidRPr="00357A25">
        <w:rPr>
          <w:rFonts w:asciiTheme="majorHAnsi" w:hAnsiTheme="majorHAnsi"/>
          <w:sz w:val="22"/>
          <w:szCs w:val="22"/>
          <w:lang w:val="sk-SK"/>
        </w:rPr>
        <w:tab/>
        <w:t xml:space="preserve">Dokument </w:t>
      </w:r>
      <w:r w:rsidR="006C5C47" w:rsidRPr="00357A25">
        <w:rPr>
          <w:rFonts w:asciiTheme="majorHAnsi" w:hAnsiTheme="majorHAnsi"/>
          <w:sz w:val="22"/>
          <w:szCs w:val="22"/>
          <w:lang w:val="sk-SK"/>
        </w:rPr>
        <w:t>je predložený</w:t>
      </w:r>
      <w:r w:rsidR="003702C1" w:rsidRPr="00357A25">
        <w:rPr>
          <w:rFonts w:asciiTheme="majorHAnsi" w:hAnsiTheme="majorHAnsi"/>
          <w:sz w:val="22"/>
          <w:szCs w:val="22"/>
          <w:lang w:val="sk-SK"/>
        </w:rPr>
        <w:t xml:space="preserve"> v súvislosti s uznesením č. 2</w:t>
      </w:r>
      <w:r w:rsidR="00357A25">
        <w:rPr>
          <w:rFonts w:asciiTheme="majorHAnsi" w:hAnsiTheme="majorHAnsi"/>
          <w:sz w:val="22"/>
          <w:szCs w:val="22"/>
          <w:lang w:val="sk-SK"/>
        </w:rPr>
        <w:t>7</w:t>
      </w:r>
      <w:r w:rsidR="003702C1" w:rsidRPr="00357A25">
        <w:rPr>
          <w:rFonts w:asciiTheme="majorHAnsi" w:hAnsiTheme="majorHAnsi"/>
          <w:sz w:val="22"/>
          <w:szCs w:val="22"/>
          <w:lang w:val="sk-SK"/>
        </w:rPr>
        <w:t>.</w:t>
      </w:r>
      <w:r w:rsidR="00357A25">
        <w:rPr>
          <w:rFonts w:asciiTheme="majorHAnsi" w:hAnsiTheme="majorHAnsi"/>
          <w:sz w:val="22"/>
          <w:szCs w:val="22"/>
          <w:lang w:val="sk-SK"/>
        </w:rPr>
        <w:t>1/2014</w:t>
      </w:r>
      <w:r w:rsidR="001C1E54" w:rsidRPr="00357A25">
        <w:rPr>
          <w:rFonts w:asciiTheme="majorHAnsi" w:hAnsiTheme="majorHAnsi"/>
          <w:sz w:val="22"/>
          <w:szCs w:val="22"/>
          <w:lang w:val="sk-SK"/>
        </w:rPr>
        <w:t xml:space="preserve"> zo zasad</w:t>
      </w:r>
      <w:r w:rsidR="00AE2E14" w:rsidRPr="00357A25">
        <w:rPr>
          <w:rFonts w:asciiTheme="majorHAnsi" w:hAnsiTheme="majorHAnsi"/>
          <w:sz w:val="22"/>
          <w:szCs w:val="22"/>
          <w:lang w:val="sk-SK"/>
        </w:rPr>
        <w:t xml:space="preserve">nutia </w:t>
      </w:r>
      <w:r w:rsidR="00357A25">
        <w:rPr>
          <w:rFonts w:asciiTheme="majorHAnsi" w:hAnsiTheme="majorHAnsi"/>
          <w:sz w:val="22"/>
          <w:szCs w:val="22"/>
          <w:lang w:val="sk-SK"/>
        </w:rPr>
        <w:t>Akademického senátu</w:t>
      </w:r>
      <w:r w:rsidR="00AE2E14" w:rsidRPr="00357A25">
        <w:rPr>
          <w:rFonts w:asciiTheme="majorHAnsi" w:hAnsiTheme="majorHAnsi"/>
          <w:sz w:val="22"/>
          <w:szCs w:val="22"/>
          <w:lang w:val="sk-SK"/>
        </w:rPr>
        <w:t xml:space="preserve"> STU zo dňa 3</w:t>
      </w:r>
      <w:r w:rsidR="00357A25">
        <w:rPr>
          <w:rFonts w:asciiTheme="majorHAnsi" w:hAnsiTheme="majorHAnsi"/>
          <w:sz w:val="22"/>
          <w:szCs w:val="22"/>
          <w:lang w:val="sk-SK"/>
        </w:rPr>
        <w:t>0</w:t>
      </w:r>
      <w:r w:rsidR="00AE2E14" w:rsidRPr="00357A25">
        <w:rPr>
          <w:rFonts w:asciiTheme="majorHAnsi" w:hAnsiTheme="majorHAnsi"/>
          <w:sz w:val="22"/>
          <w:szCs w:val="22"/>
          <w:lang w:val="sk-SK"/>
        </w:rPr>
        <w:t>.</w:t>
      </w:r>
      <w:r w:rsidR="00357A25">
        <w:rPr>
          <w:rFonts w:asciiTheme="majorHAnsi" w:hAnsiTheme="majorHAnsi"/>
          <w:sz w:val="22"/>
          <w:szCs w:val="22"/>
          <w:lang w:val="sk-SK"/>
        </w:rPr>
        <w:t>06</w:t>
      </w:r>
      <w:r w:rsidR="001C1E54" w:rsidRPr="00357A25">
        <w:rPr>
          <w:rFonts w:asciiTheme="majorHAnsi" w:hAnsiTheme="majorHAnsi"/>
          <w:sz w:val="22"/>
          <w:szCs w:val="22"/>
          <w:lang w:val="sk-SK"/>
        </w:rPr>
        <w:t>.201</w:t>
      </w:r>
      <w:r w:rsidR="00357A25">
        <w:rPr>
          <w:rFonts w:asciiTheme="majorHAnsi" w:hAnsiTheme="majorHAnsi"/>
          <w:sz w:val="22"/>
          <w:szCs w:val="22"/>
          <w:lang w:val="sk-SK"/>
        </w:rPr>
        <w:t>4</w:t>
      </w:r>
      <w:r w:rsidR="001C1E54" w:rsidRPr="00357A25">
        <w:rPr>
          <w:rFonts w:asciiTheme="majorHAnsi" w:hAnsiTheme="majorHAnsi"/>
          <w:bCs/>
          <w:sz w:val="22"/>
          <w:szCs w:val="22"/>
          <w:lang w:val="sk-SK"/>
        </w:rPr>
        <w:t xml:space="preserve">  </w:t>
      </w:r>
    </w:p>
    <w:p w:rsidR="0030006A" w:rsidRPr="00357A25" w:rsidRDefault="0030006A" w:rsidP="00882A01">
      <w:pPr>
        <w:tabs>
          <w:tab w:val="left" w:pos="1985"/>
        </w:tabs>
        <w:rPr>
          <w:rFonts w:asciiTheme="majorHAnsi" w:hAnsiTheme="majorHAnsi"/>
          <w:sz w:val="22"/>
          <w:szCs w:val="22"/>
          <w:lang w:val="sk-SK"/>
        </w:rPr>
      </w:pPr>
    </w:p>
    <w:p w:rsidR="00CA38CB" w:rsidRPr="00357A25" w:rsidRDefault="0030006A" w:rsidP="0094308E">
      <w:pPr>
        <w:pStyle w:val="Default"/>
        <w:tabs>
          <w:tab w:val="left" w:pos="1985"/>
        </w:tabs>
        <w:ind w:left="1985" w:hanging="1985"/>
        <w:rPr>
          <w:rFonts w:asciiTheme="majorHAnsi" w:hAnsiTheme="majorHAnsi"/>
          <w:sz w:val="22"/>
          <w:szCs w:val="22"/>
          <w:lang w:val="sk-SK"/>
        </w:rPr>
      </w:pPr>
      <w:r w:rsidRPr="00357A25">
        <w:rPr>
          <w:rFonts w:asciiTheme="majorHAnsi" w:hAnsiTheme="majorHAnsi"/>
          <w:sz w:val="22"/>
          <w:szCs w:val="22"/>
          <w:lang w:val="sk-SK"/>
        </w:rPr>
        <w:t>Návrh uznesenia:</w:t>
      </w:r>
      <w:r w:rsidRPr="00357A25">
        <w:rPr>
          <w:rFonts w:asciiTheme="majorHAnsi" w:hAnsiTheme="majorHAnsi"/>
          <w:sz w:val="22"/>
          <w:szCs w:val="22"/>
          <w:lang w:val="sk-SK"/>
        </w:rPr>
        <w:tab/>
      </w:r>
      <w:r w:rsidR="00357A25">
        <w:rPr>
          <w:rFonts w:asciiTheme="majorHAnsi" w:hAnsiTheme="majorHAnsi"/>
          <w:sz w:val="22"/>
          <w:szCs w:val="22"/>
          <w:lang w:val="sk-SK"/>
        </w:rPr>
        <w:t>Akademický senát</w:t>
      </w:r>
      <w:r w:rsidR="00CA38CB" w:rsidRPr="00357A25">
        <w:rPr>
          <w:rFonts w:asciiTheme="majorHAnsi" w:hAnsiTheme="majorHAnsi"/>
          <w:sz w:val="22"/>
          <w:szCs w:val="22"/>
          <w:lang w:val="sk-SK"/>
        </w:rPr>
        <w:t xml:space="preserve"> STU</w:t>
      </w:r>
      <w:r w:rsidR="005F23BB" w:rsidRPr="00357A2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22225A" w:rsidRPr="00357A25">
        <w:rPr>
          <w:rFonts w:asciiTheme="majorHAnsi" w:hAnsiTheme="majorHAnsi"/>
          <w:sz w:val="22"/>
          <w:szCs w:val="22"/>
          <w:lang w:val="sk-SK"/>
        </w:rPr>
        <w:t>berie na vedomie</w:t>
      </w:r>
      <w:r w:rsidR="00DD2E7E" w:rsidRPr="00357A25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357A25">
        <w:rPr>
          <w:rFonts w:asciiTheme="majorHAnsi" w:hAnsiTheme="majorHAnsi"/>
          <w:sz w:val="22"/>
          <w:szCs w:val="22"/>
          <w:lang w:val="sk-SK"/>
        </w:rPr>
        <w:t>plán obnovy</w:t>
      </w:r>
      <w:r w:rsidR="00AE2E14" w:rsidRPr="00357A25">
        <w:rPr>
          <w:rFonts w:asciiTheme="majorHAnsi" w:hAnsiTheme="majorHAnsi"/>
          <w:sz w:val="22"/>
          <w:szCs w:val="22"/>
          <w:lang w:val="sk-SK"/>
        </w:rPr>
        <w:t xml:space="preserve"> budov STU</w:t>
      </w:r>
    </w:p>
    <w:p w:rsidR="001C1E54" w:rsidRPr="00357A25" w:rsidRDefault="001C1E54" w:rsidP="001C1E54">
      <w:pPr>
        <w:pStyle w:val="Default"/>
        <w:tabs>
          <w:tab w:val="left" w:pos="1985"/>
        </w:tabs>
        <w:ind w:left="1985" w:hanging="2127"/>
        <w:rPr>
          <w:rFonts w:asciiTheme="majorHAnsi" w:hAnsiTheme="majorHAnsi" w:cs="Calibri"/>
          <w:sz w:val="22"/>
          <w:szCs w:val="22"/>
          <w:lang w:val="sk-SK"/>
        </w:rPr>
      </w:pPr>
      <w:r w:rsidRPr="00357A25">
        <w:rPr>
          <w:rFonts w:asciiTheme="majorHAnsi" w:hAnsiTheme="majorHAnsi" w:cs="Calibri"/>
          <w:sz w:val="22"/>
          <w:szCs w:val="22"/>
          <w:lang w:val="sk-SK"/>
        </w:rPr>
        <w:tab/>
        <w:t>a/   bez pripomienok</w:t>
      </w:r>
    </w:p>
    <w:p w:rsidR="001C1E54" w:rsidRPr="00357A25" w:rsidRDefault="001C1E54" w:rsidP="001C1E54">
      <w:pPr>
        <w:pStyle w:val="Default"/>
        <w:tabs>
          <w:tab w:val="left" w:pos="1985"/>
        </w:tabs>
        <w:ind w:left="1973"/>
        <w:rPr>
          <w:rFonts w:asciiTheme="majorHAnsi" w:hAnsiTheme="majorHAnsi" w:cs="Calibri"/>
          <w:sz w:val="22"/>
          <w:szCs w:val="22"/>
          <w:lang w:val="sk-SK"/>
        </w:rPr>
      </w:pPr>
      <w:r w:rsidRPr="00357A25">
        <w:rPr>
          <w:rFonts w:asciiTheme="majorHAnsi" w:hAnsiTheme="majorHAnsi" w:cs="Calibri"/>
          <w:sz w:val="22"/>
          <w:szCs w:val="22"/>
          <w:lang w:val="sk-SK"/>
        </w:rPr>
        <w:t>b/   s pripomienkami</w:t>
      </w:r>
    </w:p>
    <w:p w:rsidR="003A6FB1" w:rsidRPr="00357A25" w:rsidRDefault="003A6FB1" w:rsidP="00882A01">
      <w:pPr>
        <w:pStyle w:val="Default"/>
        <w:tabs>
          <w:tab w:val="left" w:pos="1985"/>
        </w:tabs>
        <w:rPr>
          <w:rFonts w:asciiTheme="majorHAnsi" w:hAnsiTheme="majorHAnsi"/>
          <w:sz w:val="22"/>
          <w:szCs w:val="22"/>
          <w:lang w:val="sk-SK"/>
        </w:rPr>
      </w:pPr>
    </w:p>
    <w:p w:rsidR="003A6FB1" w:rsidRPr="00357A25" w:rsidRDefault="003A6FB1" w:rsidP="00BD0A2A">
      <w:pPr>
        <w:pStyle w:val="Default"/>
        <w:tabs>
          <w:tab w:val="left" w:pos="1985"/>
        </w:tabs>
        <w:ind w:left="1985" w:hanging="2978"/>
        <w:rPr>
          <w:rFonts w:asciiTheme="majorHAnsi" w:hAnsiTheme="majorHAnsi"/>
          <w:lang w:val="sk-SK"/>
        </w:rPr>
      </w:pPr>
    </w:p>
    <w:p w:rsidR="003A6FB1" w:rsidRPr="00357A25" w:rsidRDefault="003A6FB1" w:rsidP="0094368D">
      <w:pPr>
        <w:pStyle w:val="Default"/>
        <w:tabs>
          <w:tab w:val="left" w:pos="1985"/>
        </w:tabs>
        <w:rPr>
          <w:rFonts w:asciiTheme="majorHAnsi" w:hAnsiTheme="majorHAnsi" w:cs="Arial"/>
          <w:color w:val="221E1F"/>
          <w:sz w:val="23"/>
          <w:szCs w:val="23"/>
          <w:lang w:val="sk-SK"/>
        </w:rPr>
        <w:sectPr w:rsidR="003A6FB1" w:rsidRPr="00357A25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5762AA" w:rsidRPr="005762AA" w:rsidRDefault="005762AA" w:rsidP="005762AA">
      <w:pPr>
        <w:rPr>
          <w:rFonts w:asciiTheme="majorHAnsi" w:hAnsiTheme="majorHAnsi"/>
          <w:b/>
          <w:lang w:val="sk-SK"/>
        </w:rPr>
      </w:pPr>
      <w:r w:rsidRPr="005762AA">
        <w:rPr>
          <w:rFonts w:asciiTheme="majorHAnsi" w:hAnsiTheme="majorHAnsi"/>
          <w:b/>
          <w:lang w:val="sk-SK"/>
        </w:rPr>
        <w:lastRenderedPageBreak/>
        <w:t>Plán obnovy budov STU</w:t>
      </w:r>
    </w:p>
    <w:p w:rsidR="00BE443D" w:rsidRPr="00357A25" w:rsidRDefault="00372264" w:rsidP="001C1E54">
      <w:pPr>
        <w:rPr>
          <w:rFonts w:asciiTheme="majorHAnsi" w:hAnsiTheme="majorHAnsi"/>
          <w:b/>
          <w:sz w:val="22"/>
          <w:szCs w:val="22"/>
          <w:lang w:val="sk-SK"/>
        </w:rPr>
      </w:pPr>
      <w:r w:rsidRPr="00357A25">
        <w:rPr>
          <w:rFonts w:asciiTheme="majorHAnsi" w:hAnsiTheme="majorHAnsi"/>
          <w:b/>
          <w:sz w:val="22"/>
          <w:szCs w:val="22"/>
          <w:lang w:val="sk-SK"/>
        </w:rPr>
        <w:tab/>
      </w:r>
    </w:p>
    <w:p w:rsidR="001C1E54" w:rsidRPr="00357A25" w:rsidRDefault="0062190B" w:rsidP="006C5C47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b/>
          <w:sz w:val="22"/>
          <w:szCs w:val="22"/>
          <w:lang w:val="sk-SK"/>
        </w:rPr>
      </w:pPr>
      <w:r w:rsidRPr="00357A25">
        <w:rPr>
          <w:rFonts w:asciiTheme="majorHAnsi" w:hAnsiTheme="majorHAnsi"/>
          <w:b/>
          <w:sz w:val="22"/>
          <w:szCs w:val="22"/>
          <w:lang w:val="sk-SK"/>
        </w:rPr>
        <w:t>Úvod</w:t>
      </w:r>
    </w:p>
    <w:p w:rsidR="00234152" w:rsidRPr="00357A25" w:rsidRDefault="00234152" w:rsidP="00882A01">
      <w:pPr>
        <w:pStyle w:val="Default"/>
        <w:rPr>
          <w:rFonts w:asciiTheme="majorHAnsi" w:hAnsiTheme="majorHAnsi" w:cs="Times New Roman"/>
          <w:lang w:val="sk-SK"/>
        </w:rPr>
      </w:pPr>
    </w:p>
    <w:p w:rsidR="0062190B" w:rsidRPr="00357A25" w:rsidRDefault="0062190B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Slovenská technická univerzita disponuje 55 budov</w:t>
      </w:r>
      <w:r w:rsidR="008B3225" w:rsidRPr="00357A25">
        <w:rPr>
          <w:rFonts w:asciiTheme="majorHAnsi" w:hAnsiTheme="majorHAnsi" w:cs="Times New Roman"/>
          <w:sz w:val="22"/>
          <w:szCs w:val="22"/>
          <w:lang w:val="sk-SK"/>
        </w:rPr>
        <w:t>ami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, ktoré </w:t>
      </w:r>
      <w:r w:rsidR="001E722D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ťažiskovo </w:t>
      </w:r>
      <w:r w:rsidR="007871DF" w:rsidRPr="00357A25">
        <w:rPr>
          <w:rFonts w:asciiTheme="majorHAnsi" w:hAnsiTheme="majorHAnsi" w:cs="Times New Roman"/>
          <w:sz w:val="22"/>
          <w:szCs w:val="22"/>
          <w:lang w:val="sk-SK"/>
        </w:rPr>
        <w:t>využíva na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posk</w:t>
      </w:r>
      <w:r w:rsidR="007871DF" w:rsidRPr="00357A25">
        <w:rPr>
          <w:rFonts w:asciiTheme="majorHAnsi" w:hAnsiTheme="majorHAnsi" w:cs="Times New Roman"/>
          <w:sz w:val="22"/>
          <w:szCs w:val="22"/>
          <w:lang w:val="sk-SK"/>
        </w:rPr>
        <w:t>ytovanie</w:t>
      </w:r>
      <w:r w:rsidR="00A13606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vzdelávania,</w:t>
      </w:r>
      <w:r w:rsidR="007871DF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na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> výskum</w:t>
      </w:r>
      <w:r w:rsidR="007871DF" w:rsidRPr="00357A25">
        <w:rPr>
          <w:rFonts w:asciiTheme="majorHAnsi" w:hAnsiTheme="majorHAnsi" w:cs="Times New Roman"/>
          <w:sz w:val="22"/>
          <w:szCs w:val="22"/>
          <w:lang w:val="sk-SK"/>
        </w:rPr>
        <w:t>nú činnosť</w:t>
      </w:r>
      <w:r w:rsidR="005762AA">
        <w:rPr>
          <w:rFonts w:asciiTheme="majorHAnsi" w:hAnsiTheme="majorHAnsi" w:cs="Times New Roman"/>
          <w:sz w:val="22"/>
          <w:szCs w:val="22"/>
          <w:lang w:val="sk-SK"/>
        </w:rPr>
        <w:t>,</w:t>
      </w:r>
      <w:r w:rsidR="00A13606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resp. ako budovy študentských domovov,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teda</w:t>
      </w:r>
      <w:r w:rsidR="007871DF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plnenie hlavného poslania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univerzity. Celková podlahová plocha 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>týchto budov prevyšuje 450 tis. m</w:t>
      </w:r>
      <w:r w:rsidR="0047634B" w:rsidRPr="00357A25">
        <w:rPr>
          <w:rFonts w:asciiTheme="majorHAnsi" w:hAnsiTheme="majorHAnsi" w:cs="Times New Roman"/>
          <w:sz w:val="22"/>
          <w:szCs w:val="22"/>
          <w:vertAlign w:val="superscript"/>
          <w:lang w:val="sk-SK"/>
        </w:rPr>
        <w:t>2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>. Veľká väčšina z </w:t>
      </w:r>
      <w:r w:rsidR="007871DF" w:rsidRPr="00357A25">
        <w:rPr>
          <w:rFonts w:asciiTheme="majorHAnsi" w:hAnsiTheme="majorHAnsi" w:cs="Times New Roman"/>
          <w:sz w:val="22"/>
          <w:szCs w:val="22"/>
          <w:lang w:val="sk-SK"/>
        </w:rPr>
        <w:t>nich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bola postavená v 50tych až 80tych rokoch minulého storočia</w:t>
      </w:r>
      <w:r w:rsidR="007A7728" w:rsidRPr="00357A25">
        <w:rPr>
          <w:rFonts w:asciiTheme="majorHAnsi" w:hAnsiTheme="majorHAnsi" w:cs="Times New Roman"/>
          <w:sz w:val="22"/>
          <w:szCs w:val="22"/>
          <w:lang w:val="sk-SK"/>
        </w:rPr>
        <w:t>,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a</w:t>
      </w:r>
      <w:r w:rsidR="007A7728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 teda 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>nespĺňajú súčasné energetické kritériá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(okrem novostavby Fakulty informatiky a informačných technológií)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>. Z hľadiska ich zaradenia v zmysle Vyhlášky 364/2012, ktorá stanovuje škály energetických tried patria do skupiny „C“ (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>57-84) kWh/m</w:t>
      </w:r>
      <w:r w:rsidR="00372264" w:rsidRPr="00357A25">
        <w:rPr>
          <w:rFonts w:asciiTheme="majorHAnsi" w:hAnsiTheme="majorHAnsi" w:cs="Times New Roman"/>
          <w:sz w:val="22"/>
          <w:szCs w:val="22"/>
          <w:vertAlign w:val="superscript"/>
          <w:lang w:val="sk-SK"/>
        </w:rPr>
        <w:t>2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.rok </w:t>
      </w:r>
      <w:r w:rsidR="0047634B" w:rsidRPr="00357A25">
        <w:rPr>
          <w:rFonts w:asciiTheme="majorHAnsi" w:hAnsiTheme="majorHAnsi" w:cs="Times New Roman"/>
          <w:sz w:val="22"/>
          <w:szCs w:val="22"/>
          <w:lang w:val="sk-SK"/>
        </w:rPr>
        <w:t>a „D“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(85-112) kWh/m</w:t>
      </w:r>
      <w:r w:rsidR="00372264" w:rsidRPr="00357A25">
        <w:rPr>
          <w:rFonts w:asciiTheme="majorHAnsi" w:hAnsiTheme="majorHAnsi" w:cs="Times New Roman"/>
          <w:sz w:val="22"/>
          <w:szCs w:val="22"/>
          <w:vertAlign w:val="superscript"/>
          <w:lang w:val="sk-SK"/>
        </w:rPr>
        <w:t>2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>.rok.</w:t>
      </w:r>
    </w:p>
    <w:p w:rsidR="00DA6DB4" w:rsidRPr="00357A25" w:rsidRDefault="00DA6DB4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62190B" w:rsidRPr="00357A25" w:rsidRDefault="0062190B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DA6DB4" w:rsidRPr="00357A25" w:rsidRDefault="00DA6DB4" w:rsidP="006C5C47">
      <w:pPr>
        <w:pStyle w:val="Odsekzoznamu"/>
        <w:numPr>
          <w:ilvl w:val="0"/>
          <w:numId w:val="15"/>
        </w:numPr>
        <w:ind w:left="426" w:hanging="426"/>
        <w:rPr>
          <w:rFonts w:asciiTheme="majorHAnsi" w:hAnsiTheme="majorHAnsi"/>
          <w:b/>
          <w:sz w:val="22"/>
          <w:szCs w:val="22"/>
          <w:lang w:val="sk-SK"/>
        </w:rPr>
      </w:pPr>
      <w:r w:rsidRPr="00357A25">
        <w:rPr>
          <w:rFonts w:asciiTheme="majorHAnsi" w:hAnsiTheme="majorHAnsi"/>
          <w:b/>
          <w:sz w:val="22"/>
          <w:szCs w:val="22"/>
          <w:lang w:val="sk-SK"/>
        </w:rPr>
        <w:t>Stavby v realizácii a pripravené stavby</w:t>
      </w:r>
    </w:p>
    <w:p w:rsidR="00DA6DB4" w:rsidRPr="00357A25" w:rsidRDefault="00DA6DB4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5762AA" w:rsidRDefault="005762AA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>
        <w:rPr>
          <w:rFonts w:asciiTheme="majorHAnsi" w:hAnsiTheme="majorHAnsi" w:cs="Times New Roman"/>
          <w:sz w:val="22"/>
          <w:szCs w:val="22"/>
          <w:lang w:val="sk-SK"/>
        </w:rPr>
        <w:t>Na základe dohody o zvyšovaní energetických štandardov budov súčastí STU a dostupných zdrojov boli určené p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rioritné stavby (zateplenie, výmena okien). </w:t>
      </w:r>
      <w:r>
        <w:rPr>
          <w:rFonts w:asciiTheme="majorHAnsi" w:hAnsiTheme="majorHAnsi" w:cs="Times New Roman"/>
          <w:sz w:val="22"/>
          <w:szCs w:val="22"/>
          <w:lang w:val="sk-SK"/>
        </w:rPr>
        <w:t>Do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úvahy </w:t>
      </w:r>
      <w:r>
        <w:rPr>
          <w:rFonts w:asciiTheme="majorHAnsi" w:hAnsiTheme="majorHAnsi" w:cs="Times New Roman"/>
          <w:sz w:val="22"/>
          <w:szCs w:val="22"/>
          <w:lang w:val="sk-SK"/>
        </w:rPr>
        <w:t>sa bralo okrem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A13606" w:rsidRPr="00357A25">
        <w:rPr>
          <w:rFonts w:asciiTheme="majorHAnsi" w:hAnsiTheme="majorHAnsi" w:cs="Times New Roman"/>
          <w:sz w:val="22"/>
          <w:szCs w:val="22"/>
          <w:lang w:val="sk-SK"/>
        </w:rPr>
        <w:t>zníženi</w:t>
      </w:r>
      <w:r>
        <w:rPr>
          <w:rFonts w:asciiTheme="majorHAnsi" w:hAnsiTheme="majorHAnsi" w:cs="Times New Roman"/>
          <w:sz w:val="22"/>
          <w:szCs w:val="22"/>
          <w:lang w:val="sk-SK"/>
        </w:rPr>
        <w:t>a</w:t>
      </w:r>
      <w:r w:rsidR="00A13606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vysokej energetickej náročnosti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aj havarijný stav </w:t>
      </w:r>
      <w:r w:rsidR="00A13606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dotknutých </w:t>
      </w:r>
      <w:r w:rsidR="00372264" w:rsidRPr="00357A25">
        <w:rPr>
          <w:rFonts w:asciiTheme="majorHAnsi" w:hAnsiTheme="majorHAnsi" w:cs="Times New Roman"/>
          <w:sz w:val="22"/>
          <w:szCs w:val="22"/>
          <w:lang w:val="sk-SK"/>
        </w:rPr>
        <w:t>budov (</w:t>
      </w:r>
      <w:r w:rsidR="00DF620F" w:rsidRPr="00357A25">
        <w:rPr>
          <w:rFonts w:asciiTheme="majorHAnsi" w:hAnsiTheme="majorHAnsi" w:cs="Times New Roman"/>
          <w:sz w:val="22"/>
          <w:szCs w:val="22"/>
          <w:lang w:val="sk-SK"/>
        </w:rPr>
        <w:t>vypadávajúce okná, opadajúca fasáda a pod.)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a potreb</w:t>
      </w:r>
      <w:r w:rsidR="00176514">
        <w:rPr>
          <w:rFonts w:asciiTheme="majorHAnsi" w:hAnsiTheme="majorHAnsi" w:cs="Times New Roman"/>
          <w:sz w:val="22"/>
          <w:szCs w:val="22"/>
          <w:lang w:val="sk-SK"/>
        </w:rPr>
        <w:t>a</w:t>
      </w:r>
      <w:r>
        <w:rPr>
          <w:rFonts w:asciiTheme="majorHAnsi" w:hAnsiTheme="majorHAnsi" w:cs="Times New Roman"/>
          <w:sz w:val="22"/>
          <w:szCs w:val="22"/>
          <w:lang w:val="sk-SK"/>
        </w:rPr>
        <w:t xml:space="preserve"> odstránenia systémových porúch budov.</w:t>
      </w:r>
      <w:r w:rsidR="00DF620F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Výber, priority a rozsah prác bol stanovený aj vo väzbe na objem a zdroj financovania, ktorý sa podarilo zabezpečiť</w:t>
      </w:r>
      <w:r>
        <w:rPr>
          <w:rFonts w:asciiTheme="majorHAnsi" w:hAnsiTheme="majorHAnsi" w:cs="Times New Roman"/>
          <w:sz w:val="22"/>
          <w:szCs w:val="22"/>
          <w:lang w:val="sk-SK"/>
        </w:rPr>
        <w:t>,</w:t>
      </w:r>
      <w:r w:rsidR="00DF620F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resp. sa s ním výhľadovo počíta. </w:t>
      </w:r>
    </w:p>
    <w:p w:rsidR="00DF620F" w:rsidRPr="00357A25" w:rsidRDefault="00DF620F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V časovej súvislosti ide o nasledovné stavby:</w:t>
      </w:r>
    </w:p>
    <w:p w:rsidR="00880DC7" w:rsidRPr="00357A25" w:rsidRDefault="00880DC7" w:rsidP="00882A01">
      <w:pPr>
        <w:pStyle w:val="Default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DF620F" w:rsidRPr="00357A25" w:rsidRDefault="00A13606" w:rsidP="00DF620F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Prvá etapa z</w:t>
      </w:r>
      <w:r w:rsidR="00DF620F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ateplenie a rekonštrukcia časti bloku „A“ študentského domova Mladosť</w:t>
      </w:r>
      <w:r w:rsidR="00880DC7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, Mlynská dolina</w:t>
      </w:r>
      <w:r w:rsidR="00880DC7" w:rsidRPr="00357A25">
        <w:rPr>
          <w:rFonts w:asciiTheme="majorHAnsi" w:hAnsiTheme="majorHAnsi" w:cs="Times New Roman"/>
          <w:sz w:val="22"/>
          <w:szCs w:val="22"/>
          <w:lang w:val="sk-SK"/>
        </w:rPr>
        <w:t>;</w:t>
      </w:r>
    </w:p>
    <w:p w:rsidR="00880DC7" w:rsidRPr="00357A25" w:rsidRDefault="00880DC7" w:rsidP="00880DC7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stavba je v realizácii od r. 2013 a bude dokončená v r. 2014,</w:t>
      </w:r>
    </w:p>
    <w:p w:rsidR="00880DC7" w:rsidRPr="00357A25" w:rsidRDefault="00880DC7" w:rsidP="00880DC7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celkový náklad 2,7 mil.</w:t>
      </w:r>
      <w:r w:rsidR="00005F65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€</w:t>
      </w:r>
    </w:p>
    <w:p w:rsidR="00880DC7" w:rsidRPr="00357A25" w:rsidRDefault="00880DC7" w:rsidP="00880DC7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kombinované financovanie čiastočne z kapitálovej dotácie MŠ - 500tis.€, z prostriedkov </w:t>
      </w:r>
      <w:proofErr w:type="spellStart"/>
      <w:r w:rsidRPr="00357A25">
        <w:rPr>
          <w:rFonts w:asciiTheme="majorHAnsi" w:hAnsiTheme="majorHAnsi" w:cs="Times New Roman"/>
          <w:sz w:val="22"/>
          <w:szCs w:val="22"/>
          <w:lang w:val="sk-SK"/>
        </w:rPr>
        <w:t>ŠDaJ</w:t>
      </w:r>
      <w:proofErr w:type="spellEnd"/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a z vyčlenených dotačných prostriedkov na fond obnovy STU</w:t>
      </w:r>
      <w:r w:rsidR="007B7474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v r. 2013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,</w:t>
      </w:r>
    </w:p>
    <w:p w:rsidR="00880DC7" w:rsidRPr="00357A25" w:rsidRDefault="00880DC7" w:rsidP="00880DC7">
      <w:pPr>
        <w:pStyle w:val="Default"/>
        <w:ind w:left="180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DF620F" w:rsidRPr="00357A25" w:rsidRDefault="00DF620F" w:rsidP="00DF620F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Zateplenie fasády novej budovy Fakulty chemickej a potravinárskej technológie</w:t>
      </w:r>
      <w:r w:rsidR="00880DC7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, Radlinského 9</w:t>
      </w:r>
      <w:r w:rsidR="00880DC7" w:rsidRPr="00357A25">
        <w:rPr>
          <w:rFonts w:asciiTheme="majorHAnsi" w:hAnsiTheme="majorHAnsi" w:cs="Times New Roman"/>
          <w:sz w:val="22"/>
          <w:szCs w:val="22"/>
          <w:lang w:val="sk-SK"/>
        </w:rPr>
        <w:t>;</w:t>
      </w:r>
    </w:p>
    <w:p w:rsidR="007B7474" w:rsidRPr="00357A25" w:rsidRDefault="007B7474" w:rsidP="007B7474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stavba je v procese realizácie v rámci projektu Univerzitný vedecký park, dokončenie r. 2015, </w:t>
      </w:r>
    </w:p>
    <w:p w:rsidR="007B7474" w:rsidRPr="00357A25" w:rsidRDefault="007B7474" w:rsidP="007B7474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celkový náklad 6,8 mil.</w:t>
      </w:r>
      <w:r w:rsidR="00005F65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€</w:t>
      </w:r>
    </w:p>
    <w:p w:rsidR="007B7474" w:rsidRPr="00357A25" w:rsidRDefault="007B7474" w:rsidP="007B7474">
      <w:pPr>
        <w:pStyle w:val="Default"/>
        <w:ind w:left="72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197B21" w:rsidRPr="00357A25" w:rsidRDefault="00197B21" w:rsidP="00197B21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Zateplenie fasády štyroch z piatich blokov budovy Fakulty elektrotechniky a informatiky, </w:t>
      </w:r>
      <w:proofErr w:type="spellStart"/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Ilkovičova</w:t>
      </w:r>
      <w:proofErr w:type="spellEnd"/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3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;</w:t>
      </w:r>
    </w:p>
    <w:p w:rsidR="00197B21" w:rsidRPr="00357A25" w:rsidRDefault="00197B21" w:rsidP="00197B21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stavba bude realizovaná v rámci projektu Univerzitný vedecký park v r. 2014/15, prebieha VO</w:t>
      </w:r>
    </w:p>
    <w:p w:rsidR="00197B21" w:rsidRPr="00357A25" w:rsidRDefault="00197B21" w:rsidP="00197B21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celkový náklad 10mil.€</w:t>
      </w:r>
    </w:p>
    <w:p w:rsidR="00197B21" w:rsidRPr="00357A25" w:rsidRDefault="00197B21" w:rsidP="00197B21">
      <w:pPr>
        <w:pStyle w:val="Default"/>
        <w:ind w:left="180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880DC7" w:rsidRPr="00357A25" w:rsidRDefault="00880DC7" w:rsidP="00DF620F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Výmena okien na historickej budove Fakulty architektúry, Nám. slobody</w:t>
      </w:r>
      <w:r w:rsidR="002C7770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19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;</w:t>
      </w:r>
    </w:p>
    <w:p w:rsidR="007B7474" w:rsidRPr="00357A25" w:rsidRDefault="007B7474" w:rsidP="007B7474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1. etapa stavby sa začne v r. 2014</w:t>
      </w:r>
    </w:p>
    <w:p w:rsidR="007B7474" w:rsidRPr="00357A25" w:rsidRDefault="007B7474" w:rsidP="007B7474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celkový </w:t>
      </w:r>
      <w:r w:rsidR="002C7770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predpokladaný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náklad 1,8mil.€ (3 etapy)</w:t>
      </w:r>
    </w:p>
    <w:p w:rsidR="007B7474" w:rsidRPr="00357A25" w:rsidRDefault="007B7474" w:rsidP="007B7474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kombinované financovanie čiastočne z kapitálovej dotácie MŠ - 500tis.€,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lastRenderedPageBreak/>
        <w:t xml:space="preserve">z prostriedkov </w:t>
      </w:r>
      <w:proofErr w:type="spellStart"/>
      <w:r w:rsidRPr="00357A25">
        <w:rPr>
          <w:rFonts w:asciiTheme="majorHAnsi" w:hAnsiTheme="majorHAnsi" w:cs="Times New Roman"/>
          <w:sz w:val="22"/>
          <w:szCs w:val="22"/>
          <w:lang w:val="sk-SK"/>
        </w:rPr>
        <w:t>ŠDaJ</w:t>
      </w:r>
      <w:proofErr w:type="spellEnd"/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 a z vyčlenených dotačných prostriedkov na fond obnovy STU v r. 2014,</w:t>
      </w:r>
    </w:p>
    <w:p w:rsidR="00BE443D" w:rsidRPr="00357A25" w:rsidRDefault="00BE443D" w:rsidP="00BE443D">
      <w:pPr>
        <w:pStyle w:val="Default"/>
        <w:ind w:left="180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880DC7" w:rsidRPr="00357A25" w:rsidRDefault="00880DC7" w:rsidP="00DF620F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Výmena okien na budove Strojníckej fakulty, Nám. slobody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;</w:t>
      </w:r>
    </w:p>
    <w:p w:rsidR="00064B89" w:rsidRPr="00357A25" w:rsidRDefault="00064B89" w:rsidP="00064B89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celkový </w:t>
      </w:r>
      <w:r w:rsidR="002C7770" w:rsidRPr="00357A25">
        <w:rPr>
          <w:rFonts w:asciiTheme="majorHAnsi" w:hAnsiTheme="majorHAnsi" w:cs="Times New Roman"/>
          <w:sz w:val="22"/>
          <w:szCs w:val="22"/>
          <w:lang w:val="sk-SK"/>
        </w:rPr>
        <w:t xml:space="preserve">predpokladaný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náklad 2,4 mil.</w:t>
      </w:r>
      <w:r w:rsidR="00005F65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€</w:t>
      </w:r>
    </w:p>
    <w:p w:rsidR="00064B89" w:rsidRPr="00357A25" w:rsidRDefault="00064B89" w:rsidP="00064B89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predpoklad čiastočnej realizácie v r. 2014 z vyčlenených dotačných prostriedkov na fond obnovy STU v r. 2014,</w:t>
      </w:r>
    </w:p>
    <w:p w:rsidR="00064B89" w:rsidRPr="00357A25" w:rsidRDefault="00064B89" w:rsidP="003058E7">
      <w:pPr>
        <w:pStyle w:val="Default"/>
        <w:ind w:left="1800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3058E7" w:rsidRPr="00357A25" w:rsidRDefault="00880DC7" w:rsidP="003058E7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u w:val="single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Výmena okien</w:t>
      </w:r>
      <w:r w:rsidR="006C5C47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</w:t>
      </w:r>
      <w:r w:rsidR="002C7770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a</w:t>
      </w:r>
      <w:r w:rsidR="006C5C47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</w:t>
      </w:r>
      <w:r w:rsidR="002C7770"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oprava fasády</w:t>
      </w: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 xml:space="preserve"> na blokoch A, B na budove Stavebnej fakulty, I. </w:t>
      </w:r>
      <w:proofErr w:type="spellStart"/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Karvaša</w:t>
      </w:r>
      <w:proofErr w:type="spellEnd"/>
    </w:p>
    <w:p w:rsidR="002C7770" w:rsidRPr="00357A25" w:rsidRDefault="002C7770" w:rsidP="003058E7">
      <w:pPr>
        <w:pStyle w:val="Default"/>
        <w:numPr>
          <w:ilvl w:val="0"/>
          <w:numId w:val="13"/>
        </w:numPr>
        <w:ind w:left="1843" w:hanging="425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celkový náklad 4,2mil.€</w:t>
      </w:r>
    </w:p>
    <w:p w:rsidR="00A13606" w:rsidRPr="00357A25" w:rsidRDefault="00A13606" w:rsidP="003058E7">
      <w:pPr>
        <w:pStyle w:val="Default"/>
        <w:numPr>
          <w:ilvl w:val="0"/>
          <w:numId w:val="13"/>
        </w:numPr>
        <w:ind w:left="1843" w:hanging="425"/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stavba zaradená do projektu Výskumného centra, ktorý bol však z nedostatku financií zatiaľ zamietnutý</w:t>
      </w:r>
    </w:p>
    <w:p w:rsidR="00A13606" w:rsidRPr="00357A25" w:rsidRDefault="00A13606" w:rsidP="00A13606">
      <w:pPr>
        <w:pStyle w:val="Default"/>
        <w:ind w:left="1843"/>
        <w:jc w:val="both"/>
        <w:rPr>
          <w:rFonts w:asciiTheme="majorHAnsi" w:hAnsiTheme="majorHAnsi" w:cs="Times New Roman"/>
          <w:sz w:val="22"/>
          <w:szCs w:val="22"/>
          <w:lang w:val="sk-SK"/>
        </w:rPr>
      </w:pPr>
    </w:p>
    <w:p w:rsidR="00A13606" w:rsidRPr="00357A25" w:rsidRDefault="00A13606" w:rsidP="00A13606">
      <w:pPr>
        <w:pStyle w:val="Default"/>
        <w:numPr>
          <w:ilvl w:val="0"/>
          <w:numId w:val="12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u w:val="single"/>
          <w:lang w:val="sk-SK"/>
        </w:rPr>
        <w:t>Ďalšie etapy zateplenie a rekonštrukcia študentského domova Mladosť (dokončenie bloku A a bloky B, C, D), Mlynská dolina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;</w:t>
      </w:r>
    </w:p>
    <w:p w:rsidR="00A13606" w:rsidRPr="00357A25" w:rsidRDefault="00A13606" w:rsidP="00A13606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celkový náklad 12 mil.</w:t>
      </w:r>
      <w:r w:rsidR="00005F65">
        <w:rPr>
          <w:rFonts w:asciiTheme="majorHAnsi" w:hAnsiTheme="majorHAnsi" w:cs="Times New Roman"/>
          <w:sz w:val="22"/>
          <w:szCs w:val="22"/>
          <w:lang w:val="sk-SK"/>
        </w:rPr>
        <w:t xml:space="preserve"> </w:t>
      </w:r>
      <w:r w:rsidRPr="00357A25">
        <w:rPr>
          <w:rFonts w:asciiTheme="majorHAnsi" w:hAnsiTheme="majorHAnsi" w:cs="Times New Roman"/>
          <w:sz w:val="22"/>
          <w:szCs w:val="22"/>
          <w:lang w:val="sk-SK"/>
        </w:rPr>
        <w:t>€</w:t>
      </w:r>
    </w:p>
    <w:p w:rsidR="00A13606" w:rsidRPr="00357A25" w:rsidRDefault="00A13606" w:rsidP="00A13606">
      <w:pPr>
        <w:pStyle w:val="Default"/>
        <w:numPr>
          <w:ilvl w:val="0"/>
          <w:numId w:val="14"/>
        </w:numPr>
        <w:jc w:val="both"/>
        <w:rPr>
          <w:rFonts w:asciiTheme="majorHAnsi" w:hAnsiTheme="majorHAnsi" w:cs="Times New Roman"/>
          <w:sz w:val="22"/>
          <w:szCs w:val="22"/>
          <w:lang w:val="sk-SK"/>
        </w:rPr>
      </w:pPr>
      <w:r w:rsidRPr="00357A25">
        <w:rPr>
          <w:rFonts w:asciiTheme="majorHAnsi" w:hAnsiTheme="majorHAnsi" w:cs="Times New Roman"/>
          <w:sz w:val="22"/>
          <w:szCs w:val="22"/>
          <w:lang w:val="sk-SK"/>
        </w:rPr>
        <w:t>stavba zatiaľ nie je finančne zabezpečená</w:t>
      </w:r>
    </w:p>
    <w:p w:rsidR="00D16C43" w:rsidRPr="00357A25" w:rsidRDefault="00D16C43" w:rsidP="006C5C47">
      <w:pPr>
        <w:pStyle w:val="Nadpis1"/>
        <w:numPr>
          <w:ilvl w:val="0"/>
          <w:numId w:val="15"/>
        </w:numPr>
        <w:ind w:left="426" w:hanging="426"/>
        <w:rPr>
          <w:color w:val="auto"/>
          <w:sz w:val="22"/>
          <w:szCs w:val="22"/>
          <w:lang w:val="sk-SK"/>
        </w:rPr>
      </w:pPr>
      <w:r w:rsidRPr="00357A25">
        <w:rPr>
          <w:color w:val="auto"/>
          <w:sz w:val="22"/>
          <w:szCs w:val="22"/>
          <w:lang w:val="sk-SK"/>
        </w:rPr>
        <w:t>Záver</w:t>
      </w:r>
    </w:p>
    <w:p w:rsidR="003058E7" w:rsidRPr="00357A25" w:rsidRDefault="003058E7">
      <w:pPr>
        <w:rPr>
          <w:rFonts w:asciiTheme="majorHAnsi" w:hAnsiTheme="majorHAnsi"/>
          <w:noProof/>
          <w:sz w:val="22"/>
          <w:szCs w:val="22"/>
          <w:lang w:val="sk-SK" w:eastAsia="sk-SK"/>
        </w:rPr>
      </w:pPr>
      <w:r w:rsidRPr="00357A25">
        <w:rPr>
          <w:rFonts w:asciiTheme="majorHAnsi" w:hAnsiTheme="majorHAnsi"/>
          <w:noProof/>
          <w:sz w:val="22"/>
          <w:szCs w:val="22"/>
          <w:lang w:val="sk-SK" w:eastAsia="sk-SK"/>
        </w:rPr>
        <w:tab/>
      </w:r>
    </w:p>
    <w:p w:rsidR="00D8456C" w:rsidRPr="00357A25" w:rsidRDefault="00176514" w:rsidP="006C5C47">
      <w:pPr>
        <w:jc w:val="both"/>
        <w:rPr>
          <w:rFonts w:asciiTheme="majorHAnsi" w:hAnsiTheme="majorHAnsi"/>
          <w:noProof/>
          <w:sz w:val="22"/>
          <w:szCs w:val="22"/>
          <w:lang w:val="sk-SK" w:eastAsia="sk-SK"/>
        </w:rPr>
      </w:pPr>
      <w:r>
        <w:rPr>
          <w:rFonts w:asciiTheme="majorHAnsi" w:hAnsiTheme="majorHAnsi"/>
          <w:noProof/>
          <w:sz w:val="22"/>
          <w:szCs w:val="22"/>
          <w:lang w:val="sk-SK" w:eastAsia="sk-SK"/>
        </w:rPr>
        <w:t>Všetky</w:t>
      </w:r>
      <w:r w:rsidR="00DA6DB4" w:rsidRPr="00357A25">
        <w:rPr>
          <w:rFonts w:asciiTheme="majorHAnsi" w:hAnsiTheme="majorHAnsi"/>
          <w:noProof/>
          <w:sz w:val="22"/>
          <w:szCs w:val="22"/>
          <w:lang w:val="sk-SK" w:eastAsia="sk-SK"/>
        </w:rPr>
        <w:t> stavby sú</w:t>
      </w:r>
      <w:r>
        <w:rPr>
          <w:rFonts w:asciiTheme="majorHAnsi" w:hAnsiTheme="majorHAnsi"/>
          <w:noProof/>
          <w:sz w:val="22"/>
          <w:szCs w:val="22"/>
          <w:lang w:val="sk-SK" w:eastAsia="sk-SK"/>
        </w:rPr>
        <w:t xml:space="preserve"> alebo</w:t>
      </w:r>
      <w:r w:rsidR="00DA6DB4" w:rsidRPr="00357A25">
        <w:rPr>
          <w:rFonts w:asciiTheme="majorHAnsi" w:hAnsiTheme="majorHAnsi"/>
          <w:noProof/>
          <w:sz w:val="22"/>
          <w:szCs w:val="22"/>
          <w:lang w:val="sk-SK" w:eastAsia="sk-SK"/>
        </w:rPr>
        <w:t xml:space="preserve"> už v realizácii, </w:t>
      </w:r>
      <w:r>
        <w:rPr>
          <w:rFonts w:asciiTheme="majorHAnsi" w:hAnsiTheme="majorHAnsi"/>
          <w:noProof/>
          <w:sz w:val="22"/>
          <w:szCs w:val="22"/>
          <w:lang w:val="sk-SK" w:eastAsia="sk-SK"/>
        </w:rPr>
        <w:t xml:space="preserve">alebo </w:t>
      </w:r>
      <w:r w:rsidR="00DA6DB4" w:rsidRPr="00357A25">
        <w:rPr>
          <w:rFonts w:asciiTheme="majorHAnsi" w:hAnsiTheme="majorHAnsi"/>
          <w:noProof/>
          <w:sz w:val="22"/>
          <w:szCs w:val="22"/>
          <w:lang w:val="sk-SK" w:eastAsia="sk-SK"/>
        </w:rPr>
        <w:t>majú zabezpeč</w:t>
      </w:r>
      <w:r w:rsidR="009F7AFF" w:rsidRPr="00357A25">
        <w:rPr>
          <w:rFonts w:asciiTheme="majorHAnsi" w:hAnsiTheme="majorHAnsi"/>
          <w:noProof/>
          <w:sz w:val="22"/>
          <w:szCs w:val="22"/>
          <w:lang w:val="sk-SK" w:eastAsia="sk-SK"/>
        </w:rPr>
        <w:t>ené</w:t>
      </w:r>
      <w:r w:rsidR="00DA6DB4" w:rsidRPr="00357A25">
        <w:rPr>
          <w:rFonts w:asciiTheme="majorHAnsi" w:hAnsiTheme="majorHAnsi"/>
          <w:noProof/>
          <w:sz w:val="22"/>
          <w:szCs w:val="22"/>
          <w:lang w:val="sk-SK" w:eastAsia="sk-SK"/>
        </w:rPr>
        <w:t xml:space="preserve"> financovanie a prebieha VO</w:t>
      </w:r>
      <w:r w:rsidR="00005F65">
        <w:rPr>
          <w:rFonts w:asciiTheme="majorHAnsi" w:hAnsiTheme="majorHAnsi"/>
          <w:noProof/>
          <w:sz w:val="22"/>
          <w:szCs w:val="22"/>
          <w:lang w:val="sk-SK" w:eastAsia="sk-SK"/>
        </w:rPr>
        <w:t>,</w:t>
      </w:r>
      <w:r w:rsidR="00DA6DB4" w:rsidRPr="00357A25">
        <w:rPr>
          <w:rFonts w:asciiTheme="majorHAnsi" w:hAnsiTheme="majorHAnsi"/>
          <w:noProof/>
          <w:sz w:val="22"/>
          <w:szCs w:val="22"/>
          <w:lang w:val="sk-SK" w:eastAsia="sk-SK"/>
        </w:rPr>
        <w:t xml:space="preserve"> a</w:t>
      </w:r>
      <w:r>
        <w:rPr>
          <w:rFonts w:asciiTheme="majorHAnsi" w:hAnsiTheme="majorHAnsi"/>
          <w:noProof/>
          <w:sz w:val="22"/>
          <w:szCs w:val="22"/>
          <w:lang w:val="sk-SK" w:eastAsia="sk-SK"/>
        </w:rPr>
        <w:t>lebo sú</w:t>
      </w:r>
      <w:r w:rsidR="00DA6DB4" w:rsidRPr="00357A25">
        <w:rPr>
          <w:rFonts w:asciiTheme="majorHAnsi" w:hAnsiTheme="majorHAnsi"/>
          <w:noProof/>
          <w:sz w:val="22"/>
          <w:szCs w:val="22"/>
          <w:lang w:val="sk-SK" w:eastAsia="sk-SK"/>
        </w:rPr>
        <w:t xml:space="preserve"> pripravené</w:t>
      </w:r>
      <w:r>
        <w:rPr>
          <w:rFonts w:asciiTheme="majorHAnsi" w:hAnsiTheme="majorHAnsi"/>
          <w:noProof/>
          <w:sz w:val="22"/>
          <w:szCs w:val="22"/>
          <w:lang w:val="sk-SK" w:eastAsia="sk-SK"/>
        </w:rPr>
        <w:t xml:space="preserve"> na realizáciu</w:t>
      </w:r>
      <w:r w:rsidR="002C7770" w:rsidRPr="00357A25">
        <w:rPr>
          <w:rFonts w:asciiTheme="majorHAnsi" w:hAnsiTheme="majorHAnsi"/>
          <w:noProof/>
          <w:sz w:val="22"/>
          <w:szCs w:val="22"/>
          <w:lang w:val="sk-SK" w:eastAsia="sk-SK"/>
        </w:rPr>
        <w:t xml:space="preserve">. </w:t>
      </w:r>
      <w:r w:rsidR="009F7AFF" w:rsidRPr="00357A25">
        <w:rPr>
          <w:rFonts w:asciiTheme="majorHAnsi" w:hAnsiTheme="majorHAnsi"/>
          <w:noProof/>
          <w:sz w:val="22"/>
          <w:szCs w:val="22"/>
          <w:lang w:val="sk-SK" w:eastAsia="sk-SK"/>
        </w:rPr>
        <w:t>Na uvedené akcie má STU zodpovedajúcu projektovú dokumentáciu a právoplatné stavebné povolenia.</w:t>
      </w:r>
    </w:p>
    <w:p w:rsidR="009C1970" w:rsidRPr="00357A25" w:rsidRDefault="009C1970" w:rsidP="009C1970">
      <w:pPr>
        <w:rPr>
          <w:rFonts w:asciiTheme="majorHAnsi" w:hAnsiTheme="majorHAnsi"/>
          <w:lang w:val="sk-SK" w:eastAsia="sk-SK"/>
        </w:rPr>
      </w:pPr>
    </w:p>
    <w:p w:rsidR="002C7770" w:rsidRPr="00357A25" w:rsidRDefault="002C7770" w:rsidP="009C1970">
      <w:pPr>
        <w:rPr>
          <w:rFonts w:asciiTheme="majorHAnsi" w:hAnsiTheme="majorHAnsi"/>
          <w:lang w:val="sk-SK" w:eastAsia="sk-SK"/>
        </w:rPr>
      </w:pPr>
    </w:p>
    <w:p w:rsidR="007A671B" w:rsidRPr="00357A25" w:rsidRDefault="007A671B" w:rsidP="009C1970">
      <w:pPr>
        <w:rPr>
          <w:rFonts w:asciiTheme="majorHAnsi" w:hAnsiTheme="majorHAnsi"/>
          <w:lang w:val="sk-SK" w:eastAsia="sk-SK"/>
        </w:rPr>
      </w:pPr>
    </w:p>
    <w:p w:rsidR="002C7770" w:rsidRPr="00357A25" w:rsidRDefault="002C7770" w:rsidP="009C1970">
      <w:pPr>
        <w:rPr>
          <w:rFonts w:asciiTheme="majorHAnsi" w:hAnsiTheme="majorHAnsi"/>
          <w:lang w:val="sk-SK" w:eastAsia="sk-SK"/>
        </w:rPr>
      </w:pPr>
    </w:p>
    <w:p w:rsidR="002C7770" w:rsidRPr="00357A25" w:rsidRDefault="002C7770" w:rsidP="009C1970">
      <w:pPr>
        <w:rPr>
          <w:rFonts w:asciiTheme="majorHAnsi" w:hAnsiTheme="majorHAnsi"/>
          <w:lang w:val="sk-SK" w:eastAsia="sk-SK"/>
        </w:rPr>
      </w:pPr>
    </w:p>
    <w:p w:rsidR="009C1970" w:rsidRPr="00357A25" w:rsidRDefault="009C1970" w:rsidP="009C1970">
      <w:pPr>
        <w:pStyle w:val="Default"/>
        <w:ind w:left="218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357A2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357A2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357A2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357A2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357A25">
        <w:rPr>
          <w:rFonts w:asciiTheme="majorHAnsi" w:hAnsiTheme="majorHAnsi" w:cstheme="majorHAnsi"/>
          <w:sz w:val="22"/>
          <w:szCs w:val="22"/>
          <w:lang w:val="sk-SK"/>
        </w:rPr>
        <w:tab/>
        <w:t xml:space="preserve">          </w:t>
      </w:r>
      <w:r w:rsidR="006C5C47" w:rsidRPr="00357A25">
        <w:rPr>
          <w:rFonts w:asciiTheme="majorHAnsi" w:hAnsiTheme="majorHAnsi" w:cstheme="majorHAnsi"/>
          <w:sz w:val="22"/>
          <w:szCs w:val="22"/>
          <w:lang w:val="sk-SK"/>
        </w:rPr>
        <w:tab/>
      </w:r>
      <w:r w:rsidRPr="00357A25">
        <w:rPr>
          <w:rFonts w:asciiTheme="majorHAnsi" w:hAnsiTheme="majorHAnsi" w:cstheme="majorHAnsi"/>
          <w:sz w:val="22"/>
          <w:szCs w:val="22"/>
          <w:lang w:val="sk-SK"/>
        </w:rPr>
        <w:t>prof. Ing. Robert Redhammer, PhD.</w:t>
      </w:r>
    </w:p>
    <w:p w:rsidR="002D29F2" w:rsidRPr="00357A25" w:rsidRDefault="009C1970" w:rsidP="009C1970">
      <w:pPr>
        <w:pStyle w:val="Default"/>
        <w:ind w:left="218"/>
        <w:jc w:val="both"/>
        <w:rPr>
          <w:rFonts w:asciiTheme="majorHAnsi" w:hAnsiTheme="majorHAnsi"/>
          <w:lang w:val="sk-SK" w:eastAsia="sk-SK"/>
        </w:rPr>
      </w:pPr>
      <w:r w:rsidRPr="00357A25">
        <w:rPr>
          <w:rFonts w:asciiTheme="majorHAnsi" w:hAnsiTheme="majorHAnsi" w:cstheme="majorHAnsi"/>
          <w:sz w:val="22"/>
          <w:szCs w:val="22"/>
          <w:lang w:val="sk-SK"/>
        </w:rPr>
        <w:t xml:space="preserve">                                                                                                             rektor</w:t>
      </w:r>
    </w:p>
    <w:sectPr w:rsidR="002D29F2" w:rsidRPr="00357A25" w:rsidSect="001353B9">
      <w:headerReference w:type="default" r:id="rId12"/>
      <w:footerReference w:type="default" r:id="rId13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46" w:rsidRDefault="00C24B46" w:rsidP="0030006A">
      <w:r>
        <w:separator/>
      </w:r>
    </w:p>
  </w:endnote>
  <w:endnote w:type="continuationSeparator" w:id="0">
    <w:p w:rsidR="00C24B46" w:rsidRDefault="00C24B46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1" w:rsidRDefault="00CD69E8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F577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CD69E8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7F577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1" w:rsidRDefault="007F577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1" w:rsidRPr="00F72759" w:rsidRDefault="00CD69E8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7F5771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DF43F3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7F5771" w:rsidRDefault="007F577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46" w:rsidRDefault="00C24B46" w:rsidP="0030006A">
      <w:r>
        <w:separator/>
      </w:r>
    </w:p>
  </w:footnote>
  <w:footnote w:type="continuationSeparator" w:id="0">
    <w:p w:rsidR="00C24B46" w:rsidRDefault="00C24B46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1" w:rsidRDefault="007F5771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7082FD9" wp14:editId="30204743">
          <wp:extent cx="2080260" cy="764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71" w:rsidRDefault="0082377F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1269365</wp:posOffset>
              </wp:positionH>
              <wp:positionV relativeFrom="paragraph">
                <wp:posOffset>117475</wp:posOffset>
              </wp:positionV>
              <wp:extent cx="3987800" cy="8140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7800" cy="814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E54" w:rsidRPr="005762AA" w:rsidRDefault="005762AA" w:rsidP="001C1E5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senát,</w:t>
                          </w:r>
                          <w:r w:rsidR="006A402E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  <w:r w:rsidR="00B85D91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10</w:t>
                          </w:r>
                          <w:r w:rsidR="00B85D91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.2014</w:t>
                          </w:r>
                        </w:p>
                        <w:p w:rsidR="001C1E54" w:rsidRPr="005762AA" w:rsidRDefault="005762AA" w:rsidP="001C1E5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Plán obnovy</w:t>
                          </w:r>
                          <w:r w:rsidR="006A402E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budov STU</w:t>
                          </w:r>
                        </w:p>
                        <w:p w:rsidR="001C1E54" w:rsidRPr="005762AA" w:rsidRDefault="0062190B" w:rsidP="001C1E5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Pozvánka č.</w:t>
                          </w:r>
                          <w:r w:rsidR="001C1E54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/bod </w:t>
                          </w:r>
                          <w:r w:rsidR="006C5C47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č. </w:t>
                          </w:r>
                          <w:r w:rsidR="001C1E54" w:rsidRPr="005762A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prof. Ing. Robert Redhammer, PhD.</w:t>
                          </w:r>
                        </w:p>
                        <w:p w:rsidR="00BD0A2A" w:rsidRPr="006C5C47" w:rsidRDefault="00BD0A2A" w:rsidP="00552A4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9.95pt;margin-top:9.25pt;width:314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" filled="f" stroked="f">
              <v:path arrowok="t"/>
              <v:textbox>
                <w:txbxContent>
                  <w:p w:rsidR="001C1E54" w:rsidRPr="005762AA" w:rsidRDefault="005762AA" w:rsidP="001C1E5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senát,</w:t>
                    </w:r>
                    <w:r w:rsidR="006A402E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</w:t>
                    </w:r>
                    <w:r w:rsidR="00B85D91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</w:t>
                    </w:r>
                    <w:r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10</w:t>
                    </w:r>
                    <w:r w:rsidR="00B85D91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.2014</w:t>
                    </w:r>
                  </w:p>
                  <w:p w:rsidR="001C1E54" w:rsidRPr="005762AA" w:rsidRDefault="005762AA" w:rsidP="001C1E5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Plán obnovy</w:t>
                    </w:r>
                    <w:r w:rsidR="006A402E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budov STU</w:t>
                    </w:r>
                  </w:p>
                  <w:p w:rsidR="001C1E54" w:rsidRPr="005762AA" w:rsidRDefault="0062190B" w:rsidP="001C1E5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Pozvánka č.</w:t>
                    </w:r>
                    <w:r w:rsidR="001C1E54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/bod </w:t>
                    </w:r>
                    <w:r w:rsidR="006C5C47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č. </w:t>
                    </w:r>
                    <w:r w:rsidR="001C1E54" w:rsidRPr="005762A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prof. Ing. Robert Redhammer, PhD.</w:t>
                    </w:r>
                  </w:p>
                  <w:p w:rsidR="00BD0A2A" w:rsidRPr="006C5C47" w:rsidRDefault="00BD0A2A" w:rsidP="00552A4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F5771">
      <w:rPr>
        <w:noProof/>
        <w:lang w:val="sk-SK" w:eastAsia="sk-SK"/>
      </w:rPr>
      <w:drawing>
        <wp:inline distT="0" distB="0" distL="0" distR="0" wp14:anchorId="311D34C8" wp14:editId="487EA7F6">
          <wp:extent cx="2080260" cy="7645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F5F"/>
    <w:multiLevelType w:val="hybridMultilevel"/>
    <w:tmpl w:val="86AC11C4"/>
    <w:lvl w:ilvl="0" w:tplc="DEA4CC5C">
      <w:start w:val="31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0C892895"/>
    <w:multiLevelType w:val="hybridMultilevel"/>
    <w:tmpl w:val="F7A8B2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2F4F"/>
    <w:multiLevelType w:val="hybridMultilevel"/>
    <w:tmpl w:val="51C09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62D7"/>
    <w:multiLevelType w:val="hybridMultilevel"/>
    <w:tmpl w:val="0E727692"/>
    <w:lvl w:ilvl="0" w:tplc="041B0017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400" w:hanging="360"/>
      </w:pPr>
    </w:lvl>
    <w:lvl w:ilvl="2" w:tplc="041B001B" w:tentative="1">
      <w:start w:val="1"/>
      <w:numFmt w:val="lowerRoman"/>
      <w:lvlText w:val="%3."/>
      <w:lvlJc w:val="right"/>
      <w:pPr>
        <w:ind w:left="6120" w:hanging="180"/>
      </w:pPr>
    </w:lvl>
    <w:lvl w:ilvl="3" w:tplc="041B000F" w:tentative="1">
      <w:start w:val="1"/>
      <w:numFmt w:val="decimal"/>
      <w:lvlText w:val="%4."/>
      <w:lvlJc w:val="left"/>
      <w:pPr>
        <w:ind w:left="6840" w:hanging="360"/>
      </w:pPr>
    </w:lvl>
    <w:lvl w:ilvl="4" w:tplc="041B0019" w:tentative="1">
      <w:start w:val="1"/>
      <w:numFmt w:val="lowerLetter"/>
      <w:lvlText w:val="%5."/>
      <w:lvlJc w:val="left"/>
      <w:pPr>
        <w:ind w:left="7560" w:hanging="360"/>
      </w:pPr>
    </w:lvl>
    <w:lvl w:ilvl="5" w:tplc="041B001B" w:tentative="1">
      <w:start w:val="1"/>
      <w:numFmt w:val="lowerRoman"/>
      <w:lvlText w:val="%6."/>
      <w:lvlJc w:val="right"/>
      <w:pPr>
        <w:ind w:left="8280" w:hanging="180"/>
      </w:pPr>
    </w:lvl>
    <w:lvl w:ilvl="6" w:tplc="041B000F" w:tentative="1">
      <w:start w:val="1"/>
      <w:numFmt w:val="decimal"/>
      <w:lvlText w:val="%7."/>
      <w:lvlJc w:val="left"/>
      <w:pPr>
        <w:ind w:left="9000" w:hanging="360"/>
      </w:pPr>
    </w:lvl>
    <w:lvl w:ilvl="7" w:tplc="041B0019" w:tentative="1">
      <w:start w:val="1"/>
      <w:numFmt w:val="lowerLetter"/>
      <w:lvlText w:val="%8."/>
      <w:lvlJc w:val="left"/>
      <w:pPr>
        <w:ind w:left="9720" w:hanging="360"/>
      </w:pPr>
    </w:lvl>
    <w:lvl w:ilvl="8" w:tplc="041B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12BC6E7B"/>
    <w:multiLevelType w:val="hybridMultilevel"/>
    <w:tmpl w:val="36CEFDA2"/>
    <w:lvl w:ilvl="0" w:tplc="F7B8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C55F17"/>
    <w:multiLevelType w:val="hybridMultilevel"/>
    <w:tmpl w:val="C01448F2"/>
    <w:lvl w:ilvl="0" w:tplc="936E6D0C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315545"/>
    <w:multiLevelType w:val="hybridMultilevel"/>
    <w:tmpl w:val="51C09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40E"/>
    <w:multiLevelType w:val="hybridMultilevel"/>
    <w:tmpl w:val="EE7A5C5E"/>
    <w:lvl w:ilvl="0" w:tplc="5EAC5F8C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73D"/>
    <w:multiLevelType w:val="hybridMultilevel"/>
    <w:tmpl w:val="9C781D18"/>
    <w:lvl w:ilvl="0" w:tplc="6206E7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BA7429"/>
    <w:multiLevelType w:val="hybridMultilevel"/>
    <w:tmpl w:val="5D9C90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3D4F6F"/>
    <w:multiLevelType w:val="hybridMultilevel"/>
    <w:tmpl w:val="51C09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17EED"/>
    <w:multiLevelType w:val="hybridMultilevel"/>
    <w:tmpl w:val="BB2C0458"/>
    <w:lvl w:ilvl="0" w:tplc="8256A502">
      <w:start w:val="17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2">
    <w:nsid w:val="644A3EB5"/>
    <w:multiLevelType w:val="hybridMultilevel"/>
    <w:tmpl w:val="377E4B46"/>
    <w:lvl w:ilvl="0" w:tplc="13F890A2"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3">
    <w:nsid w:val="64B36B6A"/>
    <w:multiLevelType w:val="hybridMultilevel"/>
    <w:tmpl w:val="998622B2"/>
    <w:lvl w:ilvl="0" w:tplc="1C08C89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591D44"/>
    <w:multiLevelType w:val="hybridMultilevel"/>
    <w:tmpl w:val="DFFC59DA"/>
    <w:lvl w:ilvl="0" w:tplc="F7B8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EF2FE2"/>
    <w:multiLevelType w:val="hybridMultilevel"/>
    <w:tmpl w:val="6186C7B2"/>
    <w:lvl w:ilvl="0" w:tplc="A072B878">
      <w:start w:val="17"/>
      <w:numFmt w:val="bullet"/>
      <w:lvlText w:val="-"/>
      <w:lvlJc w:val="left"/>
      <w:pPr>
        <w:ind w:left="-633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FC"/>
    <w:rsid w:val="0000183F"/>
    <w:rsid w:val="00001B85"/>
    <w:rsid w:val="00005F65"/>
    <w:rsid w:val="000202FA"/>
    <w:rsid w:val="000207E1"/>
    <w:rsid w:val="00034166"/>
    <w:rsid w:val="00040A79"/>
    <w:rsid w:val="00056748"/>
    <w:rsid w:val="0006307B"/>
    <w:rsid w:val="00063B5B"/>
    <w:rsid w:val="00064B89"/>
    <w:rsid w:val="000710A5"/>
    <w:rsid w:val="000A27AB"/>
    <w:rsid w:val="000B029B"/>
    <w:rsid w:val="00113245"/>
    <w:rsid w:val="00127022"/>
    <w:rsid w:val="00132D99"/>
    <w:rsid w:val="0013388C"/>
    <w:rsid w:val="001353B9"/>
    <w:rsid w:val="00171070"/>
    <w:rsid w:val="00176514"/>
    <w:rsid w:val="00196305"/>
    <w:rsid w:val="00197B21"/>
    <w:rsid w:val="001C1E54"/>
    <w:rsid w:val="001E722D"/>
    <w:rsid w:val="0022225A"/>
    <w:rsid w:val="00232341"/>
    <w:rsid w:val="00234152"/>
    <w:rsid w:val="00263098"/>
    <w:rsid w:val="002C7770"/>
    <w:rsid w:val="002D29F2"/>
    <w:rsid w:val="0030006A"/>
    <w:rsid w:val="003058E7"/>
    <w:rsid w:val="00313E40"/>
    <w:rsid w:val="003305E4"/>
    <w:rsid w:val="003349DF"/>
    <w:rsid w:val="00344B38"/>
    <w:rsid w:val="00357A25"/>
    <w:rsid w:val="003702C1"/>
    <w:rsid w:val="00372264"/>
    <w:rsid w:val="00384463"/>
    <w:rsid w:val="00390F00"/>
    <w:rsid w:val="003A6FB1"/>
    <w:rsid w:val="003B0893"/>
    <w:rsid w:val="003B46C6"/>
    <w:rsid w:val="003C7FF7"/>
    <w:rsid w:val="003F27ED"/>
    <w:rsid w:val="003F716C"/>
    <w:rsid w:val="0042285F"/>
    <w:rsid w:val="0045012E"/>
    <w:rsid w:val="0047634B"/>
    <w:rsid w:val="004845B0"/>
    <w:rsid w:val="00496C62"/>
    <w:rsid w:val="004A4D7A"/>
    <w:rsid w:val="004C617B"/>
    <w:rsid w:val="004D18FF"/>
    <w:rsid w:val="004D4036"/>
    <w:rsid w:val="004F689B"/>
    <w:rsid w:val="00512C89"/>
    <w:rsid w:val="00524AF4"/>
    <w:rsid w:val="00546A05"/>
    <w:rsid w:val="00546F4C"/>
    <w:rsid w:val="00552A42"/>
    <w:rsid w:val="005762AA"/>
    <w:rsid w:val="0058381E"/>
    <w:rsid w:val="00587603"/>
    <w:rsid w:val="005A1790"/>
    <w:rsid w:val="005D7BD9"/>
    <w:rsid w:val="005E6C3C"/>
    <w:rsid w:val="005F0263"/>
    <w:rsid w:val="005F23BB"/>
    <w:rsid w:val="00614E82"/>
    <w:rsid w:val="0062190B"/>
    <w:rsid w:val="00633B6E"/>
    <w:rsid w:val="0064075F"/>
    <w:rsid w:val="00646135"/>
    <w:rsid w:val="006A402E"/>
    <w:rsid w:val="006C5C47"/>
    <w:rsid w:val="006D651F"/>
    <w:rsid w:val="006D776A"/>
    <w:rsid w:val="006D7984"/>
    <w:rsid w:val="006E0A24"/>
    <w:rsid w:val="006F032D"/>
    <w:rsid w:val="006F2837"/>
    <w:rsid w:val="00706591"/>
    <w:rsid w:val="00755AE7"/>
    <w:rsid w:val="00757E03"/>
    <w:rsid w:val="007609D9"/>
    <w:rsid w:val="00774D8A"/>
    <w:rsid w:val="007871DF"/>
    <w:rsid w:val="007A671B"/>
    <w:rsid w:val="007A7728"/>
    <w:rsid w:val="007B7474"/>
    <w:rsid w:val="007E1F0E"/>
    <w:rsid w:val="007F5771"/>
    <w:rsid w:val="007F65A4"/>
    <w:rsid w:val="008201F0"/>
    <w:rsid w:val="0082377F"/>
    <w:rsid w:val="008272BA"/>
    <w:rsid w:val="00843367"/>
    <w:rsid w:val="00850205"/>
    <w:rsid w:val="008604F4"/>
    <w:rsid w:val="0087138F"/>
    <w:rsid w:val="00872783"/>
    <w:rsid w:val="008764FE"/>
    <w:rsid w:val="00880DC7"/>
    <w:rsid w:val="00882A01"/>
    <w:rsid w:val="008927A9"/>
    <w:rsid w:val="008B3225"/>
    <w:rsid w:val="008D23FE"/>
    <w:rsid w:val="008F3A2B"/>
    <w:rsid w:val="00902FAB"/>
    <w:rsid w:val="009042FE"/>
    <w:rsid w:val="00942E36"/>
    <w:rsid w:val="0094308E"/>
    <w:rsid w:val="0094368D"/>
    <w:rsid w:val="00963990"/>
    <w:rsid w:val="0096605A"/>
    <w:rsid w:val="009B13A6"/>
    <w:rsid w:val="009C1970"/>
    <w:rsid w:val="009C206C"/>
    <w:rsid w:val="009D0F38"/>
    <w:rsid w:val="009D2427"/>
    <w:rsid w:val="009D7DB4"/>
    <w:rsid w:val="009E1D33"/>
    <w:rsid w:val="009F7AFF"/>
    <w:rsid w:val="00A11A31"/>
    <w:rsid w:val="00A13606"/>
    <w:rsid w:val="00A2039B"/>
    <w:rsid w:val="00A7489B"/>
    <w:rsid w:val="00A750A5"/>
    <w:rsid w:val="00AB495A"/>
    <w:rsid w:val="00AC529C"/>
    <w:rsid w:val="00AE2E14"/>
    <w:rsid w:val="00AF7772"/>
    <w:rsid w:val="00B07918"/>
    <w:rsid w:val="00B32B5D"/>
    <w:rsid w:val="00B74446"/>
    <w:rsid w:val="00B806C8"/>
    <w:rsid w:val="00B843B1"/>
    <w:rsid w:val="00B85D91"/>
    <w:rsid w:val="00BC598A"/>
    <w:rsid w:val="00BD0A2A"/>
    <w:rsid w:val="00BE443D"/>
    <w:rsid w:val="00BF75CD"/>
    <w:rsid w:val="00C24B46"/>
    <w:rsid w:val="00C43708"/>
    <w:rsid w:val="00C53CFC"/>
    <w:rsid w:val="00C6628E"/>
    <w:rsid w:val="00C679AE"/>
    <w:rsid w:val="00C87EF1"/>
    <w:rsid w:val="00C975A4"/>
    <w:rsid w:val="00CA38CB"/>
    <w:rsid w:val="00CD69E8"/>
    <w:rsid w:val="00CE6990"/>
    <w:rsid w:val="00CF1843"/>
    <w:rsid w:val="00D05C18"/>
    <w:rsid w:val="00D16C43"/>
    <w:rsid w:val="00D17C01"/>
    <w:rsid w:val="00D34342"/>
    <w:rsid w:val="00D50F90"/>
    <w:rsid w:val="00D559E3"/>
    <w:rsid w:val="00D6649F"/>
    <w:rsid w:val="00D8456C"/>
    <w:rsid w:val="00DA6DB4"/>
    <w:rsid w:val="00DB0A46"/>
    <w:rsid w:val="00DB49F1"/>
    <w:rsid w:val="00DD2E7E"/>
    <w:rsid w:val="00DE5527"/>
    <w:rsid w:val="00DF43F3"/>
    <w:rsid w:val="00DF620F"/>
    <w:rsid w:val="00E26B03"/>
    <w:rsid w:val="00E35A85"/>
    <w:rsid w:val="00E53BF5"/>
    <w:rsid w:val="00E742E2"/>
    <w:rsid w:val="00E853F1"/>
    <w:rsid w:val="00E973EF"/>
    <w:rsid w:val="00EC3E47"/>
    <w:rsid w:val="00EF50AB"/>
    <w:rsid w:val="00EF5505"/>
    <w:rsid w:val="00F24DC7"/>
    <w:rsid w:val="00F62652"/>
    <w:rsid w:val="00F63F1C"/>
    <w:rsid w:val="00F72759"/>
    <w:rsid w:val="00FD1439"/>
    <w:rsid w:val="00F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rsid w:val="007F65A4"/>
    <w:rPr>
      <w:color w:val="0000FF"/>
      <w:u w:val="single"/>
    </w:rPr>
  </w:style>
  <w:style w:type="paragraph" w:customStyle="1" w:styleId="Normlny1">
    <w:name w:val="Normálny1"/>
    <w:rsid w:val="007F65A4"/>
    <w:rPr>
      <w:rFonts w:ascii="Times New Roman" w:eastAsia="ヒラギノ角ゴ Pro W3" w:hAnsi="Times New Roman" w:cs="Times New Roman"/>
      <w:color w:val="000000"/>
      <w:szCs w:val="20"/>
    </w:rPr>
  </w:style>
  <w:style w:type="table" w:styleId="Mriekatabuky">
    <w:name w:val="Table Grid"/>
    <w:basedOn w:val="Normlnatabuka"/>
    <w:uiPriority w:val="59"/>
    <w:rsid w:val="0023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4D7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3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3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Hypertextovprepojenie">
    <w:name w:val="Hyperlink"/>
    <w:uiPriority w:val="99"/>
    <w:rsid w:val="007F65A4"/>
    <w:rPr>
      <w:color w:val="0000FF"/>
      <w:u w:val="single"/>
    </w:rPr>
  </w:style>
  <w:style w:type="paragraph" w:customStyle="1" w:styleId="Normlny1">
    <w:name w:val="Normálny1"/>
    <w:rsid w:val="007F65A4"/>
    <w:rPr>
      <w:rFonts w:ascii="Times New Roman" w:eastAsia="ヒラギノ角ゴ Pro W3" w:hAnsi="Times New Roman" w:cs="Times New Roman"/>
      <w:color w:val="000000"/>
      <w:szCs w:val="20"/>
    </w:rPr>
  </w:style>
  <w:style w:type="table" w:styleId="Mriekatabuky">
    <w:name w:val="Table Grid"/>
    <w:basedOn w:val="Normlnatabuka"/>
    <w:uiPriority w:val="59"/>
    <w:rsid w:val="0023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A4D7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3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zuljakova\My%20Documents\Materialy%20do%20gremii%202012\Vedenie%20STU\2012_10_17\V_STU%202012_10_17%20Informacia%20o%20rokovan&#237;%20Rady%20&#353;portu%20STU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64F6F-B4DC-478C-88DA-D097AFB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V_STU 2012_10_17 Informacia o rokovaní Rady športu STU 1.dotx</Template>
  <TotalTime>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SvF-STU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Trizuljakova</dc:creator>
  <cp:lastModifiedBy>gogorova</cp:lastModifiedBy>
  <cp:revision>2</cp:revision>
  <cp:lastPrinted>2014-06-06T11:06:00Z</cp:lastPrinted>
  <dcterms:created xsi:type="dcterms:W3CDTF">2014-10-08T09:00:00Z</dcterms:created>
  <dcterms:modified xsi:type="dcterms:W3CDTF">2014-10-08T09:00:00Z</dcterms:modified>
</cp:coreProperties>
</file>