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9DA" w:rsidRPr="008969FB" w:rsidRDefault="001909DA" w:rsidP="001909DA">
      <w:pPr>
        <w:spacing w:before="120"/>
        <w:jc w:val="center"/>
        <w:outlineLvl w:val="0"/>
      </w:pPr>
    </w:p>
    <w:p w:rsidR="001C47CC" w:rsidRPr="00B9788E" w:rsidRDefault="00F00CCD" w:rsidP="001C47CC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>Akademický senát STU</w:t>
      </w:r>
    </w:p>
    <w:p w:rsidR="001C47CC" w:rsidRPr="00B9788E" w:rsidRDefault="00F00CCD" w:rsidP="001C47CC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>19</w:t>
      </w:r>
      <w:r w:rsidR="001C47CC" w:rsidRPr="00B9788E">
        <w:rPr>
          <w:rFonts w:asciiTheme="majorHAnsi" w:hAnsiTheme="majorHAnsi"/>
          <w:sz w:val="36"/>
          <w:szCs w:val="36"/>
          <w:lang w:val="sk-SK"/>
        </w:rPr>
        <w:t xml:space="preserve">. </w:t>
      </w:r>
      <w:r w:rsidR="001C47CC">
        <w:rPr>
          <w:rFonts w:asciiTheme="majorHAnsi" w:hAnsiTheme="majorHAnsi"/>
          <w:sz w:val="36"/>
          <w:szCs w:val="36"/>
          <w:lang w:val="sk-SK"/>
        </w:rPr>
        <w:t>0</w:t>
      </w:r>
      <w:r>
        <w:rPr>
          <w:rFonts w:asciiTheme="majorHAnsi" w:hAnsiTheme="majorHAnsi"/>
          <w:sz w:val="36"/>
          <w:szCs w:val="36"/>
          <w:lang w:val="sk-SK"/>
        </w:rPr>
        <w:t>6</w:t>
      </w:r>
      <w:r w:rsidR="001C47CC">
        <w:rPr>
          <w:rFonts w:asciiTheme="majorHAnsi" w:hAnsiTheme="majorHAnsi"/>
          <w:sz w:val="36"/>
          <w:szCs w:val="36"/>
          <w:lang w:val="sk-SK"/>
        </w:rPr>
        <w:t xml:space="preserve">. </w:t>
      </w:r>
      <w:r w:rsidR="001C47CC" w:rsidRPr="00B9788E">
        <w:rPr>
          <w:rFonts w:asciiTheme="majorHAnsi" w:hAnsiTheme="majorHAnsi"/>
          <w:sz w:val="36"/>
          <w:szCs w:val="36"/>
          <w:lang w:val="sk-SK"/>
        </w:rPr>
        <w:t>201</w:t>
      </w:r>
      <w:r w:rsidR="001C47CC">
        <w:rPr>
          <w:rFonts w:asciiTheme="majorHAnsi" w:hAnsiTheme="majorHAnsi"/>
          <w:sz w:val="36"/>
          <w:szCs w:val="36"/>
          <w:lang w:val="sk-SK"/>
        </w:rPr>
        <w:t>7</w:t>
      </w:r>
    </w:p>
    <w:p w:rsidR="001C47CC" w:rsidRPr="00B9788E" w:rsidRDefault="001C47CC" w:rsidP="001C47CC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</w:p>
    <w:p w:rsidR="001C47CC" w:rsidRPr="00B9788E" w:rsidRDefault="001C47CC" w:rsidP="001C47CC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</w:p>
    <w:p w:rsidR="001C47CC" w:rsidRPr="00B9788E" w:rsidRDefault="001C47CC" w:rsidP="001C47CC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  <w:r w:rsidRPr="00B9788E">
        <w:rPr>
          <w:rFonts w:asciiTheme="majorHAnsi" w:hAnsiTheme="majorHAnsi"/>
          <w:b/>
          <w:sz w:val="36"/>
          <w:szCs w:val="36"/>
          <w:lang w:val="sk-SK"/>
        </w:rPr>
        <w:t>Výročná správa o hospodárení za rok 201</w:t>
      </w:r>
      <w:r>
        <w:rPr>
          <w:rFonts w:asciiTheme="majorHAnsi" w:hAnsiTheme="majorHAnsi"/>
          <w:b/>
          <w:sz w:val="36"/>
          <w:szCs w:val="36"/>
          <w:lang w:val="sk-SK"/>
        </w:rPr>
        <w:t>6</w:t>
      </w:r>
    </w:p>
    <w:p w:rsidR="001C47CC" w:rsidRPr="00B9788E" w:rsidRDefault="001C47CC" w:rsidP="001C47CC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</w:p>
    <w:p w:rsidR="001C47CC" w:rsidRPr="00B9788E" w:rsidRDefault="001C47CC" w:rsidP="001C47CC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</w:p>
    <w:p w:rsidR="001C47CC" w:rsidRPr="00B9788E" w:rsidRDefault="001C47CC" w:rsidP="001C47CC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B9788E">
        <w:rPr>
          <w:rFonts w:asciiTheme="majorHAnsi" w:hAnsiTheme="majorHAnsi"/>
          <w:lang w:val="sk-SK"/>
        </w:rPr>
        <w:t>Predkladá:</w:t>
      </w:r>
      <w:r w:rsidRPr="00B9788E">
        <w:rPr>
          <w:rFonts w:asciiTheme="majorHAnsi" w:hAnsiTheme="majorHAnsi"/>
          <w:lang w:val="sk-SK"/>
        </w:rPr>
        <w:tab/>
      </w:r>
      <w:r w:rsidRPr="00031FF0">
        <w:rPr>
          <w:rFonts w:asciiTheme="majorHAnsi" w:hAnsiTheme="majorHAnsi"/>
          <w:b/>
          <w:lang w:val="sk-SK"/>
        </w:rPr>
        <w:t>prof.</w:t>
      </w:r>
      <w:r>
        <w:rPr>
          <w:rFonts w:asciiTheme="majorHAnsi" w:hAnsiTheme="majorHAnsi"/>
          <w:b/>
          <w:lang w:val="sk-SK"/>
        </w:rPr>
        <w:t>Ing. Robert Redhammer</w:t>
      </w:r>
      <w:r w:rsidRPr="00B9788E">
        <w:rPr>
          <w:rFonts w:asciiTheme="majorHAnsi" w:hAnsiTheme="majorHAnsi"/>
          <w:b/>
          <w:lang w:val="sk-SK"/>
        </w:rPr>
        <w:t>, PhD.</w:t>
      </w:r>
    </w:p>
    <w:p w:rsidR="001C47CC" w:rsidRPr="00B9788E" w:rsidRDefault="001C47CC" w:rsidP="001C47CC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B9788E">
        <w:rPr>
          <w:rFonts w:asciiTheme="majorHAnsi" w:hAnsiTheme="majorHAnsi"/>
          <w:lang w:val="sk-SK"/>
        </w:rPr>
        <w:tab/>
      </w:r>
      <w:r>
        <w:rPr>
          <w:rFonts w:asciiTheme="majorHAnsi" w:hAnsiTheme="majorHAnsi"/>
          <w:lang w:val="sk-SK"/>
        </w:rPr>
        <w:t>rektor</w:t>
      </w:r>
    </w:p>
    <w:p w:rsidR="001C47CC" w:rsidRPr="00B9788E" w:rsidRDefault="001C47CC" w:rsidP="001C47CC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1C47CC" w:rsidRDefault="001C47CC" w:rsidP="001C47CC">
      <w:pPr>
        <w:tabs>
          <w:tab w:val="left" w:pos="1985"/>
        </w:tabs>
        <w:ind w:left="-993" w:firstLine="851"/>
        <w:rPr>
          <w:rFonts w:asciiTheme="majorHAnsi" w:hAnsiTheme="majorHAnsi"/>
          <w:b/>
          <w:lang w:val="sk-SK"/>
        </w:rPr>
      </w:pPr>
      <w:r w:rsidRPr="00B9788E">
        <w:rPr>
          <w:rFonts w:asciiTheme="majorHAnsi" w:hAnsiTheme="majorHAnsi"/>
          <w:lang w:val="sk-SK"/>
        </w:rPr>
        <w:t>Vypracoval:</w:t>
      </w:r>
      <w:r w:rsidRPr="00B9788E">
        <w:rPr>
          <w:rFonts w:asciiTheme="majorHAnsi" w:hAnsiTheme="majorHAnsi"/>
          <w:lang w:val="sk-SK"/>
        </w:rPr>
        <w:tab/>
      </w:r>
      <w:r>
        <w:rPr>
          <w:rFonts w:asciiTheme="majorHAnsi" w:hAnsiTheme="majorHAnsi"/>
          <w:b/>
          <w:lang w:val="sk-SK"/>
        </w:rPr>
        <w:t>Ing. Dušan Faktor, PhD.</w:t>
      </w:r>
    </w:p>
    <w:p w:rsidR="001C47CC" w:rsidRPr="00031FF0" w:rsidRDefault="001C47CC" w:rsidP="001C47CC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031FF0">
        <w:rPr>
          <w:rFonts w:asciiTheme="majorHAnsi" w:hAnsiTheme="majorHAnsi"/>
          <w:lang w:val="sk-SK"/>
        </w:rPr>
        <w:t xml:space="preserve">                                        kvestor</w:t>
      </w:r>
    </w:p>
    <w:p w:rsidR="001C47CC" w:rsidRPr="00B9788E" w:rsidRDefault="001C47CC" w:rsidP="001C47CC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B9788E">
        <w:rPr>
          <w:rFonts w:asciiTheme="majorHAnsi" w:hAnsiTheme="majorHAnsi"/>
          <w:b/>
          <w:lang w:val="sk-SK"/>
        </w:rPr>
        <w:t xml:space="preserve">                                       </w:t>
      </w:r>
    </w:p>
    <w:p w:rsidR="001C47CC" w:rsidRPr="00B9788E" w:rsidRDefault="001C47CC" w:rsidP="001C47CC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B9788E">
        <w:rPr>
          <w:rFonts w:asciiTheme="majorHAnsi" w:hAnsiTheme="majorHAnsi"/>
          <w:lang w:val="sk-SK"/>
        </w:rPr>
        <w:t>Zdôvodnenie:</w:t>
      </w:r>
      <w:r w:rsidRPr="00B9788E">
        <w:rPr>
          <w:rFonts w:asciiTheme="majorHAnsi" w:hAnsiTheme="majorHAnsi"/>
          <w:lang w:val="sk-SK"/>
        </w:rPr>
        <w:tab/>
      </w:r>
    </w:p>
    <w:p w:rsidR="001C47CC" w:rsidRPr="00B9788E" w:rsidRDefault="001C47CC" w:rsidP="001C47CC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1C47CC" w:rsidRPr="00B9788E" w:rsidRDefault="001C47CC" w:rsidP="001C47CC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1C47CC" w:rsidRPr="00B9788E" w:rsidRDefault="001C47CC" w:rsidP="001C47CC">
      <w:pPr>
        <w:pStyle w:val="Default"/>
        <w:tabs>
          <w:tab w:val="left" w:pos="1985"/>
        </w:tabs>
        <w:ind w:left="1985" w:hanging="2127"/>
        <w:rPr>
          <w:rFonts w:asciiTheme="majorHAnsi" w:hAnsiTheme="majorHAnsi"/>
          <w:color w:val="auto"/>
          <w:lang w:val="sk-SK"/>
        </w:rPr>
      </w:pPr>
      <w:r w:rsidRPr="00B9788E">
        <w:rPr>
          <w:rFonts w:asciiTheme="majorHAnsi" w:hAnsiTheme="majorHAnsi"/>
          <w:color w:val="auto"/>
          <w:lang w:val="sk-SK"/>
        </w:rPr>
        <w:t>Návrh uznesenia:</w:t>
      </w:r>
      <w:r w:rsidRPr="00B9788E">
        <w:rPr>
          <w:rFonts w:asciiTheme="majorHAnsi" w:hAnsiTheme="majorHAnsi"/>
          <w:color w:val="auto"/>
          <w:lang w:val="sk-SK"/>
        </w:rPr>
        <w:tab/>
      </w:r>
      <w:r w:rsidR="00F00CCD">
        <w:rPr>
          <w:rFonts w:asciiTheme="majorHAnsi" w:hAnsiTheme="majorHAnsi"/>
          <w:color w:val="auto"/>
          <w:lang w:val="sk-SK"/>
        </w:rPr>
        <w:t>Akademický senát STU</w:t>
      </w:r>
      <w:r>
        <w:rPr>
          <w:rFonts w:asciiTheme="majorHAnsi" w:hAnsiTheme="majorHAnsi"/>
          <w:color w:val="auto"/>
          <w:lang w:val="sk-SK"/>
        </w:rPr>
        <w:t xml:space="preserve"> </w:t>
      </w:r>
      <w:r w:rsidRPr="00B9788E">
        <w:rPr>
          <w:rFonts w:asciiTheme="majorHAnsi" w:hAnsiTheme="majorHAnsi"/>
          <w:color w:val="auto"/>
          <w:lang w:val="sk-SK"/>
        </w:rPr>
        <w:t xml:space="preserve"> schvaľuje Výročnú správu o hospodárení za rok 201</w:t>
      </w:r>
      <w:r>
        <w:rPr>
          <w:rFonts w:asciiTheme="majorHAnsi" w:hAnsiTheme="majorHAnsi"/>
          <w:color w:val="auto"/>
          <w:lang w:val="sk-SK"/>
        </w:rPr>
        <w:t>6</w:t>
      </w:r>
      <w:r w:rsidRPr="00B9788E">
        <w:rPr>
          <w:rFonts w:asciiTheme="majorHAnsi" w:hAnsiTheme="majorHAnsi"/>
          <w:color w:val="auto"/>
          <w:lang w:val="sk-SK"/>
        </w:rPr>
        <w:t xml:space="preserve"> </w:t>
      </w:r>
      <w:r w:rsidR="00F00CCD">
        <w:rPr>
          <w:rFonts w:asciiTheme="majorHAnsi" w:hAnsiTheme="majorHAnsi"/>
          <w:color w:val="auto"/>
          <w:lang w:val="sk-SK"/>
        </w:rPr>
        <w:t xml:space="preserve"> </w:t>
      </w:r>
      <w:bookmarkStart w:id="0" w:name="_GoBack"/>
      <w:bookmarkEnd w:id="0"/>
    </w:p>
    <w:p w:rsidR="001C47CC" w:rsidRPr="00B9788E" w:rsidRDefault="001C47CC" w:rsidP="001C47CC">
      <w:pPr>
        <w:pStyle w:val="Default"/>
        <w:rPr>
          <w:rFonts w:asciiTheme="majorHAnsi" w:hAnsiTheme="majorHAnsi" w:cs="Times New Roman"/>
          <w:color w:val="auto"/>
          <w:lang w:val="sk-SK"/>
        </w:rPr>
      </w:pPr>
    </w:p>
    <w:p w:rsidR="006F4AFD" w:rsidRPr="00B9788E" w:rsidRDefault="006F4AFD" w:rsidP="00774D8A">
      <w:pPr>
        <w:pStyle w:val="Default"/>
        <w:rPr>
          <w:rFonts w:asciiTheme="majorHAnsi" w:hAnsiTheme="majorHAnsi" w:cs="Times New Roman"/>
          <w:color w:val="auto"/>
          <w:lang w:val="sk-SK"/>
        </w:rPr>
        <w:sectPr w:rsidR="006F4AFD" w:rsidRPr="00B9788E" w:rsidSect="001353B9">
          <w:headerReference w:type="default" r:id="rId9"/>
          <w:footerReference w:type="even" r:id="rId10"/>
          <w:footerReference w:type="default" r:id="rId11"/>
          <w:pgSz w:w="11900" w:h="16840"/>
          <w:pgMar w:top="3969" w:right="1800" w:bottom="1440" w:left="1800" w:header="708" w:footer="708" w:gutter="0"/>
          <w:cols w:space="708"/>
          <w:docGrid w:linePitch="360"/>
        </w:sectPr>
      </w:pPr>
    </w:p>
    <w:p w:rsidR="00D7793B" w:rsidRDefault="00D7793B" w:rsidP="006B6D96">
      <w:pPr>
        <w:pStyle w:val="Nadpis1"/>
        <w:numPr>
          <w:ilvl w:val="0"/>
          <w:numId w:val="3"/>
        </w:numPr>
        <w:spacing w:before="0" w:after="0"/>
        <w:ind w:left="0" w:firstLine="0"/>
        <w:jc w:val="both"/>
        <w:rPr>
          <w:rFonts w:asciiTheme="majorHAnsi" w:hAnsiTheme="majorHAnsi" w:cs="Times New Roman"/>
          <w:sz w:val="28"/>
          <w:szCs w:val="28"/>
        </w:rPr>
      </w:pPr>
      <w:r w:rsidRPr="00B9788E">
        <w:rPr>
          <w:rFonts w:asciiTheme="majorHAnsi" w:hAnsiTheme="majorHAnsi" w:cs="Times New Roman"/>
          <w:sz w:val="28"/>
          <w:szCs w:val="28"/>
        </w:rPr>
        <w:lastRenderedPageBreak/>
        <w:t>Úvod</w:t>
      </w:r>
    </w:p>
    <w:p w:rsidR="00D651FB" w:rsidRPr="00D651FB" w:rsidRDefault="00D651FB" w:rsidP="00D651FB">
      <w:pPr>
        <w:rPr>
          <w:lang w:val="sk-SK" w:eastAsia="cs-CZ"/>
        </w:rPr>
      </w:pPr>
    </w:p>
    <w:p w:rsidR="00D651FB" w:rsidRPr="00D651FB" w:rsidRDefault="00D651FB" w:rsidP="007524F9">
      <w:pPr>
        <w:pStyle w:val="Odsekzoznamu"/>
        <w:ind w:left="0"/>
        <w:jc w:val="both"/>
        <w:rPr>
          <w:rFonts w:asciiTheme="majorHAnsi" w:hAnsiTheme="majorHAnsi"/>
        </w:rPr>
      </w:pPr>
      <w:r w:rsidRPr="00D651FB">
        <w:rPr>
          <w:rFonts w:asciiTheme="majorHAnsi" w:hAnsiTheme="majorHAnsi"/>
        </w:rPr>
        <w:t>Výročná správa o hospodárení Slovenskej technickej univer</w:t>
      </w:r>
      <w:r>
        <w:rPr>
          <w:rFonts w:asciiTheme="majorHAnsi" w:hAnsiTheme="majorHAnsi"/>
        </w:rPr>
        <w:t>z</w:t>
      </w:r>
      <w:r w:rsidRPr="00D651FB">
        <w:rPr>
          <w:rFonts w:asciiTheme="majorHAnsi" w:hAnsiTheme="majorHAnsi"/>
        </w:rPr>
        <w:t xml:space="preserve">ity v Bratislave </w:t>
      </w:r>
      <w:r w:rsidRPr="00B9788E">
        <w:rPr>
          <w:rFonts w:asciiTheme="majorHAnsi" w:hAnsiTheme="majorHAnsi"/>
        </w:rPr>
        <w:t xml:space="preserve">(ďalej len “ STU”) </w:t>
      </w:r>
      <w:r>
        <w:rPr>
          <w:rFonts w:asciiTheme="majorHAnsi" w:hAnsiTheme="majorHAnsi"/>
        </w:rPr>
        <w:t xml:space="preserve"> za rok 201</w:t>
      </w:r>
      <w:r w:rsidR="00877D07">
        <w:rPr>
          <w:rFonts w:asciiTheme="majorHAnsi" w:hAnsiTheme="majorHAnsi"/>
        </w:rPr>
        <w:t>6</w:t>
      </w:r>
      <w:r>
        <w:rPr>
          <w:rFonts w:asciiTheme="majorHAnsi" w:hAnsiTheme="majorHAnsi"/>
        </w:rPr>
        <w:t xml:space="preserve"> </w:t>
      </w:r>
      <w:r w:rsidRPr="00D651FB">
        <w:rPr>
          <w:rFonts w:asciiTheme="majorHAnsi" w:hAnsiTheme="majorHAnsi"/>
        </w:rPr>
        <w:t>je vypracovaná v súlade so zákonom č. 131/2002 Z.z.  § 20 ods. 1 písm.b) a podľa metodického    usmernenia Ministerstva školstva, vedy, výskumu a športu SR k výročnej správne o hospodárení verejnej vysokej školy za rok 201</w:t>
      </w:r>
      <w:r w:rsidR="00877D07">
        <w:rPr>
          <w:rFonts w:asciiTheme="majorHAnsi" w:hAnsiTheme="majorHAnsi"/>
        </w:rPr>
        <w:t>6</w:t>
      </w:r>
      <w:r w:rsidRPr="00D651FB">
        <w:rPr>
          <w:rFonts w:asciiTheme="majorHAnsi" w:hAnsiTheme="majorHAnsi"/>
        </w:rPr>
        <w:t>. Údaje vo výročnej správe vychádzajú z riadne vedeného účtovníctva za rok 201</w:t>
      </w:r>
      <w:r w:rsidR="00877D07">
        <w:rPr>
          <w:rFonts w:asciiTheme="majorHAnsi" w:hAnsiTheme="majorHAnsi"/>
        </w:rPr>
        <w:t>6</w:t>
      </w:r>
      <w:r w:rsidRPr="00D651FB">
        <w:rPr>
          <w:rFonts w:asciiTheme="majorHAnsi" w:hAnsiTheme="majorHAnsi"/>
        </w:rPr>
        <w:t>.</w:t>
      </w:r>
    </w:p>
    <w:p w:rsidR="00D651FB" w:rsidRPr="00D651FB" w:rsidRDefault="00D651FB" w:rsidP="007524F9">
      <w:pPr>
        <w:pStyle w:val="Odsekzoznamu"/>
        <w:ind w:left="0"/>
        <w:jc w:val="both"/>
        <w:rPr>
          <w:rFonts w:asciiTheme="majorHAnsi" w:hAnsiTheme="majorHAnsi"/>
        </w:rPr>
      </w:pPr>
    </w:p>
    <w:p w:rsidR="00D651FB" w:rsidRPr="00D651FB" w:rsidRDefault="00D651FB" w:rsidP="007524F9">
      <w:pPr>
        <w:pStyle w:val="Odsekzoznamu"/>
        <w:suppressAutoHyphens/>
        <w:ind w:left="0"/>
        <w:jc w:val="both"/>
        <w:rPr>
          <w:rFonts w:asciiTheme="majorHAnsi" w:hAnsiTheme="majorHAnsi"/>
          <w:b/>
          <w:bCs/>
        </w:rPr>
      </w:pPr>
      <w:r w:rsidRPr="00D651FB">
        <w:rPr>
          <w:rFonts w:asciiTheme="majorHAnsi" w:hAnsiTheme="majorHAnsi"/>
        </w:rPr>
        <w:t>Prezentované výsledky zahŕňajú hospodárenie celej STU vrátane všetkých súčastí univerzity – jednotlivých fakúlt a ostatných univerzitných pracovísk a účelových zariadení.</w:t>
      </w:r>
    </w:p>
    <w:p w:rsidR="008B769C" w:rsidRPr="00B9788E" w:rsidRDefault="008B769C" w:rsidP="007524F9">
      <w:pPr>
        <w:jc w:val="both"/>
        <w:rPr>
          <w:rFonts w:asciiTheme="majorHAnsi" w:hAnsiTheme="majorHAnsi"/>
          <w:lang w:val="sk-SK" w:eastAsia="cs-CZ"/>
        </w:rPr>
      </w:pPr>
    </w:p>
    <w:p w:rsidR="00D7793B" w:rsidRDefault="00D651FB" w:rsidP="007524F9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STU </w:t>
      </w:r>
      <w:r w:rsidR="008B769C" w:rsidRPr="00B9788E">
        <w:rPr>
          <w:rFonts w:asciiTheme="majorHAnsi" w:hAnsiTheme="majorHAnsi"/>
        </w:rPr>
        <w:t xml:space="preserve"> </w:t>
      </w:r>
      <w:r w:rsidR="000A2DA3" w:rsidRPr="00B9788E">
        <w:rPr>
          <w:rFonts w:asciiTheme="majorHAnsi" w:hAnsiTheme="majorHAnsi"/>
        </w:rPr>
        <w:t xml:space="preserve"> </w:t>
      </w:r>
      <w:r w:rsidR="008B769C" w:rsidRPr="00B9788E">
        <w:rPr>
          <w:rFonts w:asciiTheme="majorHAnsi" w:hAnsiTheme="majorHAnsi"/>
        </w:rPr>
        <w:t xml:space="preserve"> </w:t>
      </w:r>
      <w:r w:rsidR="000A2DA3" w:rsidRPr="00B9788E">
        <w:rPr>
          <w:rFonts w:asciiTheme="majorHAnsi" w:hAnsiTheme="majorHAnsi"/>
        </w:rPr>
        <w:t xml:space="preserve">je verejná vysoká škola, ktorá </w:t>
      </w:r>
      <w:r w:rsidR="008B769C" w:rsidRPr="00B9788E">
        <w:rPr>
          <w:rFonts w:asciiTheme="majorHAnsi" w:hAnsiTheme="majorHAnsi"/>
        </w:rPr>
        <w:t xml:space="preserve">vykonáva svoju činnosť v súlade so zákonom </w:t>
      </w:r>
      <w:r w:rsidR="000D7846">
        <w:rPr>
          <w:rFonts w:asciiTheme="majorHAnsi" w:hAnsiTheme="majorHAnsi"/>
        </w:rPr>
        <w:t xml:space="preserve">                  </w:t>
      </w:r>
      <w:r w:rsidR="008B769C" w:rsidRPr="00B9788E">
        <w:rPr>
          <w:rFonts w:asciiTheme="majorHAnsi" w:hAnsiTheme="majorHAnsi"/>
        </w:rPr>
        <w:t xml:space="preserve">č. 131/2002 Z.z. o vysokých </w:t>
      </w:r>
      <w:proofErr w:type="gramStart"/>
      <w:r w:rsidR="008B769C" w:rsidRPr="00B9788E">
        <w:rPr>
          <w:rFonts w:asciiTheme="majorHAnsi" w:hAnsiTheme="majorHAnsi"/>
        </w:rPr>
        <w:t>školách  v</w:t>
      </w:r>
      <w:proofErr w:type="gramEnd"/>
      <w:r w:rsidR="008B769C" w:rsidRPr="00B9788E">
        <w:rPr>
          <w:rFonts w:asciiTheme="majorHAnsi" w:hAnsiTheme="majorHAnsi"/>
        </w:rPr>
        <w:t xml:space="preserve"> znení neskorších predpisov. Hospodári na základe rozpočtu schváleného Akademickým senátom STU a Správnou radou STU, ktorý </w:t>
      </w:r>
      <w:r w:rsidR="00773D5D" w:rsidRPr="00B9788E">
        <w:rPr>
          <w:rFonts w:asciiTheme="majorHAnsi" w:hAnsiTheme="majorHAnsi"/>
        </w:rPr>
        <w:t xml:space="preserve">bol </w:t>
      </w:r>
      <w:r w:rsidR="008B769C" w:rsidRPr="00B9788E">
        <w:rPr>
          <w:rFonts w:asciiTheme="majorHAnsi" w:hAnsiTheme="majorHAnsi"/>
        </w:rPr>
        <w:t>na rok 201</w:t>
      </w:r>
      <w:r w:rsidR="00877D07">
        <w:rPr>
          <w:rFonts w:asciiTheme="majorHAnsi" w:hAnsiTheme="majorHAnsi"/>
        </w:rPr>
        <w:t xml:space="preserve">6 </w:t>
      </w:r>
      <w:r w:rsidR="008B769C" w:rsidRPr="00B9788E">
        <w:rPr>
          <w:rFonts w:asciiTheme="majorHAnsi" w:hAnsiTheme="majorHAnsi"/>
        </w:rPr>
        <w:t>vypracovaný na základe predpokladaných zdrojov, ktoré  STU</w:t>
      </w:r>
      <w:r w:rsidR="000D7846">
        <w:rPr>
          <w:rFonts w:asciiTheme="majorHAnsi" w:hAnsiTheme="majorHAnsi"/>
        </w:rPr>
        <w:t xml:space="preserve">        </w:t>
      </w:r>
      <w:r w:rsidR="008B769C" w:rsidRPr="00B9788E">
        <w:rPr>
          <w:rFonts w:asciiTheme="majorHAnsi" w:hAnsiTheme="majorHAnsi"/>
        </w:rPr>
        <w:t xml:space="preserve"> v roku 201</w:t>
      </w:r>
      <w:r w:rsidR="00877D07">
        <w:rPr>
          <w:rFonts w:asciiTheme="majorHAnsi" w:hAnsiTheme="majorHAnsi"/>
        </w:rPr>
        <w:t>6</w:t>
      </w:r>
      <w:r w:rsidR="008B769C" w:rsidRPr="00B9788E">
        <w:rPr>
          <w:rFonts w:asciiTheme="majorHAnsi" w:hAnsiTheme="majorHAnsi"/>
        </w:rPr>
        <w:t xml:space="preserve"> plánovala vytvoriť vlastnou činnosťou a na základe prideleného </w:t>
      </w:r>
      <w:r w:rsidR="00773D5D" w:rsidRPr="00B9788E">
        <w:rPr>
          <w:rFonts w:asciiTheme="majorHAnsi" w:hAnsiTheme="majorHAnsi"/>
        </w:rPr>
        <w:t>rozpočtu na rok 201</w:t>
      </w:r>
      <w:r w:rsidR="00877D07">
        <w:rPr>
          <w:rFonts w:asciiTheme="majorHAnsi" w:hAnsiTheme="majorHAnsi"/>
        </w:rPr>
        <w:t>6</w:t>
      </w:r>
      <w:r w:rsidR="00773D5D" w:rsidRPr="00B9788E">
        <w:rPr>
          <w:rFonts w:asciiTheme="majorHAnsi" w:hAnsiTheme="majorHAnsi"/>
        </w:rPr>
        <w:t xml:space="preserve"> </w:t>
      </w:r>
      <w:r w:rsidR="008B769C" w:rsidRPr="00B9788E">
        <w:rPr>
          <w:rFonts w:asciiTheme="majorHAnsi" w:hAnsiTheme="majorHAnsi"/>
        </w:rPr>
        <w:t>zo štátneho rozpočtu</w:t>
      </w:r>
      <w:r w:rsidR="00773D5D" w:rsidRPr="00B9788E">
        <w:rPr>
          <w:rFonts w:asciiTheme="majorHAnsi" w:hAnsiTheme="majorHAnsi"/>
        </w:rPr>
        <w:t xml:space="preserve"> Dotačnou zmluvou </w:t>
      </w:r>
      <w:r w:rsidR="008B769C" w:rsidRPr="00B9788E">
        <w:rPr>
          <w:rFonts w:asciiTheme="majorHAnsi" w:hAnsiTheme="majorHAnsi"/>
        </w:rPr>
        <w:t xml:space="preserve"> prostredníctvom </w:t>
      </w:r>
      <w:r w:rsidR="00773D5D" w:rsidRPr="00B9788E">
        <w:rPr>
          <w:rFonts w:asciiTheme="majorHAnsi" w:hAnsiTheme="majorHAnsi"/>
        </w:rPr>
        <w:t>rozpočtu Ministerstva škol</w:t>
      </w:r>
      <w:r w:rsidR="00063457" w:rsidRPr="00B9788E">
        <w:rPr>
          <w:rFonts w:asciiTheme="majorHAnsi" w:hAnsiTheme="majorHAnsi"/>
        </w:rPr>
        <w:t xml:space="preserve">stva, vedy, výskumu a športu SR (ďalej len “dotačná zmluva”) </w:t>
      </w:r>
    </w:p>
    <w:p w:rsidR="00D11F64" w:rsidRDefault="00D11F64" w:rsidP="007524F9">
      <w:pPr>
        <w:jc w:val="both"/>
        <w:rPr>
          <w:rFonts w:asciiTheme="majorHAnsi" w:hAnsiTheme="majorHAnsi"/>
        </w:rPr>
      </w:pPr>
    </w:p>
    <w:p w:rsidR="00D11F64" w:rsidRDefault="00D11F64" w:rsidP="007524F9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Hospodársky výsledok STU v roku 201</w:t>
      </w:r>
      <w:r w:rsidR="00877D07">
        <w:rPr>
          <w:rFonts w:asciiTheme="majorHAnsi" w:hAnsiTheme="majorHAnsi"/>
        </w:rPr>
        <w:t>6</w:t>
      </w:r>
      <w:r>
        <w:rPr>
          <w:rFonts w:asciiTheme="majorHAnsi" w:hAnsiTheme="majorHAnsi"/>
        </w:rPr>
        <w:t xml:space="preserve"> bol ovplyvňovaný </w:t>
      </w:r>
    </w:p>
    <w:p w:rsidR="00D11F64" w:rsidRDefault="00D11F64" w:rsidP="007524F9">
      <w:pPr>
        <w:jc w:val="both"/>
        <w:rPr>
          <w:rFonts w:asciiTheme="majorHAnsi" w:hAnsiTheme="majorHAnsi"/>
        </w:rPr>
      </w:pPr>
    </w:p>
    <w:p w:rsidR="00D11F64" w:rsidRPr="00D11F64" w:rsidRDefault="00D11F64" w:rsidP="006B6D96">
      <w:pPr>
        <w:pStyle w:val="Odsekzoznamu"/>
        <w:numPr>
          <w:ilvl w:val="0"/>
          <w:numId w:val="10"/>
        </w:numPr>
        <w:ind w:left="0" w:firstLine="0"/>
        <w:rPr>
          <w:rFonts w:asciiTheme="majorHAnsi" w:hAnsiTheme="majorHAnsi"/>
        </w:rPr>
      </w:pPr>
      <w:r>
        <w:rPr>
          <w:rFonts w:asciiTheme="majorHAnsi" w:hAnsiTheme="majorHAnsi"/>
        </w:rPr>
        <w:t>O</w:t>
      </w:r>
      <w:r w:rsidRPr="00D11F64">
        <w:rPr>
          <w:rFonts w:asciiTheme="majorHAnsi" w:hAnsiTheme="majorHAnsi"/>
        </w:rPr>
        <w:t>dpismi:</w:t>
      </w:r>
    </w:p>
    <w:p w:rsidR="00D11F64" w:rsidRDefault="00D11F64" w:rsidP="00D11F64">
      <w:pPr>
        <w:pStyle w:val="Odsekzoznamu"/>
        <w:ind w:left="0"/>
        <w:rPr>
          <w:rFonts w:asciiTheme="majorHAnsi" w:hAnsiTheme="majorHAnsi"/>
        </w:rPr>
      </w:pPr>
    </w:p>
    <w:p w:rsidR="00D11F64" w:rsidRDefault="00D11F64" w:rsidP="006B6D96">
      <w:pPr>
        <w:pStyle w:val="Odsekzoznamu"/>
        <w:numPr>
          <w:ilvl w:val="0"/>
          <w:numId w:val="9"/>
        </w:numPr>
        <w:rPr>
          <w:rFonts w:asciiTheme="majorHAnsi" w:hAnsiTheme="majorHAnsi"/>
        </w:rPr>
      </w:pPr>
      <w:r w:rsidRPr="00D11F64">
        <w:rPr>
          <w:rFonts w:asciiTheme="majorHAnsi" w:hAnsiTheme="majorHAnsi"/>
        </w:rPr>
        <w:t>budov, ktoré jej boli zverené pred rokom 2002 a na ktoré nebolo</w:t>
      </w:r>
      <w:r>
        <w:rPr>
          <w:rFonts w:asciiTheme="majorHAnsi" w:hAnsiTheme="majorHAnsi"/>
        </w:rPr>
        <w:t xml:space="preserve"> z</w:t>
      </w:r>
      <w:r w:rsidRPr="00D11F64">
        <w:rPr>
          <w:rFonts w:asciiTheme="majorHAnsi" w:hAnsiTheme="majorHAnsi"/>
        </w:rPr>
        <w:t xml:space="preserve">abezpečené </w:t>
      </w:r>
      <w:r>
        <w:rPr>
          <w:rFonts w:asciiTheme="majorHAnsi" w:hAnsiTheme="majorHAnsi"/>
        </w:rPr>
        <w:t>krytie výnosmi</w:t>
      </w:r>
    </w:p>
    <w:p w:rsidR="00D11F64" w:rsidRDefault="00D11F64" w:rsidP="00D11F64">
      <w:pPr>
        <w:pStyle w:val="Odsekzoznamu"/>
        <w:ind w:left="0"/>
        <w:rPr>
          <w:rFonts w:asciiTheme="majorHAnsi" w:hAnsiTheme="majorHAnsi"/>
        </w:rPr>
      </w:pPr>
    </w:p>
    <w:p w:rsidR="00D11F64" w:rsidRDefault="00D11F64" w:rsidP="006B6D96">
      <w:pPr>
        <w:pStyle w:val="Odsekzoznamu"/>
        <w:numPr>
          <w:ilvl w:val="0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majetku nakúpeného z vlastných zdrojov prostredníctvom fondu reprodukcie, ktoré nie sú kryté výnosmi</w:t>
      </w:r>
    </w:p>
    <w:p w:rsidR="00D11F64" w:rsidRDefault="00D11F64" w:rsidP="00D11F64">
      <w:pPr>
        <w:pStyle w:val="Odsekzoznamu"/>
        <w:ind w:left="0"/>
        <w:rPr>
          <w:rFonts w:asciiTheme="majorHAnsi" w:hAnsiTheme="majorHAnsi"/>
        </w:rPr>
      </w:pPr>
    </w:p>
    <w:p w:rsidR="00D11F64" w:rsidRPr="00D11F64" w:rsidRDefault="00D11F64" w:rsidP="006B6D96">
      <w:pPr>
        <w:pStyle w:val="Odsekzoznamu"/>
        <w:numPr>
          <w:ilvl w:val="0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majetku nakúpeného zo štrukturálnych fondov – 5% spolufinancovanie prostredníctvom fondu reprodukcie, ktoré nie sú kryté výnosmi</w:t>
      </w:r>
    </w:p>
    <w:p w:rsidR="008B769C" w:rsidRDefault="008B769C" w:rsidP="00D7793B">
      <w:pPr>
        <w:rPr>
          <w:rFonts w:asciiTheme="majorHAnsi" w:hAnsiTheme="majorHAnsi"/>
        </w:rPr>
      </w:pPr>
    </w:p>
    <w:p w:rsidR="00D11F64" w:rsidRPr="00D11F64" w:rsidRDefault="00D11F64" w:rsidP="006B6D96">
      <w:pPr>
        <w:pStyle w:val="Odsekzoznamu"/>
        <w:numPr>
          <w:ilvl w:val="0"/>
          <w:numId w:val="10"/>
        </w:numPr>
        <w:ind w:left="426" w:hanging="426"/>
        <w:rPr>
          <w:rFonts w:asciiTheme="majorHAnsi" w:hAnsiTheme="majorHAnsi"/>
        </w:rPr>
      </w:pPr>
      <w:r>
        <w:rPr>
          <w:rFonts w:asciiTheme="majorHAnsi" w:hAnsiTheme="majorHAnsi"/>
        </w:rPr>
        <w:t>Nákladmi, ktoré STU mala finančne kryté, ale neboli kryté výnosmi  v roku 201</w:t>
      </w:r>
      <w:r w:rsidR="00877D07">
        <w:rPr>
          <w:rFonts w:asciiTheme="majorHAnsi" w:hAnsiTheme="majorHAnsi"/>
        </w:rPr>
        <w:t>6</w:t>
      </w:r>
    </w:p>
    <w:p w:rsidR="00D7793B" w:rsidRPr="00365D0F" w:rsidRDefault="00D7793B" w:rsidP="00D7793B">
      <w:pPr>
        <w:rPr>
          <w:rFonts w:asciiTheme="majorHAnsi" w:hAnsiTheme="majorHAnsi"/>
          <w:sz w:val="28"/>
          <w:szCs w:val="28"/>
        </w:rPr>
      </w:pPr>
    </w:p>
    <w:p w:rsidR="00D7793B" w:rsidRPr="00365D0F" w:rsidRDefault="00D7793B" w:rsidP="006B6D96">
      <w:pPr>
        <w:pStyle w:val="Nadpis1"/>
        <w:numPr>
          <w:ilvl w:val="0"/>
          <w:numId w:val="3"/>
        </w:numPr>
        <w:suppressAutoHyphens/>
        <w:spacing w:before="0" w:after="0"/>
        <w:ind w:hanging="720"/>
        <w:jc w:val="both"/>
        <w:rPr>
          <w:rFonts w:asciiTheme="majorHAnsi" w:hAnsiTheme="majorHAnsi" w:cs="Times New Roman"/>
          <w:sz w:val="28"/>
          <w:szCs w:val="28"/>
        </w:rPr>
      </w:pPr>
      <w:r w:rsidRPr="00365D0F">
        <w:rPr>
          <w:rFonts w:asciiTheme="majorHAnsi" w:hAnsiTheme="majorHAnsi" w:cs="Times New Roman"/>
          <w:sz w:val="28"/>
          <w:szCs w:val="28"/>
        </w:rPr>
        <w:t>Ročná účtovná závierka</w:t>
      </w:r>
    </w:p>
    <w:p w:rsidR="00D651FB" w:rsidRPr="00D651FB" w:rsidRDefault="00D651FB" w:rsidP="00D651FB">
      <w:pPr>
        <w:rPr>
          <w:lang w:val="sk-SK" w:eastAsia="cs-CZ"/>
        </w:rPr>
      </w:pPr>
    </w:p>
    <w:p w:rsidR="00D651FB" w:rsidRPr="00D651FB" w:rsidRDefault="00D651FB" w:rsidP="00D651FB">
      <w:pPr>
        <w:ind w:right="-64"/>
        <w:jc w:val="both"/>
        <w:rPr>
          <w:rFonts w:asciiTheme="majorHAnsi" w:hAnsiTheme="majorHAnsi" w:cs="Arial"/>
          <w:color w:val="000000" w:themeColor="text1"/>
          <w:sz w:val="22"/>
          <w:szCs w:val="22"/>
          <w:lang w:eastAsia="sk-SK"/>
        </w:rPr>
      </w:pPr>
      <w:bookmarkStart w:id="1" w:name="RANGE!A3"/>
      <w:r w:rsidRPr="00D651FB">
        <w:rPr>
          <w:rFonts w:asciiTheme="majorHAnsi" w:hAnsiTheme="majorHAnsi" w:cs="Arial"/>
          <w:sz w:val="22"/>
          <w:szCs w:val="22"/>
          <w:lang w:eastAsia="sk-SK"/>
        </w:rPr>
        <w:t>Pri zostavovaní účtovnej závierky za rok 201</w:t>
      </w:r>
      <w:r w:rsidR="00744D75">
        <w:rPr>
          <w:rFonts w:asciiTheme="majorHAnsi" w:hAnsiTheme="majorHAnsi" w:cs="Arial"/>
          <w:sz w:val="22"/>
          <w:szCs w:val="22"/>
          <w:lang w:eastAsia="sk-SK"/>
        </w:rPr>
        <w:t>6</w:t>
      </w:r>
      <w:r w:rsidRPr="00D651FB">
        <w:rPr>
          <w:rFonts w:asciiTheme="majorHAnsi" w:hAnsiTheme="majorHAnsi" w:cs="Arial"/>
          <w:sz w:val="22"/>
          <w:szCs w:val="22"/>
          <w:lang w:eastAsia="sk-SK"/>
        </w:rPr>
        <w:t xml:space="preserve"> Slovenská technická </w:t>
      </w:r>
      <w:proofErr w:type="gramStart"/>
      <w:r w:rsidRPr="00D651FB">
        <w:rPr>
          <w:rFonts w:asciiTheme="majorHAnsi" w:hAnsiTheme="majorHAnsi" w:cs="Arial"/>
          <w:sz w:val="22"/>
          <w:szCs w:val="22"/>
          <w:lang w:eastAsia="sk-SK"/>
        </w:rPr>
        <w:t>univerzita  v</w:t>
      </w:r>
      <w:proofErr w:type="gramEnd"/>
      <w:r w:rsidRPr="00D651FB">
        <w:rPr>
          <w:rFonts w:asciiTheme="majorHAnsi" w:hAnsiTheme="majorHAnsi" w:cs="Arial"/>
          <w:sz w:val="22"/>
          <w:szCs w:val="22"/>
          <w:lang w:eastAsia="sk-SK"/>
        </w:rPr>
        <w:t xml:space="preserve"> Bratislave postupovala podľa opatrenia  č. </w:t>
      </w:r>
      <w:r w:rsidRPr="00D651FB">
        <w:rPr>
          <w:rFonts w:asciiTheme="majorHAnsi" w:hAnsiTheme="majorHAnsi" w:cs="Arial"/>
          <w:color w:val="000000" w:themeColor="text1"/>
          <w:sz w:val="22"/>
          <w:szCs w:val="22"/>
          <w:lang w:eastAsia="sk-SK"/>
        </w:rPr>
        <w:t xml:space="preserve">MF/20166/2015-74 zo dňa 2. </w:t>
      </w:r>
      <w:proofErr w:type="gramStart"/>
      <w:r w:rsidRPr="00D651FB">
        <w:rPr>
          <w:rFonts w:asciiTheme="majorHAnsi" w:hAnsiTheme="majorHAnsi" w:cs="Arial"/>
          <w:color w:val="000000" w:themeColor="text1"/>
          <w:sz w:val="22"/>
          <w:szCs w:val="22"/>
          <w:lang w:eastAsia="sk-SK"/>
        </w:rPr>
        <w:t>decembra</w:t>
      </w:r>
      <w:proofErr w:type="gramEnd"/>
      <w:r w:rsidRPr="00D651FB">
        <w:rPr>
          <w:rFonts w:asciiTheme="majorHAnsi" w:hAnsiTheme="majorHAnsi" w:cs="Arial"/>
          <w:color w:val="000000" w:themeColor="text1"/>
          <w:sz w:val="22"/>
          <w:szCs w:val="22"/>
          <w:lang w:eastAsia="sk-SK"/>
        </w:rPr>
        <w:t xml:space="preserve"> 2015, ktorým sa mení a  dopĺňa opatrenie č. MF/17616/2013-74 zo dňa 30. októbra 2013, ktorým sa ustanovujú podrobnosti o usporiadaní, označovaní  a obsahovom vymedzení položiek individuálnej účtovnej závierky, termíny a miesto ukladania individuálnej účtovnej závierky a výročnej správy pre účtovné jednotky účtujúce v sústave podvojného účtovníctva, ktoré nie sú zriadené alebo založené na účely podnikania, podľa  opatrenia    č. MF/18977/2015-31 z 10. </w:t>
      </w:r>
      <w:proofErr w:type="gramStart"/>
      <w:r w:rsidRPr="00D651FB">
        <w:rPr>
          <w:rFonts w:asciiTheme="majorHAnsi" w:hAnsiTheme="majorHAnsi" w:cs="Arial"/>
          <w:color w:val="000000" w:themeColor="text1"/>
          <w:sz w:val="22"/>
          <w:szCs w:val="22"/>
          <w:lang w:eastAsia="sk-SK"/>
        </w:rPr>
        <w:t>decembra</w:t>
      </w:r>
      <w:proofErr w:type="gramEnd"/>
      <w:r w:rsidRPr="00D651FB">
        <w:rPr>
          <w:rFonts w:asciiTheme="majorHAnsi" w:hAnsiTheme="majorHAnsi" w:cs="Arial"/>
          <w:color w:val="000000" w:themeColor="text1"/>
          <w:sz w:val="22"/>
          <w:szCs w:val="22"/>
          <w:lang w:eastAsia="sk-SK"/>
        </w:rPr>
        <w:t xml:space="preserve"> 2015, ktorým sa ustanovuje usporiadanie , obsahové vymedzenie, spôsob, </w:t>
      </w:r>
      <w:r w:rsidRPr="00D651FB">
        <w:rPr>
          <w:rFonts w:asciiTheme="majorHAnsi" w:hAnsiTheme="majorHAnsi" w:cs="Arial"/>
          <w:color w:val="000000" w:themeColor="text1"/>
          <w:sz w:val="22"/>
          <w:szCs w:val="22"/>
          <w:lang w:eastAsia="sk-SK"/>
        </w:rPr>
        <w:lastRenderedPageBreak/>
        <w:t>termín a miesto predkladania informácií z účtovníctva a údajov potrebných na účely hodnotenia plnenia rozpočtu verejnej správy, podľa opatrenia č. MF/23377/2014-74 z</w:t>
      </w:r>
      <w:r w:rsidR="000D7846">
        <w:rPr>
          <w:rFonts w:asciiTheme="majorHAnsi" w:hAnsiTheme="majorHAnsi" w:cs="Arial"/>
          <w:color w:val="000000" w:themeColor="text1"/>
          <w:sz w:val="22"/>
          <w:szCs w:val="22"/>
          <w:lang w:eastAsia="sk-SK"/>
        </w:rPr>
        <w:t xml:space="preserve">                      </w:t>
      </w:r>
      <w:r w:rsidRPr="00D651FB">
        <w:rPr>
          <w:rFonts w:asciiTheme="majorHAnsi" w:hAnsiTheme="majorHAnsi" w:cs="Arial"/>
          <w:color w:val="000000" w:themeColor="text1"/>
          <w:sz w:val="22"/>
          <w:szCs w:val="22"/>
          <w:lang w:eastAsia="sk-SK"/>
        </w:rPr>
        <w:t xml:space="preserve"> 3. decembra 2014, ktorým sa ustanovujú podrobnosti o individuálnej účtovnej závierke a rozsahu údajov určených z individuálnej účtovnej závierky na zverejnenie pre veľké účtovné jednotky a subjekty verejného záujmu.</w:t>
      </w:r>
    </w:p>
    <w:p w:rsidR="00D651FB" w:rsidRPr="00D651FB" w:rsidRDefault="00D651FB" w:rsidP="00D651FB">
      <w:pPr>
        <w:spacing w:before="100" w:beforeAutospacing="1" w:after="100" w:afterAutospacing="1"/>
        <w:rPr>
          <w:rFonts w:asciiTheme="majorHAnsi" w:hAnsiTheme="majorHAnsi"/>
          <w:sz w:val="22"/>
          <w:szCs w:val="22"/>
          <w:lang w:eastAsia="sk-SK"/>
        </w:rPr>
      </w:pPr>
      <w:r w:rsidRPr="00D651FB">
        <w:rPr>
          <w:rFonts w:asciiTheme="majorHAnsi" w:hAnsiTheme="majorHAnsi"/>
          <w:sz w:val="22"/>
          <w:szCs w:val="22"/>
        </w:rPr>
        <w:t xml:space="preserve">Cieľom účtovnej závierky </w:t>
      </w:r>
      <w:r w:rsidRPr="00D651FB">
        <w:rPr>
          <w:rFonts w:asciiTheme="majorHAnsi" w:hAnsiTheme="majorHAnsi"/>
          <w:sz w:val="22"/>
          <w:szCs w:val="22"/>
          <w:lang w:eastAsia="sk-SK"/>
        </w:rPr>
        <w:t xml:space="preserve">je poskytnúť informácie o finančnej pozícii, finančnej výkonnosti STU. Účtovná závierka </w:t>
      </w:r>
      <w:proofErr w:type="gramStart"/>
      <w:r w:rsidRPr="00D651FB">
        <w:rPr>
          <w:rFonts w:asciiTheme="majorHAnsi" w:hAnsiTheme="majorHAnsi"/>
          <w:sz w:val="22"/>
          <w:szCs w:val="22"/>
          <w:lang w:eastAsia="sk-SK"/>
        </w:rPr>
        <w:t>poskytuje  informácie</w:t>
      </w:r>
      <w:proofErr w:type="gramEnd"/>
      <w:r w:rsidRPr="00D651FB">
        <w:rPr>
          <w:rFonts w:asciiTheme="majorHAnsi" w:hAnsiTheme="majorHAnsi"/>
          <w:sz w:val="22"/>
          <w:szCs w:val="22"/>
          <w:lang w:eastAsia="sk-SK"/>
        </w:rPr>
        <w:t xml:space="preserve"> o:</w:t>
      </w:r>
    </w:p>
    <w:p w:rsidR="00D651FB" w:rsidRPr="00D651FB" w:rsidRDefault="00D651FB" w:rsidP="00D651FB">
      <w:pPr>
        <w:rPr>
          <w:rFonts w:asciiTheme="majorHAnsi" w:hAnsiTheme="majorHAnsi"/>
          <w:sz w:val="22"/>
          <w:szCs w:val="22"/>
          <w:lang w:eastAsia="sk-SK"/>
        </w:rPr>
      </w:pPr>
      <w:r w:rsidRPr="00D651FB">
        <w:rPr>
          <w:rFonts w:asciiTheme="majorHAnsi" w:hAnsiTheme="majorHAnsi"/>
          <w:sz w:val="22"/>
          <w:szCs w:val="22"/>
          <w:lang w:eastAsia="sk-SK"/>
        </w:rPr>
        <w:t>(a) majetku;</w:t>
      </w:r>
    </w:p>
    <w:p w:rsidR="00D651FB" w:rsidRPr="00D651FB" w:rsidRDefault="00D651FB" w:rsidP="00D651FB">
      <w:pPr>
        <w:rPr>
          <w:rFonts w:asciiTheme="majorHAnsi" w:hAnsiTheme="majorHAnsi"/>
          <w:sz w:val="22"/>
          <w:szCs w:val="22"/>
          <w:lang w:eastAsia="sk-SK"/>
        </w:rPr>
      </w:pPr>
      <w:r w:rsidRPr="00D651FB">
        <w:rPr>
          <w:rFonts w:asciiTheme="majorHAnsi" w:hAnsiTheme="majorHAnsi"/>
          <w:sz w:val="22"/>
          <w:szCs w:val="22"/>
          <w:lang w:eastAsia="sk-SK"/>
        </w:rPr>
        <w:t>(b) záväzkoch;</w:t>
      </w:r>
    </w:p>
    <w:p w:rsidR="00D651FB" w:rsidRPr="00D651FB" w:rsidRDefault="00D651FB" w:rsidP="00D651FB">
      <w:pPr>
        <w:rPr>
          <w:rFonts w:asciiTheme="majorHAnsi" w:hAnsiTheme="majorHAnsi"/>
          <w:sz w:val="22"/>
          <w:szCs w:val="22"/>
          <w:lang w:eastAsia="sk-SK"/>
        </w:rPr>
      </w:pPr>
      <w:r w:rsidRPr="00D651FB">
        <w:rPr>
          <w:rFonts w:asciiTheme="majorHAnsi" w:hAnsiTheme="majorHAnsi"/>
          <w:sz w:val="22"/>
          <w:szCs w:val="22"/>
          <w:lang w:eastAsia="sk-SK"/>
        </w:rPr>
        <w:t>(c) vlastnom imaní;</w:t>
      </w:r>
    </w:p>
    <w:p w:rsidR="00D651FB" w:rsidRPr="00D651FB" w:rsidRDefault="00D651FB" w:rsidP="00D651FB">
      <w:pPr>
        <w:rPr>
          <w:rFonts w:asciiTheme="majorHAnsi" w:hAnsiTheme="majorHAnsi"/>
          <w:sz w:val="22"/>
          <w:szCs w:val="22"/>
          <w:lang w:eastAsia="sk-SK"/>
        </w:rPr>
      </w:pPr>
      <w:r w:rsidRPr="00D651FB">
        <w:rPr>
          <w:rFonts w:asciiTheme="majorHAnsi" w:hAnsiTheme="majorHAnsi"/>
          <w:sz w:val="22"/>
          <w:szCs w:val="22"/>
          <w:lang w:eastAsia="sk-SK"/>
        </w:rPr>
        <w:t xml:space="preserve">(d) nákladoch a výnosoch, </w:t>
      </w:r>
    </w:p>
    <w:p w:rsidR="00D651FB" w:rsidRPr="007E433A" w:rsidRDefault="00D651FB" w:rsidP="007E433A">
      <w:pPr>
        <w:jc w:val="both"/>
        <w:rPr>
          <w:rFonts w:asciiTheme="majorHAnsi" w:hAnsiTheme="majorHAnsi"/>
          <w:sz w:val="22"/>
          <w:szCs w:val="22"/>
        </w:rPr>
      </w:pPr>
    </w:p>
    <w:p w:rsidR="00D651FB" w:rsidRPr="00D651FB" w:rsidRDefault="00D651FB" w:rsidP="00D651FB">
      <w:pPr>
        <w:jc w:val="both"/>
        <w:rPr>
          <w:rFonts w:asciiTheme="majorHAnsi" w:hAnsiTheme="majorHAnsi"/>
          <w:sz w:val="22"/>
          <w:szCs w:val="22"/>
        </w:rPr>
      </w:pPr>
      <w:r w:rsidRPr="00D651FB">
        <w:rPr>
          <w:rFonts w:asciiTheme="majorHAnsi" w:hAnsiTheme="majorHAnsi"/>
          <w:sz w:val="22"/>
          <w:szCs w:val="22"/>
        </w:rPr>
        <w:t xml:space="preserve">Samotnej účtovnej závierke STU predchádzali činnosti, </w:t>
      </w:r>
      <w:proofErr w:type="gramStart"/>
      <w:r w:rsidRPr="00D651FB">
        <w:rPr>
          <w:rFonts w:asciiTheme="majorHAnsi" w:hAnsiTheme="majorHAnsi"/>
          <w:sz w:val="22"/>
          <w:szCs w:val="22"/>
        </w:rPr>
        <w:t>ktoré  vyplynuli</w:t>
      </w:r>
      <w:proofErr w:type="gramEnd"/>
      <w:r w:rsidRPr="00D651FB">
        <w:rPr>
          <w:rFonts w:asciiTheme="majorHAnsi" w:hAnsiTheme="majorHAnsi"/>
          <w:sz w:val="22"/>
          <w:szCs w:val="22"/>
        </w:rPr>
        <w:t xml:space="preserve">  z  vnútorných predpisov STU na vykonanie účtovnej uzávierky a účtovnej závierky, v ktorých  bol  stanovený časový harmonogram prác a ich rozsah s uvedením zodpovedných osôb. </w:t>
      </w:r>
    </w:p>
    <w:p w:rsidR="00D651FB" w:rsidRPr="00D651FB" w:rsidRDefault="00D651FB" w:rsidP="00D651FB">
      <w:pPr>
        <w:pStyle w:val="Odsekzoznamu"/>
        <w:ind w:left="720"/>
        <w:jc w:val="both"/>
        <w:rPr>
          <w:rFonts w:asciiTheme="majorHAnsi" w:hAnsiTheme="majorHAnsi"/>
          <w:sz w:val="22"/>
          <w:szCs w:val="22"/>
        </w:rPr>
      </w:pPr>
    </w:p>
    <w:bookmarkEnd w:id="1"/>
    <w:p w:rsidR="00D7793B" w:rsidRPr="00B9788E" w:rsidRDefault="00D7793B" w:rsidP="00D7793B">
      <w:pPr>
        <w:jc w:val="both"/>
        <w:rPr>
          <w:rFonts w:asciiTheme="majorHAnsi" w:hAnsiTheme="majorHAnsi"/>
        </w:rPr>
      </w:pPr>
      <w:r w:rsidRPr="00B9788E">
        <w:rPr>
          <w:rFonts w:asciiTheme="majorHAnsi" w:hAnsiTheme="majorHAnsi"/>
        </w:rPr>
        <w:t xml:space="preserve">Za STU bola účtovná závierka zostavená z údajov v </w:t>
      </w:r>
      <w:r w:rsidR="006F7836" w:rsidRPr="00B9788E">
        <w:rPr>
          <w:rFonts w:asciiTheme="majorHAnsi" w:hAnsiTheme="majorHAnsi"/>
        </w:rPr>
        <w:t>ekonomickom informačnom systéme MAGION</w:t>
      </w:r>
      <w:r w:rsidR="001314BF" w:rsidRPr="00B9788E">
        <w:rPr>
          <w:rFonts w:asciiTheme="majorHAnsi" w:hAnsiTheme="majorHAnsi"/>
        </w:rPr>
        <w:t xml:space="preserve"> </w:t>
      </w:r>
      <w:r w:rsidR="000E6B3A" w:rsidRPr="00B9788E">
        <w:rPr>
          <w:rFonts w:asciiTheme="majorHAnsi" w:hAnsiTheme="majorHAnsi"/>
        </w:rPr>
        <w:t xml:space="preserve"> </w:t>
      </w:r>
    </w:p>
    <w:p w:rsidR="00D7793B" w:rsidRPr="00B9788E" w:rsidRDefault="00D7793B" w:rsidP="00D7793B">
      <w:pPr>
        <w:jc w:val="both"/>
        <w:rPr>
          <w:rFonts w:asciiTheme="majorHAnsi" w:hAnsiTheme="majorHAnsi"/>
        </w:rPr>
      </w:pPr>
    </w:p>
    <w:p w:rsidR="00D7793B" w:rsidRPr="00B9788E" w:rsidRDefault="00D7793B" w:rsidP="00D7793B">
      <w:pPr>
        <w:jc w:val="both"/>
        <w:rPr>
          <w:rFonts w:asciiTheme="majorHAnsi" w:hAnsiTheme="majorHAnsi"/>
        </w:rPr>
      </w:pPr>
      <w:r w:rsidRPr="00B9788E">
        <w:rPr>
          <w:rFonts w:asciiTheme="majorHAnsi" w:hAnsiTheme="majorHAnsi"/>
        </w:rPr>
        <w:t xml:space="preserve">Súčasťou účtovnej závierky sú výkazy, ktoré </w:t>
      </w:r>
      <w:proofErr w:type="gramStart"/>
      <w:r w:rsidRPr="00B9788E">
        <w:rPr>
          <w:rFonts w:asciiTheme="majorHAnsi" w:hAnsiTheme="majorHAnsi"/>
        </w:rPr>
        <w:t>tvoria  samostatnú</w:t>
      </w:r>
      <w:proofErr w:type="gramEnd"/>
      <w:r w:rsidRPr="00B9788E">
        <w:rPr>
          <w:rFonts w:asciiTheme="majorHAnsi" w:hAnsiTheme="majorHAnsi"/>
        </w:rPr>
        <w:t xml:space="preserve"> prílohu výročnej správy, a to:</w:t>
      </w:r>
    </w:p>
    <w:p w:rsidR="00D7793B" w:rsidRPr="00B9788E" w:rsidRDefault="00D7793B" w:rsidP="006B6D96">
      <w:pPr>
        <w:numPr>
          <w:ilvl w:val="0"/>
          <w:numId w:val="1"/>
        </w:numPr>
        <w:suppressAutoHyphens/>
        <w:jc w:val="both"/>
        <w:rPr>
          <w:rFonts w:asciiTheme="majorHAnsi" w:hAnsiTheme="majorHAnsi"/>
          <w:b/>
          <w:bCs/>
        </w:rPr>
      </w:pPr>
      <w:r w:rsidRPr="00B9788E">
        <w:rPr>
          <w:rFonts w:asciiTheme="majorHAnsi" w:hAnsiTheme="majorHAnsi"/>
          <w:b/>
          <w:bCs/>
        </w:rPr>
        <w:t>Súvaha</w:t>
      </w:r>
    </w:p>
    <w:p w:rsidR="00D7793B" w:rsidRPr="00B9788E" w:rsidRDefault="00D7793B" w:rsidP="00D7793B">
      <w:pPr>
        <w:suppressAutoHyphens/>
        <w:ind w:left="720" w:hanging="360"/>
        <w:jc w:val="both"/>
        <w:rPr>
          <w:rFonts w:asciiTheme="majorHAnsi" w:hAnsiTheme="majorHAnsi"/>
          <w:b/>
          <w:bCs/>
        </w:rPr>
      </w:pPr>
      <w:r w:rsidRPr="00B9788E">
        <w:rPr>
          <w:rFonts w:asciiTheme="majorHAnsi" w:hAnsiTheme="majorHAnsi"/>
          <w:b/>
          <w:bCs/>
        </w:rPr>
        <w:t>b)</w:t>
      </w:r>
      <w:r w:rsidRPr="00B9788E">
        <w:rPr>
          <w:rFonts w:asciiTheme="majorHAnsi" w:hAnsiTheme="majorHAnsi"/>
          <w:b/>
          <w:bCs/>
        </w:rPr>
        <w:tab/>
        <w:t>Výkaz ziskov a strát –</w:t>
      </w:r>
      <w:r w:rsidRPr="00B9788E">
        <w:rPr>
          <w:rFonts w:asciiTheme="majorHAnsi" w:hAnsiTheme="majorHAnsi"/>
        </w:rPr>
        <w:t xml:space="preserve"> sumárne za celú STU s členením za hlavnú </w:t>
      </w:r>
      <w:r w:rsidR="00A41C43" w:rsidRPr="00B9788E">
        <w:rPr>
          <w:rFonts w:asciiTheme="majorHAnsi" w:hAnsiTheme="majorHAnsi"/>
        </w:rPr>
        <w:t xml:space="preserve">činnosť nezdaňovanú </w:t>
      </w:r>
      <w:r w:rsidRPr="00B9788E">
        <w:rPr>
          <w:rFonts w:asciiTheme="majorHAnsi" w:hAnsiTheme="majorHAnsi"/>
        </w:rPr>
        <w:t>a </w:t>
      </w:r>
      <w:r w:rsidR="00A41C43" w:rsidRPr="00B9788E">
        <w:rPr>
          <w:rFonts w:asciiTheme="majorHAnsi" w:hAnsiTheme="majorHAnsi"/>
        </w:rPr>
        <w:t>ekonomickú</w:t>
      </w:r>
      <w:r w:rsidRPr="00B9788E">
        <w:rPr>
          <w:rFonts w:asciiTheme="majorHAnsi" w:hAnsiTheme="majorHAnsi"/>
        </w:rPr>
        <w:t xml:space="preserve"> činnosť. Výkaz ziskov a strát popisujeme v zmysle metodického usmernenia osobitne za STU bez sociálnej podpory študentov, osobitne za oblasť sociálnej podpory študentov</w:t>
      </w:r>
    </w:p>
    <w:p w:rsidR="00D7793B" w:rsidRPr="00B9788E" w:rsidRDefault="00D7793B" w:rsidP="006B6D96">
      <w:pPr>
        <w:numPr>
          <w:ilvl w:val="0"/>
          <w:numId w:val="2"/>
        </w:numPr>
        <w:suppressAutoHyphens/>
        <w:jc w:val="both"/>
        <w:rPr>
          <w:rFonts w:asciiTheme="majorHAnsi" w:hAnsiTheme="majorHAnsi"/>
          <w:b/>
          <w:bCs/>
        </w:rPr>
      </w:pPr>
      <w:r w:rsidRPr="00B9788E">
        <w:rPr>
          <w:rFonts w:asciiTheme="majorHAnsi" w:hAnsiTheme="majorHAnsi"/>
          <w:b/>
          <w:bCs/>
        </w:rPr>
        <w:t>Poznámky k účtovnej závierke</w:t>
      </w:r>
    </w:p>
    <w:p w:rsidR="00D7793B" w:rsidRPr="00B9788E" w:rsidRDefault="00D7793B" w:rsidP="00D7793B">
      <w:pPr>
        <w:pStyle w:val="Odsekzoznamu"/>
        <w:ind w:left="0"/>
        <w:jc w:val="both"/>
        <w:rPr>
          <w:rFonts w:asciiTheme="majorHAnsi" w:hAnsiTheme="majorHAnsi"/>
          <w:lang w:val="cs-CZ"/>
        </w:rPr>
      </w:pPr>
    </w:p>
    <w:p w:rsidR="00B91B4D" w:rsidRDefault="00D7793B" w:rsidP="00D7793B">
      <w:pPr>
        <w:pStyle w:val="Odsekzoznamu"/>
        <w:ind w:left="0"/>
        <w:jc w:val="both"/>
        <w:rPr>
          <w:rFonts w:asciiTheme="majorHAnsi" w:hAnsiTheme="majorHAnsi"/>
        </w:rPr>
      </w:pPr>
      <w:r w:rsidRPr="00B9788E">
        <w:rPr>
          <w:rFonts w:asciiTheme="majorHAnsi" w:hAnsiTheme="majorHAnsi"/>
          <w:b/>
          <w:lang w:val="cs-CZ"/>
        </w:rPr>
        <w:t>2.1 Súvaha</w:t>
      </w:r>
      <w:r w:rsidR="00B91B4D" w:rsidRPr="00B91B4D">
        <w:rPr>
          <w:rFonts w:asciiTheme="majorHAnsi" w:hAnsiTheme="majorHAnsi"/>
        </w:rPr>
        <w:t xml:space="preserve"> </w:t>
      </w:r>
    </w:p>
    <w:p w:rsidR="00B91B4D" w:rsidRDefault="00B91B4D" w:rsidP="00D7793B">
      <w:pPr>
        <w:pStyle w:val="Odsekzoznamu"/>
        <w:ind w:left="0"/>
        <w:jc w:val="both"/>
        <w:rPr>
          <w:rFonts w:asciiTheme="majorHAnsi" w:hAnsiTheme="majorHAnsi"/>
        </w:rPr>
      </w:pPr>
    </w:p>
    <w:p w:rsidR="00D7793B" w:rsidRDefault="00B91B4D" w:rsidP="00D7793B">
      <w:pPr>
        <w:pStyle w:val="Odsekzoznamu"/>
        <w:ind w:left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Celková hodnota majetku</w:t>
      </w:r>
      <w:r w:rsidRPr="00B9788E">
        <w:rPr>
          <w:rFonts w:asciiTheme="majorHAnsi" w:hAnsiTheme="majorHAnsi"/>
        </w:rPr>
        <w:t xml:space="preserve"> k 31.12.201</w:t>
      </w:r>
      <w:r w:rsidR="00877D07">
        <w:rPr>
          <w:rFonts w:asciiTheme="majorHAnsi" w:hAnsiTheme="majorHAnsi"/>
        </w:rPr>
        <w:t>6</w:t>
      </w:r>
      <w:r w:rsidR="00183164">
        <w:rPr>
          <w:rFonts w:asciiTheme="majorHAnsi" w:hAnsiTheme="majorHAnsi"/>
        </w:rPr>
        <w:t xml:space="preserve"> </w:t>
      </w:r>
      <w:r w:rsidRPr="00B9788E">
        <w:rPr>
          <w:rFonts w:asciiTheme="majorHAnsi" w:hAnsiTheme="majorHAnsi"/>
        </w:rPr>
        <w:t xml:space="preserve"> predstavuj</w:t>
      </w:r>
      <w:r>
        <w:rPr>
          <w:rFonts w:asciiTheme="majorHAnsi" w:hAnsiTheme="majorHAnsi"/>
        </w:rPr>
        <w:t>e</w:t>
      </w:r>
      <w:r w:rsidRPr="00B9788E">
        <w:rPr>
          <w:rFonts w:asciiTheme="majorHAnsi" w:hAnsiTheme="majorHAnsi"/>
        </w:rPr>
        <w:t xml:space="preserve"> </w:t>
      </w:r>
      <w:r w:rsidR="000748E7">
        <w:rPr>
          <w:rFonts w:asciiTheme="majorHAnsi" w:hAnsiTheme="majorHAnsi"/>
        </w:rPr>
        <w:t>299</w:t>
      </w:r>
      <w:r w:rsidR="004F13C4">
        <w:rPr>
          <w:rFonts w:asciiTheme="majorHAnsi" w:hAnsiTheme="majorHAnsi"/>
        </w:rPr>
        <w:t xml:space="preserve"> </w:t>
      </w:r>
      <w:r w:rsidR="000748E7">
        <w:rPr>
          <w:rFonts w:asciiTheme="majorHAnsi" w:hAnsiTheme="majorHAnsi"/>
        </w:rPr>
        <w:t>140</w:t>
      </w:r>
      <w:r w:rsidR="004F13C4">
        <w:rPr>
          <w:rFonts w:asciiTheme="majorHAnsi" w:hAnsiTheme="majorHAnsi"/>
        </w:rPr>
        <w:t xml:space="preserve"> </w:t>
      </w:r>
      <w:r w:rsidR="000748E7">
        <w:rPr>
          <w:rFonts w:asciiTheme="majorHAnsi" w:hAnsiTheme="majorHAnsi"/>
        </w:rPr>
        <w:t>475,60</w:t>
      </w:r>
      <w:r w:rsidRPr="00B9788E">
        <w:rPr>
          <w:rFonts w:asciiTheme="majorHAnsi" w:hAnsiTheme="majorHAnsi"/>
        </w:rPr>
        <w:t xml:space="preserve"> EUR. Oproti predchádzajúcemu roku je to </w:t>
      </w:r>
      <w:r w:rsidR="000748E7">
        <w:rPr>
          <w:rFonts w:asciiTheme="majorHAnsi" w:hAnsiTheme="majorHAnsi"/>
        </w:rPr>
        <w:t>pokles</w:t>
      </w:r>
      <w:r w:rsidRPr="00B9788E">
        <w:rPr>
          <w:rFonts w:asciiTheme="majorHAnsi" w:hAnsiTheme="majorHAnsi"/>
        </w:rPr>
        <w:t xml:space="preserve"> o</w:t>
      </w:r>
      <w:r w:rsidR="000748E7">
        <w:rPr>
          <w:rFonts w:asciiTheme="majorHAnsi" w:hAnsiTheme="majorHAnsi"/>
        </w:rPr>
        <w:t> 10 471 704,55</w:t>
      </w:r>
      <w:r w:rsidRPr="00B9788E">
        <w:rPr>
          <w:rFonts w:asciiTheme="majorHAnsi" w:hAnsiTheme="majorHAnsi"/>
        </w:rPr>
        <w:t xml:space="preserve"> EUR.</w:t>
      </w:r>
    </w:p>
    <w:p w:rsidR="00B91B4D" w:rsidRPr="00B9788E" w:rsidRDefault="00B91B4D" w:rsidP="00D7793B">
      <w:pPr>
        <w:pStyle w:val="Odsekzoznamu"/>
        <w:ind w:left="0"/>
        <w:jc w:val="both"/>
        <w:rPr>
          <w:rFonts w:asciiTheme="majorHAnsi" w:hAnsiTheme="majorHAnsi"/>
          <w:b/>
          <w:lang w:val="cs-CZ"/>
        </w:rPr>
      </w:pPr>
    </w:p>
    <w:p w:rsidR="00B91B4D" w:rsidRPr="00B91B4D" w:rsidRDefault="00B91B4D" w:rsidP="00D7793B">
      <w:pPr>
        <w:jc w:val="both"/>
        <w:rPr>
          <w:rFonts w:asciiTheme="majorHAnsi" w:hAnsiTheme="majorHAnsi"/>
          <w:lang w:val="cs-CZ"/>
        </w:rPr>
      </w:pPr>
      <w:r w:rsidRPr="00B91B4D">
        <w:rPr>
          <w:rFonts w:asciiTheme="majorHAnsi" w:hAnsiTheme="majorHAnsi"/>
        </w:rPr>
        <w:t xml:space="preserve">Hodnota neobežného majetku (dlhodobý hmotný, nehmotný a finančný) </w:t>
      </w:r>
      <w:r w:rsidR="000748E7">
        <w:rPr>
          <w:rFonts w:asciiTheme="majorHAnsi" w:hAnsiTheme="majorHAnsi"/>
        </w:rPr>
        <w:t xml:space="preserve">poklesla </w:t>
      </w:r>
      <w:r w:rsidRPr="00B91B4D">
        <w:rPr>
          <w:rFonts w:asciiTheme="majorHAnsi" w:hAnsiTheme="majorHAnsi"/>
        </w:rPr>
        <w:t>oproti roku 201</w:t>
      </w:r>
      <w:r w:rsidR="000748E7">
        <w:rPr>
          <w:rFonts w:asciiTheme="majorHAnsi" w:hAnsiTheme="majorHAnsi"/>
        </w:rPr>
        <w:t>5</w:t>
      </w:r>
      <w:r w:rsidRPr="00B91B4D">
        <w:rPr>
          <w:rFonts w:asciiTheme="majorHAnsi" w:hAnsiTheme="majorHAnsi"/>
        </w:rPr>
        <w:t xml:space="preserve"> o </w:t>
      </w:r>
      <w:r w:rsidR="000748E7">
        <w:rPr>
          <w:rFonts w:asciiTheme="majorHAnsi" w:hAnsiTheme="majorHAnsi"/>
        </w:rPr>
        <w:t>11</w:t>
      </w:r>
      <w:r w:rsidR="004F13C4">
        <w:rPr>
          <w:rFonts w:asciiTheme="majorHAnsi" w:hAnsiTheme="majorHAnsi"/>
        </w:rPr>
        <w:t> </w:t>
      </w:r>
      <w:r w:rsidR="000748E7">
        <w:rPr>
          <w:rFonts w:asciiTheme="majorHAnsi" w:hAnsiTheme="majorHAnsi"/>
        </w:rPr>
        <w:t>594</w:t>
      </w:r>
      <w:r w:rsidR="004F13C4">
        <w:rPr>
          <w:rFonts w:asciiTheme="majorHAnsi" w:hAnsiTheme="majorHAnsi"/>
        </w:rPr>
        <w:t xml:space="preserve"> </w:t>
      </w:r>
      <w:r w:rsidR="000748E7">
        <w:rPr>
          <w:rFonts w:asciiTheme="majorHAnsi" w:hAnsiTheme="majorHAnsi"/>
        </w:rPr>
        <w:t>920,49</w:t>
      </w:r>
      <w:r w:rsidRPr="00B91B4D">
        <w:rPr>
          <w:rFonts w:asciiTheme="majorHAnsi" w:hAnsiTheme="majorHAnsi"/>
        </w:rPr>
        <w:t xml:space="preserve"> €. </w:t>
      </w:r>
    </w:p>
    <w:p w:rsidR="002E53B3" w:rsidRPr="00B9788E" w:rsidRDefault="002E53B3" w:rsidP="00D7793B">
      <w:pPr>
        <w:jc w:val="both"/>
        <w:rPr>
          <w:rFonts w:asciiTheme="majorHAnsi" w:hAnsiTheme="majorHAnsi"/>
          <w:lang w:val="sk-SK"/>
        </w:rPr>
      </w:pPr>
    </w:p>
    <w:p w:rsidR="002A3AA1" w:rsidRDefault="00F356FB" w:rsidP="00CB179F">
      <w:pPr>
        <w:contextualSpacing/>
        <w:jc w:val="both"/>
        <w:rPr>
          <w:rFonts w:asciiTheme="majorHAnsi" w:hAnsiTheme="majorHAnsi"/>
        </w:rPr>
      </w:pPr>
      <w:r w:rsidRPr="00CB179F">
        <w:rPr>
          <w:rFonts w:asciiTheme="majorHAnsi" w:hAnsiTheme="majorHAnsi"/>
        </w:rPr>
        <w:t>Vp</w:t>
      </w:r>
      <w:r w:rsidR="00CB179F" w:rsidRPr="00CB179F">
        <w:rPr>
          <w:rFonts w:asciiTheme="majorHAnsi" w:hAnsiTheme="majorHAnsi"/>
        </w:rPr>
        <w:t>l</w:t>
      </w:r>
      <w:r w:rsidRPr="00CB179F">
        <w:rPr>
          <w:rFonts w:asciiTheme="majorHAnsi" w:hAnsiTheme="majorHAnsi"/>
        </w:rPr>
        <w:t xml:space="preserve">yv na pokles hodnoty mali odpisy </w:t>
      </w:r>
      <w:r w:rsidR="00CB179F" w:rsidRPr="00CB179F">
        <w:rPr>
          <w:rFonts w:asciiTheme="majorHAnsi" w:hAnsiTheme="majorHAnsi"/>
        </w:rPr>
        <w:t xml:space="preserve">vo výške </w:t>
      </w:r>
      <w:r w:rsidR="00893B02">
        <w:rPr>
          <w:rFonts w:asciiTheme="majorHAnsi" w:hAnsiTheme="majorHAnsi"/>
        </w:rPr>
        <w:t>17 670 778,97</w:t>
      </w:r>
      <w:r w:rsidR="00CB179F" w:rsidRPr="00CB179F">
        <w:rPr>
          <w:rFonts w:asciiTheme="majorHAnsi" w:hAnsiTheme="majorHAnsi"/>
        </w:rPr>
        <w:t xml:space="preserve"> € a vyradenie majetku v hodnote </w:t>
      </w:r>
      <w:r w:rsidR="00893B02">
        <w:rPr>
          <w:rFonts w:asciiTheme="majorHAnsi" w:hAnsiTheme="majorHAnsi"/>
        </w:rPr>
        <w:t>1 257 171</w:t>
      </w:r>
      <w:r w:rsidR="00CB179F" w:rsidRPr="00CB179F">
        <w:rPr>
          <w:rFonts w:asciiTheme="majorHAnsi" w:hAnsiTheme="majorHAnsi"/>
        </w:rPr>
        <w:t xml:space="preserve"> €. </w:t>
      </w:r>
      <w:r w:rsidR="00ED7354">
        <w:rPr>
          <w:rFonts w:asciiTheme="majorHAnsi" w:hAnsiTheme="majorHAnsi"/>
        </w:rPr>
        <w:t xml:space="preserve">Najväčší podiel na vyradenom majetku mali samostatné hnuteľné veci v celkovej výške 1 055 249€ (z toho SvF 414 346€, FEI 224 744€, </w:t>
      </w:r>
      <w:r w:rsidR="00BD3819">
        <w:rPr>
          <w:rFonts w:asciiTheme="majorHAnsi" w:hAnsiTheme="majorHAnsi"/>
        </w:rPr>
        <w:t xml:space="preserve">MTF 172 723€, </w:t>
      </w:r>
      <w:r w:rsidR="00ED7354">
        <w:rPr>
          <w:rFonts w:asciiTheme="majorHAnsi" w:hAnsiTheme="majorHAnsi"/>
        </w:rPr>
        <w:t xml:space="preserve">SjF </w:t>
      </w:r>
      <w:r w:rsidR="00BD3819">
        <w:rPr>
          <w:rFonts w:asciiTheme="majorHAnsi" w:hAnsiTheme="majorHAnsi"/>
        </w:rPr>
        <w:t xml:space="preserve">101 556€, FA 68 533€, FCHPT 32 212€, UZ Gabčíkovo 22 909€, ŠDaJ 11 617€, R-STU 6 608€). </w:t>
      </w:r>
      <w:r w:rsidR="002E5CBC">
        <w:rPr>
          <w:rFonts w:asciiTheme="majorHAnsi" w:hAnsiTheme="majorHAnsi"/>
        </w:rPr>
        <w:t>Ostatné vyradenie (drobný hmotný majetok 40 575€, SW 19 804€</w:t>
      </w:r>
      <w:proofErr w:type="gramStart"/>
      <w:r w:rsidR="002E5CBC">
        <w:rPr>
          <w:rFonts w:asciiTheme="majorHAnsi" w:hAnsiTheme="majorHAnsi"/>
        </w:rPr>
        <w:t>,  a</w:t>
      </w:r>
      <w:proofErr w:type="gramEnd"/>
      <w:r w:rsidR="002E5CBC">
        <w:rPr>
          <w:rFonts w:asciiTheme="majorHAnsi" w:hAnsiTheme="majorHAnsi"/>
        </w:rPr>
        <w:t xml:space="preserve"> dopravné prostriedky 15 918€). </w:t>
      </w:r>
      <w:r w:rsidR="00BD3819">
        <w:rPr>
          <w:rFonts w:asciiTheme="majorHAnsi" w:hAnsiTheme="majorHAnsi"/>
        </w:rPr>
        <w:t>V roku 2016 STU vyradila budov</w:t>
      </w:r>
      <w:r w:rsidR="002D453B">
        <w:rPr>
          <w:rFonts w:asciiTheme="majorHAnsi" w:hAnsiTheme="majorHAnsi"/>
        </w:rPr>
        <w:t>y</w:t>
      </w:r>
      <w:r w:rsidR="00BD3819">
        <w:rPr>
          <w:rFonts w:asciiTheme="majorHAnsi" w:hAnsiTheme="majorHAnsi"/>
        </w:rPr>
        <w:t xml:space="preserve"> v cene 124 898,52€ z dôvodu predaja (budova na Rázusovej ulici v Trnave</w:t>
      </w:r>
      <w:r w:rsidR="002A3AA1">
        <w:rPr>
          <w:rFonts w:asciiTheme="majorHAnsi" w:hAnsiTheme="majorHAnsi"/>
        </w:rPr>
        <w:t xml:space="preserve"> vo výške 120</w:t>
      </w:r>
      <w:r w:rsidR="002D453B">
        <w:rPr>
          <w:rFonts w:asciiTheme="majorHAnsi" w:hAnsiTheme="majorHAnsi"/>
        </w:rPr>
        <w:t> 901,98€ a chata Bezovec vo výške 3 996,54€</w:t>
      </w:r>
      <w:r w:rsidR="00BD3819">
        <w:rPr>
          <w:rFonts w:asciiTheme="majorHAnsi" w:hAnsiTheme="majorHAnsi"/>
        </w:rPr>
        <w:t>) a pozem</w:t>
      </w:r>
      <w:r w:rsidR="002A3AA1">
        <w:rPr>
          <w:rFonts w:asciiTheme="majorHAnsi" w:hAnsiTheme="majorHAnsi"/>
        </w:rPr>
        <w:t xml:space="preserve">ky v celkovej hodnote </w:t>
      </w:r>
      <w:r w:rsidR="00F03EEC">
        <w:rPr>
          <w:rFonts w:asciiTheme="majorHAnsi" w:hAnsiTheme="majorHAnsi"/>
        </w:rPr>
        <w:lastRenderedPageBreak/>
        <w:t>481 627,44€ (18 708,48€ Bezovec a 462 918,96€ pozemok pod budovou na Rázusovej ulici v Trnave)</w:t>
      </w:r>
      <w:r w:rsidR="0025468E">
        <w:rPr>
          <w:rFonts w:asciiTheme="majorHAnsi" w:hAnsiTheme="majorHAnsi"/>
        </w:rPr>
        <w:t>.</w:t>
      </w:r>
    </w:p>
    <w:p w:rsidR="002E5CBC" w:rsidRDefault="002E5CBC" w:rsidP="00CB179F">
      <w:pPr>
        <w:contextualSpacing/>
        <w:jc w:val="both"/>
        <w:rPr>
          <w:rFonts w:asciiTheme="majorHAnsi" w:hAnsiTheme="majorHAnsi"/>
        </w:rPr>
      </w:pPr>
    </w:p>
    <w:p w:rsidR="002E5CBC" w:rsidRDefault="002E5CBC" w:rsidP="002E5CBC">
      <w:pPr>
        <w:jc w:val="both"/>
        <w:rPr>
          <w:rFonts w:asciiTheme="majorHAnsi" w:hAnsiTheme="majorHAnsi"/>
        </w:rPr>
      </w:pPr>
      <w:r w:rsidRPr="00B91B4D">
        <w:rPr>
          <w:rFonts w:asciiTheme="majorHAnsi" w:hAnsiTheme="majorHAnsi"/>
        </w:rPr>
        <w:t>V roku 201</w:t>
      </w:r>
      <w:r>
        <w:rPr>
          <w:rFonts w:asciiTheme="majorHAnsi" w:hAnsiTheme="majorHAnsi"/>
        </w:rPr>
        <w:t>6</w:t>
      </w:r>
      <w:r w:rsidRPr="00B91B4D">
        <w:rPr>
          <w:rFonts w:asciiTheme="majorHAnsi" w:hAnsiTheme="majorHAnsi"/>
        </w:rPr>
        <w:t xml:space="preserve"> bol na STU obstaraný majetok v celkovej výške </w:t>
      </w:r>
      <w:r>
        <w:rPr>
          <w:rFonts w:asciiTheme="majorHAnsi" w:hAnsiTheme="majorHAnsi"/>
        </w:rPr>
        <w:t>11 620 018</w:t>
      </w:r>
      <w:r w:rsidRPr="00B91B4D">
        <w:rPr>
          <w:rFonts w:asciiTheme="majorHAnsi" w:hAnsiTheme="majorHAnsi"/>
        </w:rPr>
        <w:t xml:space="preserve"> € (hmotný aj nehmotný).</w:t>
      </w:r>
      <w:r>
        <w:rPr>
          <w:rFonts w:asciiTheme="majorHAnsi" w:hAnsiTheme="majorHAnsi"/>
        </w:rPr>
        <w:t xml:space="preserve"> </w:t>
      </w:r>
    </w:p>
    <w:p w:rsidR="00CB179F" w:rsidRDefault="00CB179F" w:rsidP="00CB179F">
      <w:pPr>
        <w:contextualSpacing/>
        <w:jc w:val="both"/>
        <w:rPr>
          <w:rFonts w:asciiTheme="majorHAnsi" w:hAnsiTheme="majorHAnsi"/>
        </w:rPr>
      </w:pPr>
    </w:p>
    <w:p w:rsidR="00D7793B" w:rsidRDefault="00CA0BF0" w:rsidP="00CA0BF0">
      <w:pPr>
        <w:contextualSpacing/>
        <w:jc w:val="both"/>
        <w:rPr>
          <w:rFonts w:asciiTheme="majorHAnsi" w:hAnsiTheme="majorHAnsi"/>
        </w:rPr>
      </w:pPr>
      <w:r w:rsidRPr="00CA0BF0">
        <w:rPr>
          <w:rFonts w:asciiTheme="majorHAnsi" w:hAnsiTheme="majorHAnsi"/>
        </w:rPr>
        <w:t xml:space="preserve">Hodnota </w:t>
      </w:r>
      <w:proofErr w:type="gramStart"/>
      <w:r w:rsidR="00D7793B" w:rsidRPr="00CA0BF0">
        <w:rPr>
          <w:rFonts w:asciiTheme="majorHAnsi" w:hAnsiTheme="majorHAnsi"/>
        </w:rPr>
        <w:t>dlhodob</w:t>
      </w:r>
      <w:r w:rsidRPr="00CA0BF0">
        <w:rPr>
          <w:rFonts w:asciiTheme="majorHAnsi" w:hAnsiTheme="majorHAnsi"/>
        </w:rPr>
        <w:t xml:space="preserve">ého </w:t>
      </w:r>
      <w:r w:rsidR="00D7793B" w:rsidRPr="00CA0BF0">
        <w:rPr>
          <w:rFonts w:asciiTheme="majorHAnsi" w:hAnsiTheme="majorHAnsi"/>
        </w:rPr>
        <w:t xml:space="preserve"> finančn</w:t>
      </w:r>
      <w:r w:rsidRPr="00CA0BF0">
        <w:rPr>
          <w:rFonts w:asciiTheme="majorHAnsi" w:hAnsiTheme="majorHAnsi"/>
        </w:rPr>
        <w:t>ého</w:t>
      </w:r>
      <w:proofErr w:type="gramEnd"/>
      <w:r w:rsidR="00D7793B" w:rsidRPr="00CA0BF0">
        <w:rPr>
          <w:rFonts w:asciiTheme="majorHAnsi" w:hAnsiTheme="majorHAnsi"/>
        </w:rPr>
        <w:t xml:space="preserve"> majet</w:t>
      </w:r>
      <w:r w:rsidRPr="00CA0BF0">
        <w:rPr>
          <w:rFonts w:asciiTheme="majorHAnsi" w:hAnsiTheme="majorHAnsi"/>
        </w:rPr>
        <w:t>k</w:t>
      </w:r>
      <w:r w:rsidR="003F6A78">
        <w:rPr>
          <w:rFonts w:asciiTheme="majorHAnsi" w:hAnsiTheme="majorHAnsi"/>
        </w:rPr>
        <w:t>u</w:t>
      </w:r>
      <w:r w:rsidRPr="00CA0BF0">
        <w:rPr>
          <w:rFonts w:asciiTheme="majorHAnsi" w:hAnsiTheme="majorHAnsi"/>
        </w:rPr>
        <w:t xml:space="preserve"> predstavuje </w:t>
      </w:r>
      <w:r w:rsidR="00D7793B" w:rsidRPr="00CA0BF0">
        <w:rPr>
          <w:rFonts w:asciiTheme="majorHAnsi" w:hAnsiTheme="majorHAnsi"/>
        </w:rPr>
        <w:t xml:space="preserve"> podiel STU v dcérskej spoločnosti STU Scientific, s.r.o.</w:t>
      </w:r>
      <w:r w:rsidRPr="00CA0BF0">
        <w:rPr>
          <w:rFonts w:asciiTheme="majorHAnsi" w:hAnsiTheme="majorHAnsi"/>
        </w:rPr>
        <w:t xml:space="preserve"> vo výške 122 274 €</w:t>
      </w:r>
      <w:r w:rsidR="004E7DDB">
        <w:rPr>
          <w:rFonts w:asciiTheme="majorHAnsi" w:hAnsiTheme="majorHAnsi"/>
        </w:rPr>
        <w:t>.</w:t>
      </w:r>
    </w:p>
    <w:p w:rsidR="002A40A2" w:rsidRPr="00744D75" w:rsidRDefault="002A40A2" w:rsidP="00744D75">
      <w:pPr>
        <w:contextualSpacing/>
        <w:jc w:val="both"/>
        <w:rPr>
          <w:rFonts w:asciiTheme="majorHAnsi" w:hAnsiTheme="majorHAnsi"/>
        </w:rPr>
      </w:pPr>
    </w:p>
    <w:p w:rsidR="008B16B8" w:rsidRDefault="00D7793B" w:rsidP="00D7793B">
      <w:pPr>
        <w:jc w:val="both"/>
        <w:rPr>
          <w:rFonts w:asciiTheme="majorHAnsi" w:hAnsiTheme="majorHAnsi"/>
          <w:lang w:val="sk-SK"/>
        </w:rPr>
      </w:pPr>
      <w:r w:rsidRPr="00B9788E">
        <w:rPr>
          <w:rFonts w:asciiTheme="majorHAnsi" w:hAnsiTheme="majorHAnsi"/>
          <w:lang w:val="sk-SK"/>
        </w:rPr>
        <w:t>Stav obežného majetku STU k 31.12.201</w:t>
      </w:r>
      <w:r w:rsidR="002E5CBC">
        <w:rPr>
          <w:rFonts w:asciiTheme="majorHAnsi" w:hAnsiTheme="majorHAnsi"/>
          <w:lang w:val="sk-SK"/>
        </w:rPr>
        <w:t>6</w:t>
      </w:r>
      <w:r w:rsidRPr="00B9788E">
        <w:rPr>
          <w:rFonts w:asciiTheme="majorHAnsi" w:hAnsiTheme="majorHAnsi"/>
          <w:lang w:val="sk-SK"/>
        </w:rPr>
        <w:t xml:space="preserve"> bol </w:t>
      </w:r>
      <w:r w:rsidR="002E5CBC">
        <w:rPr>
          <w:rFonts w:asciiTheme="majorHAnsi" w:hAnsiTheme="majorHAnsi"/>
          <w:lang w:val="sk-SK"/>
        </w:rPr>
        <w:t>33 104 941</w:t>
      </w:r>
      <w:r w:rsidR="00A66595">
        <w:rPr>
          <w:rFonts w:asciiTheme="majorHAnsi" w:hAnsiTheme="majorHAnsi"/>
          <w:lang w:val="sk-SK"/>
        </w:rPr>
        <w:t xml:space="preserve"> EUR.</w:t>
      </w:r>
      <w:r w:rsidRPr="00B9788E">
        <w:rPr>
          <w:rFonts w:asciiTheme="majorHAnsi" w:hAnsiTheme="majorHAnsi"/>
          <w:lang w:val="sk-SK"/>
        </w:rPr>
        <w:t xml:space="preserve"> </w:t>
      </w:r>
      <w:r w:rsidR="008B16B8" w:rsidRPr="00B9788E">
        <w:rPr>
          <w:rFonts w:asciiTheme="majorHAnsi" w:hAnsiTheme="majorHAnsi"/>
          <w:lang w:val="sk-SK"/>
        </w:rPr>
        <w:t xml:space="preserve">Oproti minulému roku je to </w:t>
      </w:r>
      <w:r w:rsidR="002E5CBC">
        <w:rPr>
          <w:rFonts w:asciiTheme="majorHAnsi" w:hAnsiTheme="majorHAnsi"/>
          <w:lang w:val="sk-SK"/>
        </w:rPr>
        <w:t>nárast o 1 173 673</w:t>
      </w:r>
      <w:r w:rsidR="008B16B8" w:rsidRPr="00B9788E">
        <w:rPr>
          <w:rFonts w:asciiTheme="majorHAnsi" w:hAnsiTheme="majorHAnsi"/>
          <w:lang w:val="sk-SK"/>
        </w:rPr>
        <w:t xml:space="preserve"> EUR. Z celkového stavu obežného majetku predstavujú zásoby </w:t>
      </w:r>
      <w:r w:rsidR="002E5CBC">
        <w:rPr>
          <w:rFonts w:asciiTheme="majorHAnsi" w:hAnsiTheme="majorHAnsi"/>
          <w:lang w:val="sk-SK"/>
        </w:rPr>
        <w:t>809 536</w:t>
      </w:r>
      <w:r w:rsidR="008B16B8" w:rsidRPr="00B9788E">
        <w:rPr>
          <w:rFonts w:asciiTheme="majorHAnsi" w:hAnsiTheme="majorHAnsi"/>
          <w:lang w:val="sk-SK"/>
        </w:rPr>
        <w:t xml:space="preserve"> EUR</w:t>
      </w:r>
      <w:r w:rsidR="00292E11" w:rsidRPr="00B9788E">
        <w:rPr>
          <w:rFonts w:asciiTheme="majorHAnsi" w:hAnsiTheme="majorHAnsi"/>
          <w:lang w:val="sk-SK"/>
        </w:rPr>
        <w:t>.</w:t>
      </w:r>
    </w:p>
    <w:p w:rsidR="00A66595" w:rsidRPr="00B9788E" w:rsidRDefault="00A66595" w:rsidP="00D7793B">
      <w:pPr>
        <w:jc w:val="both"/>
        <w:rPr>
          <w:rFonts w:asciiTheme="majorHAnsi" w:hAnsiTheme="majorHAnsi"/>
          <w:lang w:val="sk-SK"/>
        </w:rPr>
      </w:pPr>
    </w:p>
    <w:p w:rsidR="00292E11" w:rsidRDefault="00292E11" w:rsidP="00D7793B">
      <w:pPr>
        <w:jc w:val="both"/>
        <w:rPr>
          <w:rFonts w:asciiTheme="majorHAnsi" w:hAnsiTheme="majorHAnsi"/>
          <w:lang w:val="sk-SK"/>
        </w:rPr>
      </w:pPr>
      <w:r w:rsidRPr="00B9788E">
        <w:rPr>
          <w:rFonts w:asciiTheme="majorHAnsi" w:hAnsiTheme="majorHAnsi"/>
          <w:lang w:val="sk-SK"/>
        </w:rPr>
        <w:t>K 31.12.201</w:t>
      </w:r>
      <w:r w:rsidR="002E5CBC">
        <w:rPr>
          <w:rFonts w:asciiTheme="majorHAnsi" w:hAnsiTheme="majorHAnsi"/>
          <w:lang w:val="sk-SK"/>
        </w:rPr>
        <w:t>6</w:t>
      </w:r>
      <w:r w:rsidRPr="00B9788E">
        <w:rPr>
          <w:rFonts w:asciiTheme="majorHAnsi" w:hAnsiTheme="majorHAnsi"/>
          <w:lang w:val="sk-SK"/>
        </w:rPr>
        <w:t xml:space="preserve"> STU nevykazovala žiadne dlhodobé pohľadávky.</w:t>
      </w:r>
    </w:p>
    <w:p w:rsidR="00A66595" w:rsidRPr="00B9788E" w:rsidRDefault="00A66595" w:rsidP="00D7793B">
      <w:pPr>
        <w:jc w:val="both"/>
        <w:rPr>
          <w:rFonts w:asciiTheme="majorHAnsi" w:hAnsiTheme="majorHAnsi"/>
          <w:lang w:val="sk-SK"/>
        </w:rPr>
      </w:pPr>
    </w:p>
    <w:p w:rsidR="002E5CBC" w:rsidRDefault="00292E11" w:rsidP="00EF3354">
      <w:pPr>
        <w:ind w:right="-772"/>
        <w:jc w:val="both"/>
        <w:rPr>
          <w:rFonts w:asciiTheme="majorHAnsi" w:hAnsiTheme="majorHAnsi"/>
        </w:rPr>
      </w:pPr>
      <w:r w:rsidRPr="00B9788E">
        <w:rPr>
          <w:rFonts w:asciiTheme="majorHAnsi" w:hAnsiTheme="majorHAnsi"/>
          <w:lang w:val="sk-SK"/>
        </w:rPr>
        <w:t>Stav krátkodobých pohľadávok k 31.12.201</w:t>
      </w:r>
      <w:r w:rsidR="002E5CBC">
        <w:rPr>
          <w:rFonts w:asciiTheme="majorHAnsi" w:hAnsiTheme="majorHAnsi"/>
          <w:lang w:val="sk-SK"/>
        </w:rPr>
        <w:t>6</w:t>
      </w:r>
      <w:r w:rsidRPr="00B9788E">
        <w:rPr>
          <w:rFonts w:asciiTheme="majorHAnsi" w:hAnsiTheme="majorHAnsi"/>
          <w:lang w:val="sk-SK"/>
        </w:rPr>
        <w:t xml:space="preserve"> bol </w:t>
      </w:r>
      <w:r w:rsidR="002E5CBC">
        <w:rPr>
          <w:rFonts w:asciiTheme="majorHAnsi" w:hAnsiTheme="majorHAnsi"/>
          <w:lang w:val="sk-SK"/>
        </w:rPr>
        <w:t>2 438 212</w:t>
      </w:r>
      <w:r w:rsidRPr="00B9788E">
        <w:rPr>
          <w:rFonts w:asciiTheme="majorHAnsi" w:hAnsiTheme="majorHAnsi"/>
          <w:lang w:val="sk-SK"/>
        </w:rPr>
        <w:t xml:space="preserve"> EUR. </w:t>
      </w:r>
      <w:r w:rsidR="00D7793B" w:rsidRPr="00B9788E">
        <w:rPr>
          <w:rFonts w:asciiTheme="majorHAnsi" w:hAnsiTheme="majorHAnsi"/>
          <w:lang w:val="sk-SK"/>
        </w:rPr>
        <w:t xml:space="preserve">Oproti minulému roku je to </w:t>
      </w:r>
      <w:r w:rsidR="00A66595">
        <w:rPr>
          <w:rFonts w:asciiTheme="majorHAnsi" w:hAnsiTheme="majorHAnsi"/>
          <w:lang w:val="sk-SK"/>
        </w:rPr>
        <w:t>pokles</w:t>
      </w:r>
      <w:r w:rsidR="00D7793B" w:rsidRPr="00B9788E">
        <w:rPr>
          <w:rFonts w:asciiTheme="majorHAnsi" w:hAnsiTheme="majorHAnsi"/>
          <w:lang w:val="sk-SK"/>
        </w:rPr>
        <w:t xml:space="preserve"> o</w:t>
      </w:r>
      <w:r w:rsidR="002E5CBC">
        <w:rPr>
          <w:rFonts w:asciiTheme="majorHAnsi" w:hAnsiTheme="majorHAnsi"/>
          <w:lang w:val="sk-SK"/>
        </w:rPr>
        <w:t> 2 192 082</w:t>
      </w:r>
      <w:r w:rsidR="00D7793B" w:rsidRPr="00B9788E">
        <w:rPr>
          <w:rFonts w:asciiTheme="majorHAnsi" w:hAnsiTheme="majorHAnsi"/>
          <w:lang w:val="sk-SK"/>
        </w:rPr>
        <w:t xml:space="preserve"> EUR. </w:t>
      </w:r>
      <w:r w:rsidR="00AE58AB">
        <w:rPr>
          <w:rFonts w:asciiTheme="majorHAnsi" w:hAnsiTheme="majorHAnsi"/>
        </w:rPr>
        <w:t xml:space="preserve">Najväčšiu </w:t>
      </w:r>
      <w:proofErr w:type="gramStart"/>
      <w:r w:rsidR="00AE58AB">
        <w:rPr>
          <w:rFonts w:asciiTheme="majorHAnsi" w:hAnsiTheme="majorHAnsi"/>
        </w:rPr>
        <w:t xml:space="preserve">položku </w:t>
      </w:r>
      <w:r w:rsidR="00D37BCF" w:rsidRPr="00D54518">
        <w:rPr>
          <w:rFonts w:asciiTheme="majorHAnsi" w:hAnsiTheme="majorHAnsi"/>
        </w:rPr>
        <w:t xml:space="preserve"> celkového</w:t>
      </w:r>
      <w:proofErr w:type="gramEnd"/>
      <w:r w:rsidR="00D37BCF" w:rsidRPr="00D54518">
        <w:rPr>
          <w:rFonts w:asciiTheme="majorHAnsi" w:hAnsiTheme="majorHAnsi"/>
        </w:rPr>
        <w:t xml:space="preserve"> objemu pohľadávok </w:t>
      </w:r>
      <w:r w:rsidR="00AE58AB" w:rsidRPr="00D54518">
        <w:rPr>
          <w:rFonts w:asciiTheme="majorHAnsi" w:hAnsiTheme="majorHAnsi"/>
        </w:rPr>
        <w:t>1</w:t>
      </w:r>
      <w:r w:rsidR="00AE58AB">
        <w:rPr>
          <w:rFonts w:asciiTheme="majorHAnsi" w:hAnsiTheme="majorHAnsi"/>
        </w:rPr>
        <w:t> 846 168</w:t>
      </w:r>
      <w:r w:rsidR="00AE58AB" w:rsidRPr="00D54518">
        <w:rPr>
          <w:rFonts w:asciiTheme="majorHAnsi" w:hAnsiTheme="majorHAnsi"/>
        </w:rPr>
        <w:t xml:space="preserve"> €, </w:t>
      </w:r>
      <w:r w:rsidR="00D37BCF" w:rsidRPr="00D54518">
        <w:rPr>
          <w:rFonts w:asciiTheme="majorHAnsi" w:hAnsiTheme="majorHAnsi"/>
        </w:rPr>
        <w:t>tvoria pohľadávky z obchodného styku</w:t>
      </w:r>
      <w:r w:rsidR="00AE58AB">
        <w:rPr>
          <w:rFonts w:asciiTheme="majorHAnsi" w:hAnsiTheme="majorHAnsi"/>
        </w:rPr>
        <w:t>.</w:t>
      </w:r>
      <w:r w:rsidR="00D37BCF" w:rsidRPr="00D54518">
        <w:rPr>
          <w:rFonts w:asciiTheme="majorHAnsi" w:hAnsiTheme="majorHAnsi"/>
        </w:rPr>
        <w:t xml:space="preserve"> </w:t>
      </w:r>
    </w:p>
    <w:p w:rsidR="00AE58AB" w:rsidRPr="00B9788E" w:rsidRDefault="00AE58AB" w:rsidP="00EF3354">
      <w:pPr>
        <w:ind w:right="-772"/>
        <w:jc w:val="both"/>
        <w:rPr>
          <w:rFonts w:asciiTheme="majorHAnsi" w:hAnsiTheme="majorHAnsi"/>
        </w:rPr>
      </w:pPr>
    </w:p>
    <w:p w:rsidR="00EF3354" w:rsidRPr="00B9788E" w:rsidRDefault="00EF3354" w:rsidP="00EF3354">
      <w:pPr>
        <w:ind w:right="-772"/>
        <w:jc w:val="both"/>
        <w:rPr>
          <w:rFonts w:asciiTheme="majorHAnsi" w:hAnsiTheme="majorHAnsi"/>
        </w:rPr>
      </w:pPr>
      <w:r w:rsidRPr="00B9788E">
        <w:rPr>
          <w:rFonts w:asciiTheme="majorHAnsi" w:hAnsiTheme="majorHAnsi"/>
        </w:rPr>
        <w:t>Stav na bankových účtoch oproti roku 201</w:t>
      </w:r>
      <w:r w:rsidR="00710607">
        <w:rPr>
          <w:rFonts w:asciiTheme="majorHAnsi" w:hAnsiTheme="majorHAnsi"/>
        </w:rPr>
        <w:t>5</w:t>
      </w:r>
      <w:r w:rsidRPr="00B9788E">
        <w:rPr>
          <w:rFonts w:asciiTheme="majorHAnsi" w:hAnsiTheme="majorHAnsi"/>
        </w:rPr>
        <w:t xml:space="preserve"> </w:t>
      </w:r>
      <w:r w:rsidR="00710607">
        <w:rPr>
          <w:rFonts w:asciiTheme="majorHAnsi" w:hAnsiTheme="majorHAnsi"/>
        </w:rPr>
        <w:t>vzrástol</w:t>
      </w:r>
      <w:r w:rsidRPr="00B9788E">
        <w:rPr>
          <w:rFonts w:asciiTheme="majorHAnsi" w:hAnsiTheme="majorHAnsi"/>
        </w:rPr>
        <w:t xml:space="preserve"> o </w:t>
      </w:r>
      <w:r w:rsidR="003B4D0E">
        <w:rPr>
          <w:rFonts w:asciiTheme="majorHAnsi" w:hAnsiTheme="majorHAnsi"/>
        </w:rPr>
        <w:t>3 327 795,64€</w:t>
      </w:r>
      <w:r w:rsidR="005F712C">
        <w:rPr>
          <w:rFonts w:asciiTheme="majorHAnsi" w:hAnsiTheme="majorHAnsi"/>
        </w:rPr>
        <w:t>.</w:t>
      </w:r>
    </w:p>
    <w:p w:rsidR="00D7793B" w:rsidRPr="00B9788E" w:rsidRDefault="00D7793B" w:rsidP="00D7793B">
      <w:pPr>
        <w:jc w:val="both"/>
        <w:rPr>
          <w:rFonts w:asciiTheme="majorHAnsi" w:hAnsiTheme="majorHAnsi"/>
          <w:lang w:val="cs-CZ"/>
        </w:rPr>
      </w:pPr>
    </w:p>
    <w:p w:rsidR="00D7793B" w:rsidRPr="00B9788E" w:rsidRDefault="00D7793B" w:rsidP="00D7793B">
      <w:pPr>
        <w:jc w:val="both"/>
        <w:rPr>
          <w:rFonts w:asciiTheme="majorHAnsi" w:hAnsiTheme="majorHAnsi"/>
          <w:lang w:val="cs-CZ"/>
        </w:rPr>
      </w:pPr>
      <w:r w:rsidRPr="00B9788E">
        <w:rPr>
          <w:rFonts w:asciiTheme="majorHAnsi" w:hAnsiTheme="majorHAnsi"/>
          <w:lang w:val="cs-CZ"/>
        </w:rPr>
        <w:t xml:space="preserve">Pasíva tvoria zdroje krytia. Z celkového objemu vlastné zdroje krytia </w:t>
      </w:r>
      <w:r w:rsidR="00543917" w:rsidRPr="00B9788E">
        <w:rPr>
          <w:rFonts w:asciiTheme="majorHAnsi" w:hAnsiTheme="majorHAnsi"/>
          <w:lang w:val="cs-CZ"/>
        </w:rPr>
        <w:t xml:space="preserve"> (imanie, fondy a hospodársky výsledok) </w:t>
      </w:r>
      <w:r w:rsidRPr="00B9788E">
        <w:rPr>
          <w:rFonts w:asciiTheme="majorHAnsi" w:hAnsiTheme="majorHAnsi"/>
          <w:lang w:val="cs-CZ"/>
        </w:rPr>
        <w:t xml:space="preserve">predstavujú </w:t>
      </w:r>
      <w:r w:rsidR="0058246D">
        <w:rPr>
          <w:rFonts w:asciiTheme="majorHAnsi" w:hAnsiTheme="majorHAnsi"/>
          <w:lang w:val="cs-CZ"/>
        </w:rPr>
        <w:t>141</w:t>
      </w:r>
      <w:r w:rsidR="00710607">
        <w:rPr>
          <w:rFonts w:asciiTheme="majorHAnsi" w:hAnsiTheme="majorHAnsi"/>
          <w:lang w:val="cs-CZ"/>
        </w:rPr>
        <w:t> 028 981</w:t>
      </w:r>
      <w:r w:rsidRPr="00B9788E">
        <w:rPr>
          <w:rFonts w:asciiTheme="majorHAnsi" w:hAnsiTheme="majorHAnsi"/>
          <w:lang w:val="cs-CZ"/>
        </w:rPr>
        <w:t xml:space="preserve"> EUR, čo predstavuje </w:t>
      </w:r>
      <w:r w:rsidR="00710607">
        <w:rPr>
          <w:rFonts w:asciiTheme="majorHAnsi" w:hAnsiTheme="majorHAnsi"/>
          <w:lang w:val="cs-CZ"/>
        </w:rPr>
        <w:t>47,14</w:t>
      </w:r>
      <w:r w:rsidRPr="00B9788E">
        <w:rPr>
          <w:rFonts w:asciiTheme="majorHAnsi" w:hAnsiTheme="majorHAnsi"/>
          <w:lang w:val="cs-CZ"/>
        </w:rPr>
        <w:t xml:space="preserve">%, cudzie zdroje tvoria </w:t>
      </w:r>
      <w:r w:rsidR="008F08B1">
        <w:rPr>
          <w:rFonts w:asciiTheme="majorHAnsi" w:hAnsiTheme="majorHAnsi"/>
          <w:lang w:val="cs-CZ"/>
        </w:rPr>
        <w:t>2,</w:t>
      </w:r>
      <w:r w:rsidR="00710607">
        <w:rPr>
          <w:rFonts w:asciiTheme="majorHAnsi" w:hAnsiTheme="majorHAnsi"/>
          <w:lang w:val="cs-CZ"/>
        </w:rPr>
        <w:t>43</w:t>
      </w:r>
      <w:r w:rsidR="00EF3354" w:rsidRPr="00B9788E">
        <w:rPr>
          <w:rFonts w:asciiTheme="majorHAnsi" w:hAnsiTheme="majorHAnsi"/>
          <w:lang w:val="cs-CZ"/>
        </w:rPr>
        <w:t xml:space="preserve"> </w:t>
      </w:r>
      <w:r w:rsidR="00710607">
        <w:rPr>
          <w:rFonts w:asciiTheme="majorHAnsi" w:hAnsiTheme="majorHAnsi"/>
          <w:lang w:val="cs-CZ"/>
        </w:rPr>
        <w:t xml:space="preserve">% </w:t>
      </w:r>
      <w:r w:rsidRPr="00B9788E">
        <w:rPr>
          <w:rFonts w:asciiTheme="majorHAnsi" w:hAnsiTheme="majorHAnsi"/>
          <w:lang w:val="cs-CZ"/>
        </w:rPr>
        <w:t xml:space="preserve"> a  časové rozlíšenie </w:t>
      </w:r>
      <w:r w:rsidR="00710607">
        <w:rPr>
          <w:rFonts w:asciiTheme="majorHAnsi" w:hAnsiTheme="majorHAnsi"/>
          <w:lang w:val="cs-CZ"/>
        </w:rPr>
        <w:t>50,43</w:t>
      </w:r>
      <w:r w:rsidRPr="00B9788E">
        <w:rPr>
          <w:rFonts w:asciiTheme="majorHAnsi" w:hAnsiTheme="majorHAnsi"/>
          <w:lang w:val="cs-CZ"/>
        </w:rPr>
        <w:t>% (</w:t>
      </w:r>
      <w:r w:rsidR="00710607">
        <w:rPr>
          <w:rFonts w:asciiTheme="majorHAnsi" w:hAnsiTheme="majorHAnsi"/>
          <w:lang w:val="cs-CZ"/>
        </w:rPr>
        <w:t>150 847 453,94</w:t>
      </w:r>
      <w:r w:rsidRPr="00B9788E">
        <w:rPr>
          <w:rFonts w:asciiTheme="majorHAnsi" w:hAnsiTheme="majorHAnsi"/>
          <w:lang w:val="cs-CZ"/>
        </w:rPr>
        <w:t xml:space="preserve"> EUR.) Z toho výdavky budúcich období  sú vo výške </w:t>
      </w:r>
      <w:r w:rsidR="00710607">
        <w:rPr>
          <w:rFonts w:asciiTheme="majorHAnsi" w:hAnsiTheme="majorHAnsi"/>
          <w:lang w:val="cs-CZ"/>
        </w:rPr>
        <w:t>884 460</w:t>
      </w:r>
      <w:r w:rsidRPr="00B9788E">
        <w:rPr>
          <w:rFonts w:asciiTheme="majorHAnsi" w:hAnsiTheme="majorHAnsi"/>
          <w:lang w:val="cs-CZ"/>
        </w:rPr>
        <w:t xml:space="preserve"> EUR a výnosy budúcich období </w:t>
      </w:r>
      <w:r w:rsidR="00710607">
        <w:rPr>
          <w:rFonts w:asciiTheme="majorHAnsi" w:hAnsiTheme="majorHAnsi"/>
          <w:lang w:val="cs-CZ"/>
        </w:rPr>
        <w:t>149 962 993</w:t>
      </w:r>
      <w:r w:rsidRPr="00B9788E">
        <w:rPr>
          <w:rFonts w:asciiTheme="majorHAnsi" w:hAnsiTheme="majorHAnsi"/>
          <w:lang w:val="cs-CZ"/>
        </w:rPr>
        <w:t>EUR).</w:t>
      </w:r>
      <w:r w:rsidR="008F08B1">
        <w:rPr>
          <w:rFonts w:asciiTheme="majorHAnsi" w:hAnsiTheme="majorHAnsi"/>
          <w:lang w:val="cs-CZ"/>
        </w:rPr>
        <w:t xml:space="preserve"> – </w:t>
      </w:r>
      <w:r w:rsidR="008F08B1" w:rsidRPr="00F34211">
        <w:rPr>
          <w:rFonts w:asciiTheme="majorHAnsi" w:hAnsiTheme="majorHAnsi"/>
          <w:lang w:val="cs-CZ"/>
        </w:rPr>
        <w:t>predstavuje neminutú dotáciu minulých rokov + zdroje krytia odpisov majetku obstaraného z</w:t>
      </w:r>
      <w:r w:rsidR="00122D61" w:rsidRPr="00F34211">
        <w:rPr>
          <w:rFonts w:asciiTheme="majorHAnsi" w:hAnsiTheme="majorHAnsi"/>
          <w:lang w:val="cs-CZ"/>
        </w:rPr>
        <w:t> </w:t>
      </w:r>
      <w:r w:rsidR="008F08B1" w:rsidRPr="00F34211">
        <w:rPr>
          <w:rFonts w:asciiTheme="majorHAnsi" w:hAnsiTheme="majorHAnsi"/>
          <w:lang w:val="cs-CZ"/>
        </w:rPr>
        <w:t>dotácie.</w:t>
      </w:r>
    </w:p>
    <w:p w:rsidR="00D7793B" w:rsidRPr="00B9788E" w:rsidRDefault="00D7793B" w:rsidP="00D7793B">
      <w:pPr>
        <w:jc w:val="both"/>
        <w:rPr>
          <w:rFonts w:asciiTheme="majorHAnsi" w:hAnsiTheme="majorHAnsi"/>
          <w:lang w:val="cs-CZ"/>
        </w:rPr>
      </w:pPr>
    </w:p>
    <w:p w:rsidR="00D7793B" w:rsidRPr="00B9788E" w:rsidRDefault="00D7793B" w:rsidP="00D7793B">
      <w:pPr>
        <w:jc w:val="both"/>
        <w:rPr>
          <w:rFonts w:asciiTheme="majorHAnsi" w:hAnsiTheme="majorHAnsi"/>
          <w:b/>
          <w:lang w:val="cs-CZ"/>
        </w:rPr>
      </w:pPr>
      <w:r w:rsidRPr="00B9788E">
        <w:rPr>
          <w:rFonts w:asciiTheme="majorHAnsi" w:hAnsiTheme="majorHAnsi"/>
          <w:b/>
          <w:lang w:val="cs-CZ"/>
        </w:rPr>
        <w:t>2.2 Výkaz ziskov a strát</w:t>
      </w:r>
    </w:p>
    <w:p w:rsidR="00D7793B" w:rsidRPr="00B9788E" w:rsidRDefault="00D7793B" w:rsidP="00D7793B">
      <w:pPr>
        <w:jc w:val="both"/>
        <w:rPr>
          <w:rFonts w:asciiTheme="majorHAnsi" w:hAnsiTheme="majorHAnsi"/>
          <w:lang w:val="cs-CZ"/>
        </w:rPr>
      </w:pPr>
    </w:p>
    <w:p w:rsidR="00D7793B" w:rsidRPr="00B9788E" w:rsidRDefault="00D7793B" w:rsidP="006B6D96">
      <w:pPr>
        <w:pStyle w:val="Odsekzoznamu"/>
        <w:numPr>
          <w:ilvl w:val="0"/>
          <w:numId w:val="5"/>
        </w:numPr>
        <w:ind w:left="0" w:firstLine="0"/>
        <w:contextualSpacing/>
        <w:jc w:val="both"/>
        <w:rPr>
          <w:rFonts w:asciiTheme="majorHAnsi" w:hAnsiTheme="majorHAnsi"/>
          <w:lang w:val="cs-CZ"/>
        </w:rPr>
      </w:pPr>
      <w:r w:rsidRPr="00B9788E">
        <w:rPr>
          <w:rFonts w:asciiTheme="majorHAnsi" w:hAnsiTheme="majorHAnsi"/>
          <w:lang w:val="cs-CZ"/>
        </w:rPr>
        <w:t>Sumárne za celú STU</w:t>
      </w:r>
    </w:p>
    <w:p w:rsidR="00D7793B" w:rsidRPr="00B9788E" w:rsidRDefault="00D7793B" w:rsidP="00D7793B">
      <w:pPr>
        <w:jc w:val="both"/>
        <w:rPr>
          <w:rFonts w:asciiTheme="majorHAnsi" w:hAnsiTheme="majorHAnsi"/>
          <w:lang w:val="cs-CZ"/>
        </w:rPr>
      </w:pPr>
    </w:p>
    <w:p w:rsidR="00D7793B" w:rsidRPr="00B9788E" w:rsidRDefault="00D7793B" w:rsidP="00D7793B">
      <w:pPr>
        <w:jc w:val="both"/>
        <w:rPr>
          <w:rFonts w:asciiTheme="majorHAnsi" w:hAnsiTheme="majorHAnsi"/>
          <w:lang w:val="cs-CZ"/>
        </w:rPr>
      </w:pPr>
      <w:r w:rsidRPr="00B9788E">
        <w:rPr>
          <w:rFonts w:asciiTheme="majorHAnsi" w:hAnsiTheme="majorHAnsi"/>
          <w:lang w:val="cs-CZ"/>
        </w:rPr>
        <w:t>STU k </w:t>
      </w:r>
      <w:proofErr w:type="gramStart"/>
      <w:r w:rsidRPr="00B9788E">
        <w:rPr>
          <w:rFonts w:asciiTheme="majorHAnsi" w:hAnsiTheme="majorHAnsi"/>
          <w:lang w:val="cs-CZ"/>
        </w:rPr>
        <w:t>31.12.201</w:t>
      </w:r>
      <w:r w:rsidR="003C6E9A">
        <w:rPr>
          <w:rFonts w:asciiTheme="majorHAnsi" w:hAnsiTheme="majorHAnsi"/>
          <w:lang w:val="cs-CZ"/>
        </w:rPr>
        <w:t>6</w:t>
      </w:r>
      <w:proofErr w:type="gramEnd"/>
      <w:r w:rsidRPr="00B9788E">
        <w:rPr>
          <w:rFonts w:asciiTheme="majorHAnsi" w:hAnsiTheme="majorHAnsi"/>
          <w:lang w:val="cs-CZ"/>
        </w:rPr>
        <w:t xml:space="preserve"> vykazovala celkové náklady vo výške </w:t>
      </w:r>
      <w:r w:rsidR="003C6E9A">
        <w:rPr>
          <w:rFonts w:asciiTheme="majorHAnsi" w:hAnsiTheme="majorHAnsi"/>
          <w:lang w:val="cs-CZ"/>
        </w:rPr>
        <w:t>102 056 249</w:t>
      </w:r>
      <w:r w:rsidRPr="00B9788E">
        <w:rPr>
          <w:rFonts w:asciiTheme="majorHAnsi" w:hAnsiTheme="majorHAnsi"/>
          <w:lang w:val="cs-CZ"/>
        </w:rPr>
        <w:t xml:space="preserve"> EUR, z toho  v hlavnej </w:t>
      </w:r>
      <w:r w:rsidR="00190FAB">
        <w:rPr>
          <w:rFonts w:asciiTheme="majorHAnsi" w:hAnsiTheme="majorHAnsi"/>
          <w:lang w:val="cs-CZ"/>
        </w:rPr>
        <w:t xml:space="preserve">nezdaňovanej </w:t>
      </w:r>
      <w:r w:rsidRPr="00B9788E">
        <w:rPr>
          <w:rFonts w:asciiTheme="majorHAnsi" w:hAnsiTheme="majorHAnsi"/>
          <w:lang w:val="cs-CZ"/>
        </w:rPr>
        <w:t xml:space="preserve">činnosti </w:t>
      </w:r>
      <w:r w:rsidR="003C6E9A">
        <w:rPr>
          <w:rFonts w:asciiTheme="majorHAnsi" w:hAnsiTheme="majorHAnsi"/>
          <w:lang w:val="cs-CZ"/>
        </w:rPr>
        <w:t>95 325 433</w:t>
      </w:r>
      <w:r w:rsidRPr="00B9788E">
        <w:rPr>
          <w:rFonts w:asciiTheme="majorHAnsi" w:hAnsiTheme="majorHAnsi"/>
          <w:lang w:val="cs-CZ"/>
        </w:rPr>
        <w:t xml:space="preserve"> EUR (93</w:t>
      </w:r>
      <w:r w:rsidR="004621FC" w:rsidRPr="00B9788E">
        <w:rPr>
          <w:rFonts w:asciiTheme="majorHAnsi" w:hAnsiTheme="majorHAnsi"/>
          <w:lang w:val="cs-CZ"/>
        </w:rPr>
        <w:t>,</w:t>
      </w:r>
      <w:r w:rsidR="00CF62D0">
        <w:rPr>
          <w:rFonts w:asciiTheme="majorHAnsi" w:hAnsiTheme="majorHAnsi"/>
          <w:lang w:val="cs-CZ"/>
        </w:rPr>
        <w:t>4</w:t>
      </w:r>
      <w:r w:rsidR="003C6E9A">
        <w:rPr>
          <w:rFonts w:asciiTheme="majorHAnsi" w:hAnsiTheme="majorHAnsi"/>
          <w:lang w:val="cs-CZ"/>
        </w:rPr>
        <w:t>0</w:t>
      </w:r>
      <w:r w:rsidRPr="00B9788E">
        <w:rPr>
          <w:rFonts w:asciiTheme="majorHAnsi" w:hAnsiTheme="majorHAnsi"/>
          <w:lang w:val="cs-CZ"/>
        </w:rPr>
        <w:t xml:space="preserve"> %) a v </w:t>
      </w:r>
      <w:r w:rsidR="00190FAB">
        <w:rPr>
          <w:rFonts w:asciiTheme="majorHAnsi" w:hAnsiTheme="majorHAnsi"/>
          <w:lang w:val="cs-CZ"/>
        </w:rPr>
        <w:t>zdaňovanej</w:t>
      </w:r>
      <w:r w:rsidRPr="00B9788E">
        <w:rPr>
          <w:rFonts w:asciiTheme="majorHAnsi" w:hAnsiTheme="majorHAnsi"/>
          <w:lang w:val="cs-CZ"/>
        </w:rPr>
        <w:t xml:space="preserve"> činnosti vo výške</w:t>
      </w:r>
      <w:r w:rsidR="00CF62D0">
        <w:rPr>
          <w:rFonts w:asciiTheme="majorHAnsi" w:hAnsiTheme="majorHAnsi"/>
          <w:lang w:val="cs-CZ"/>
        </w:rPr>
        <w:t xml:space="preserve">  6</w:t>
      </w:r>
      <w:r w:rsidR="003C6E9A">
        <w:rPr>
          <w:rFonts w:asciiTheme="majorHAnsi" w:hAnsiTheme="majorHAnsi"/>
          <w:lang w:val="cs-CZ"/>
        </w:rPr>
        <w:t xml:space="preserve"> 730 816 </w:t>
      </w:r>
      <w:r w:rsidRPr="00B9788E">
        <w:rPr>
          <w:rFonts w:asciiTheme="majorHAnsi" w:hAnsiTheme="majorHAnsi"/>
          <w:lang w:val="cs-CZ"/>
        </w:rPr>
        <w:t>EUR (</w:t>
      </w:r>
      <w:r w:rsidR="004621FC" w:rsidRPr="00B9788E">
        <w:rPr>
          <w:rFonts w:asciiTheme="majorHAnsi" w:hAnsiTheme="majorHAnsi"/>
          <w:lang w:val="cs-CZ"/>
        </w:rPr>
        <w:t>6,</w:t>
      </w:r>
      <w:r w:rsidR="003C6E9A">
        <w:rPr>
          <w:rFonts w:asciiTheme="majorHAnsi" w:hAnsiTheme="majorHAnsi"/>
          <w:lang w:val="cs-CZ"/>
        </w:rPr>
        <w:t>60</w:t>
      </w:r>
      <w:r w:rsidRPr="00B9788E">
        <w:rPr>
          <w:rFonts w:asciiTheme="majorHAnsi" w:hAnsiTheme="majorHAnsi"/>
          <w:lang w:val="cs-CZ"/>
        </w:rPr>
        <w:t xml:space="preserve"> %).</w:t>
      </w:r>
    </w:p>
    <w:p w:rsidR="00D7793B" w:rsidRPr="00B9788E" w:rsidRDefault="00D7793B" w:rsidP="00D7793B">
      <w:pPr>
        <w:jc w:val="both"/>
        <w:rPr>
          <w:rFonts w:asciiTheme="majorHAnsi" w:hAnsiTheme="majorHAnsi"/>
          <w:lang w:val="cs-CZ"/>
        </w:rPr>
      </w:pPr>
    </w:p>
    <w:p w:rsidR="00D7793B" w:rsidRPr="00B9788E" w:rsidRDefault="00D7793B" w:rsidP="00D7793B">
      <w:pPr>
        <w:jc w:val="both"/>
        <w:rPr>
          <w:rFonts w:asciiTheme="majorHAnsi" w:hAnsiTheme="majorHAnsi"/>
          <w:lang w:val="cs-CZ"/>
        </w:rPr>
      </w:pPr>
      <w:r w:rsidRPr="00B9788E">
        <w:rPr>
          <w:rFonts w:asciiTheme="majorHAnsi" w:hAnsiTheme="majorHAnsi"/>
          <w:lang w:val="cs-CZ"/>
        </w:rPr>
        <w:t>Výnosy za rok 201</w:t>
      </w:r>
      <w:r w:rsidR="003C6E9A">
        <w:rPr>
          <w:rFonts w:asciiTheme="majorHAnsi" w:hAnsiTheme="majorHAnsi"/>
          <w:lang w:val="cs-CZ"/>
        </w:rPr>
        <w:t>6</w:t>
      </w:r>
      <w:r w:rsidRPr="00B9788E">
        <w:rPr>
          <w:rFonts w:asciiTheme="majorHAnsi" w:hAnsiTheme="majorHAnsi"/>
          <w:lang w:val="cs-CZ"/>
        </w:rPr>
        <w:t xml:space="preserve"> sú vo výške </w:t>
      </w:r>
      <w:r w:rsidR="003C6E9A">
        <w:rPr>
          <w:rFonts w:asciiTheme="majorHAnsi" w:hAnsiTheme="majorHAnsi"/>
          <w:lang w:val="cs-CZ"/>
        </w:rPr>
        <w:t>102 692 963</w:t>
      </w:r>
      <w:r w:rsidRPr="00B9788E">
        <w:rPr>
          <w:rFonts w:asciiTheme="majorHAnsi" w:hAnsiTheme="majorHAnsi"/>
          <w:lang w:val="cs-CZ"/>
        </w:rPr>
        <w:t xml:space="preserve"> EUR, </w:t>
      </w:r>
      <w:r w:rsidR="00761959">
        <w:rPr>
          <w:rFonts w:asciiTheme="majorHAnsi" w:hAnsiTheme="majorHAnsi"/>
          <w:lang w:val="cs-CZ"/>
        </w:rPr>
        <w:t>n</w:t>
      </w:r>
      <w:r w:rsidRPr="00B9788E">
        <w:rPr>
          <w:rFonts w:asciiTheme="majorHAnsi" w:hAnsiTheme="majorHAnsi"/>
          <w:lang w:val="cs-CZ"/>
        </w:rPr>
        <w:t xml:space="preserve">a okruhu hlavnej </w:t>
      </w:r>
      <w:r w:rsidR="00190FAB">
        <w:rPr>
          <w:rFonts w:asciiTheme="majorHAnsi" w:hAnsiTheme="majorHAnsi"/>
          <w:lang w:val="cs-CZ"/>
        </w:rPr>
        <w:t xml:space="preserve">nezdaňovanej </w:t>
      </w:r>
      <w:r w:rsidRPr="00B9788E">
        <w:rPr>
          <w:rFonts w:asciiTheme="majorHAnsi" w:hAnsiTheme="majorHAnsi"/>
          <w:lang w:val="cs-CZ"/>
        </w:rPr>
        <w:t xml:space="preserve">činnosti STU dosiahla výnosy vo výške </w:t>
      </w:r>
      <w:r w:rsidR="003C6E9A">
        <w:rPr>
          <w:rFonts w:asciiTheme="majorHAnsi" w:hAnsiTheme="majorHAnsi"/>
          <w:lang w:val="cs-CZ"/>
        </w:rPr>
        <w:t>92 678 831</w:t>
      </w:r>
      <w:r w:rsidRPr="00B9788E">
        <w:rPr>
          <w:rFonts w:asciiTheme="majorHAnsi" w:hAnsiTheme="majorHAnsi"/>
          <w:lang w:val="cs-CZ"/>
        </w:rPr>
        <w:t xml:space="preserve"> EUR,   na okruhu </w:t>
      </w:r>
      <w:r w:rsidR="00190FAB">
        <w:rPr>
          <w:rFonts w:asciiTheme="majorHAnsi" w:hAnsiTheme="majorHAnsi"/>
          <w:lang w:val="cs-CZ"/>
        </w:rPr>
        <w:t>zdaňovanej</w:t>
      </w:r>
      <w:r w:rsidRPr="00B9788E">
        <w:rPr>
          <w:rFonts w:asciiTheme="majorHAnsi" w:hAnsiTheme="majorHAnsi"/>
          <w:lang w:val="cs-CZ"/>
        </w:rPr>
        <w:t xml:space="preserve"> činnosti</w:t>
      </w:r>
      <w:r w:rsidR="00761959">
        <w:rPr>
          <w:rFonts w:asciiTheme="majorHAnsi" w:hAnsiTheme="majorHAnsi"/>
          <w:lang w:val="cs-CZ"/>
        </w:rPr>
        <w:t xml:space="preserve">    </w:t>
      </w:r>
      <w:r w:rsidR="003C6E9A">
        <w:rPr>
          <w:rFonts w:asciiTheme="majorHAnsi" w:hAnsiTheme="majorHAnsi"/>
          <w:lang w:val="cs-CZ"/>
        </w:rPr>
        <w:t>10 014 132</w:t>
      </w:r>
      <w:r w:rsidRPr="00B9788E">
        <w:rPr>
          <w:rFonts w:asciiTheme="majorHAnsi" w:hAnsiTheme="majorHAnsi"/>
          <w:lang w:val="cs-CZ"/>
        </w:rPr>
        <w:t xml:space="preserve"> EUR.</w:t>
      </w:r>
    </w:p>
    <w:p w:rsidR="00D7793B" w:rsidRPr="00B9788E" w:rsidRDefault="00D7793B" w:rsidP="00D7793B">
      <w:pPr>
        <w:jc w:val="both"/>
        <w:rPr>
          <w:rFonts w:asciiTheme="majorHAnsi" w:hAnsiTheme="majorHAnsi"/>
          <w:lang w:val="cs-CZ"/>
        </w:rPr>
      </w:pPr>
    </w:p>
    <w:p w:rsidR="00D7793B" w:rsidRPr="00B9788E" w:rsidRDefault="00D7793B" w:rsidP="00D7793B">
      <w:pPr>
        <w:jc w:val="both"/>
        <w:rPr>
          <w:rFonts w:asciiTheme="majorHAnsi" w:hAnsiTheme="majorHAnsi"/>
        </w:rPr>
      </w:pPr>
      <w:r w:rsidRPr="00B9788E">
        <w:rPr>
          <w:rFonts w:asciiTheme="majorHAnsi" w:hAnsiTheme="majorHAnsi"/>
        </w:rPr>
        <w:t>Slovenská technická univerzita v Bratislave v roku 201</w:t>
      </w:r>
      <w:r w:rsidR="003C6E9A">
        <w:rPr>
          <w:rFonts w:asciiTheme="majorHAnsi" w:hAnsiTheme="majorHAnsi"/>
        </w:rPr>
        <w:t>6</w:t>
      </w:r>
      <w:r w:rsidRPr="00B9788E">
        <w:rPr>
          <w:rFonts w:asciiTheme="majorHAnsi" w:hAnsiTheme="majorHAnsi"/>
        </w:rPr>
        <w:t xml:space="preserve"> dosiahla kladný </w:t>
      </w:r>
      <w:proofErr w:type="gramStart"/>
      <w:r w:rsidRPr="00B9788E">
        <w:rPr>
          <w:rFonts w:asciiTheme="majorHAnsi" w:hAnsiTheme="majorHAnsi"/>
        </w:rPr>
        <w:t>hospodársky  výsledok</w:t>
      </w:r>
      <w:proofErr w:type="gramEnd"/>
      <w:r w:rsidRPr="00B9788E">
        <w:rPr>
          <w:rFonts w:asciiTheme="majorHAnsi" w:hAnsiTheme="majorHAnsi"/>
        </w:rPr>
        <w:t xml:space="preserve"> po zdanení vo výške </w:t>
      </w:r>
      <w:r w:rsidR="003C6E9A">
        <w:rPr>
          <w:rFonts w:asciiTheme="majorHAnsi" w:hAnsiTheme="majorHAnsi"/>
        </w:rPr>
        <w:t>21 532</w:t>
      </w:r>
      <w:r w:rsidRPr="00B9788E">
        <w:rPr>
          <w:rFonts w:asciiTheme="majorHAnsi" w:hAnsiTheme="majorHAnsi"/>
        </w:rPr>
        <w:t xml:space="preserve"> EUR, pričom v hlavnej </w:t>
      </w:r>
      <w:r w:rsidR="00190FAB">
        <w:rPr>
          <w:rFonts w:asciiTheme="majorHAnsi" w:hAnsiTheme="majorHAnsi"/>
        </w:rPr>
        <w:t xml:space="preserve">nezdaňovanej </w:t>
      </w:r>
      <w:r w:rsidRPr="00B9788E">
        <w:rPr>
          <w:rFonts w:asciiTheme="majorHAnsi" w:hAnsiTheme="majorHAnsi"/>
        </w:rPr>
        <w:t xml:space="preserve">činnosti vykazovala stratu </w:t>
      </w:r>
      <w:r w:rsidR="003C6E9A">
        <w:rPr>
          <w:rFonts w:asciiTheme="majorHAnsi" w:hAnsiTheme="majorHAnsi"/>
        </w:rPr>
        <w:t>– 2 646 602,37</w:t>
      </w:r>
      <w:r w:rsidRPr="00B9788E">
        <w:rPr>
          <w:rFonts w:asciiTheme="majorHAnsi" w:hAnsiTheme="majorHAnsi"/>
        </w:rPr>
        <w:t xml:space="preserve"> EUR. Najväčší podiel na tejto strate mali odpisy </w:t>
      </w:r>
      <w:r w:rsidRPr="00B9788E">
        <w:rPr>
          <w:rFonts w:asciiTheme="majorHAnsi" w:hAnsiTheme="majorHAnsi"/>
        </w:rPr>
        <w:lastRenderedPageBreak/>
        <w:t>z  dlhodobého majetku</w:t>
      </w:r>
      <w:r w:rsidR="003C6E9A">
        <w:rPr>
          <w:rFonts w:asciiTheme="majorHAnsi" w:hAnsiTheme="majorHAnsi"/>
        </w:rPr>
        <w:t xml:space="preserve"> nekryté dotáciou</w:t>
      </w:r>
      <w:r w:rsidRPr="00B9788E">
        <w:rPr>
          <w:rFonts w:asciiTheme="majorHAnsi" w:hAnsiTheme="majorHAnsi"/>
        </w:rPr>
        <w:t xml:space="preserve">. Kladný hospodársky výsledok univerzity bol dosiahnutý vďaka </w:t>
      </w:r>
      <w:proofErr w:type="gramStart"/>
      <w:r w:rsidRPr="00B9788E">
        <w:rPr>
          <w:rFonts w:asciiTheme="majorHAnsi" w:hAnsiTheme="majorHAnsi"/>
        </w:rPr>
        <w:t>rozsiahlej  podnikateľskej</w:t>
      </w:r>
      <w:proofErr w:type="gramEnd"/>
      <w:r w:rsidRPr="00B9788E">
        <w:rPr>
          <w:rFonts w:asciiTheme="majorHAnsi" w:hAnsiTheme="majorHAnsi"/>
        </w:rPr>
        <w:t xml:space="preserve"> činnosti.  </w:t>
      </w:r>
    </w:p>
    <w:p w:rsidR="00D7793B" w:rsidRPr="00B9788E" w:rsidRDefault="00D7793B" w:rsidP="00D7793B">
      <w:pPr>
        <w:jc w:val="both"/>
        <w:rPr>
          <w:rFonts w:asciiTheme="majorHAnsi" w:hAnsiTheme="majorHAnsi"/>
        </w:rPr>
      </w:pPr>
    </w:p>
    <w:p w:rsidR="00D7793B" w:rsidRPr="00B9788E" w:rsidRDefault="00D7793B" w:rsidP="00D7793B">
      <w:pPr>
        <w:jc w:val="both"/>
        <w:rPr>
          <w:rFonts w:asciiTheme="majorHAnsi" w:hAnsiTheme="majorHAnsi"/>
        </w:rPr>
      </w:pPr>
      <w:r w:rsidRPr="00B9788E">
        <w:rPr>
          <w:rFonts w:asciiTheme="majorHAnsi" w:hAnsiTheme="majorHAnsi"/>
        </w:rPr>
        <w:t xml:space="preserve">Prehľad </w:t>
      </w:r>
      <w:proofErr w:type="gramStart"/>
      <w:r w:rsidRPr="00B9788E">
        <w:rPr>
          <w:rFonts w:asciiTheme="majorHAnsi" w:hAnsiTheme="majorHAnsi"/>
        </w:rPr>
        <w:t>o  hospodárskom</w:t>
      </w:r>
      <w:proofErr w:type="gramEnd"/>
      <w:r w:rsidRPr="00B9788E">
        <w:rPr>
          <w:rFonts w:asciiTheme="majorHAnsi" w:hAnsiTheme="majorHAnsi"/>
        </w:rPr>
        <w:t xml:space="preserve"> výsledku  po zdanení dokumentuje nasledovná tabuľka.</w:t>
      </w:r>
    </w:p>
    <w:p w:rsidR="00D7793B" w:rsidRPr="00B9788E" w:rsidRDefault="00D7793B" w:rsidP="00D7793B">
      <w:pPr>
        <w:rPr>
          <w:rFonts w:asciiTheme="majorHAnsi" w:hAnsiTheme="majorHAnsi"/>
        </w:rPr>
      </w:pPr>
      <w:r w:rsidRPr="00B9788E">
        <w:rPr>
          <w:rFonts w:asciiTheme="majorHAnsi" w:hAnsiTheme="majorHAnsi"/>
        </w:rPr>
        <w:t>Tabuľka č. 1: Hospodársky výsledok STU</w:t>
      </w:r>
    </w:p>
    <w:p w:rsidR="00D7793B" w:rsidRPr="00B9788E" w:rsidRDefault="00D7793B" w:rsidP="00D7793B">
      <w:pPr>
        <w:rPr>
          <w:rFonts w:asciiTheme="majorHAnsi" w:hAnsiTheme="majorHAnsi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1"/>
        <w:gridCol w:w="1617"/>
        <w:gridCol w:w="1617"/>
        <w:gridCol w:w="1525"/>
      </w:tblGrid>
      <w:tr w:rsidR="00375A95" w:rsidRPr="00B9788E" w:rsidTr="00761959">
        <w:trPr>
          <w:trHeight w:val="651"/>
        </w:trPr>
        <w:tc>
          <w:tcPr>
            <w:tcW w:w="3611" w:type="dxa"/>
          </w:tcPr>
          <w:p w:rsidR="00D7793B" w:rsidRPr="00B9788E" w:rsidRDefault="00D7793B" w:rsidP="00E5427F">
            <w:pPr>
              <w:suppressAutoHyphens/>
              <w:jc w:val="both"/>
              <w:rPr>
                <w:rFonts w:asciiTheme="majorHAnsi" w:hAnsiTheme="majorHAnsi"/>
              </w:rPr>
            </w:pPr>
          </w:p>
        </w:tc>
        <w:tc>
          <w:tcPr>
            <w:tcW w:w="1617" w:type="dxa"/>
          </w:tcPr>
          <w:p w:rsidR="00D7793B" w:rsidRPr="00B9788E" w:rsidRDefault="00D7793B" w:rsidP="00E5427F">
            <w:pPr>
              <w:suppressAutoHyphens/>
              <w:ind w:left="-250" w:firstLine="250"/>
              <w:jc w:val="center"/>
              <w:rPr>
                <w:rFonts w:asciiTheme="majorHAnsi" w:hAnsiTheme="majorHAnsi"/>
              </w:rPr>
            </w:pPr>
            <w:r w:rsidRPr="00B9788E">
              <w:rPr>
                <w:rFonts w:asciiTheme="majorHAnsi" w:hAnsiTheme="majorHAnsi"/>
              </w:rPr>
              <w:t>Hlavná</w:t>
            </w:r>
            <w:r w:rsidR="00190FAB">
              <w:rPr>
                <w:rFonts w:asciiTheme="majorHAnsi" w:hAnsiTheme="majorHAnsi"/>
              </w:rPr>
              <w:t xml:space="preserve"> nezdaňovaná</w:t>
            </w:r>
          </w:p>
          <w:p w:rsidR="00D7793B" w:rsidRPr="00B9788E" w:rsidRDefault="00D7793B" w:rsidP="00E5427F">
            <w:pPr>
              <w:suppressAutoHyphens/>
              <w:ind w:left="-250" w:firstLine="250"/>
              <w:jc w:val="center"/>
              <w:rPr>
                <w:rFonts w:asciiTheme="majorHAnsi" w:hAnsiTheme="majorHAnsi"/>
              </w:rPr>
            </w:pPr>
            <w:r w:rsidRPr="00B9788E">
              <w:rPr>
                <w:rFonts w:asciiTheme="majorHAnsi" w:hAnsiTheme="majorHAnsi"/>
              </w:rPr>
              <w:t>činnosť</w:t>
            </w:r>
          </w:p>
        </w:tc>
        <w:tc>
          <w:tcPr>
            <w:tcW w:w="1617" w:type="dxa"/>
          </w:tcPr>
          <w:p w:rsidR="00D7793B" w:rsidRPr="00B9788E" w:rsidRDefault="00190FAB" w:rsidP="00E5427F">
            <w:pPr>
              <w:suppressAutoHyphens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Zdaňovaná</w:t>
            </w:r>
          </w:p>
          <w:p w:rsidR="00D7793B" w:rsidRPr="00B9788E" w:rsidRDefault="00D7793B" w:rsidP="00E5427F">
            <w:pPr>
              <w:suppressAutoHyphens/>
              <w:jc w:val="center"/>
              <w:rPr>
                <w:rFonts w:asciiTheme="majorHAnsi" w:hAnsiTheme="majorHAnsi"/>
              </w:rPr>
            </w:pPr>
            <w:r w:rsidRPr="00B9788E">
              <w:rPr>
                <w:rFonts w:asciiTheme="majorHAnsi" w:hAnsiTheme="majorHAnsi"/>
              </w:rPr>
              <w:t>činnosť</w:t>
            </w:r>
          </w:p>
        </w:tc>
        <w:tc>
          <w:tcPr>
            <w:tcW w:w="1525" w:type="dxa"/>
          </w:tcPr>
          <w:p w:rsidR="00D7793B" w:rsidRPr="00B9788E" w:rsidRDefault="00D7793B" w:rsidP="00E5427F">
            <w:pPr>
              <w:suppressAutoHyphens/>
              <w:jc w:val="center"/>
              <w:rPr>
                <w:rFonts w:asciiTheme="majorHAnsi" w:hAnsiTheme="majorHAnsi"/>
              </w:rPr>
            </w:pPr>
            <w:r w:rsidRPr="00B9788E">
              <w:rPr>
                <w:rFonts w:asciiTheme="majorHAnsi" w:hAnsiTheme="majorHAnsi"/>
              </w:rPr>
              <w:t>Spolu</w:t>
            </w:r>
          </w:p>
        </w:tc>
      </w:tr>
      <w:tr w:rsidR="00375A95" w:rsidRPr="00B9788E" w:rsidTr="00761959">
        <w:trPr>
          <w:trHeight w:val="416"/>
        </w:trPr>
        <w:tc>
          <w:tcPr>
            <w:tcW w:w="3611" w:type="dxa"/>
          </w:tcPr>
          <w:p w:rsidR="00D7793B" w:rsidRPr="00B9788E" w:rsidRDefault="00D7793B" w:rsidP="00E5427F">
            <w:pPr>
              <w:suppressAutoHyphens/>
              <w:jc w:val="both"/>
              <w:rPr>
                <w:rFonts w:asciiTheme="majorHAnsi" w:hAnsiTheme="majorHAnsi"/>
              </w:rPr>
            </w:pPr>
            <w:r w:rsidRPr="00B9788E">
              <w:rPr>
                <w:rFonts w:asciiTheme="majorHAnsi" w:hAnsiTheme="majorHAnsi"/>
              </w:rPr>
              <w:t>Výnosy</w:t>
            </w:r>
          </w:p>
          <w:p w:rsidR="00D7793B" w:rsidRPr="00B9788E" w:rsidRDefault="00D7793B" w:rsidP="00E5427F">
            <w:pPr>
              <w:suppressAutoHyphens/>
              <w:jc w:val="both"/>
              <w:rPr>
                <w:rFonts w:asciiTheme="majorHAnsi" w:hAnsiTheme="majorHAnsi"/>
              </w:rPr>
            </w:pPr>
          </w:p>
        </w:tc>
        <w:tc>
          <w:tcPr>
            <w:tcW w:w="1617" w:type="dxa"/>
          </w:tcPr>
          <w:p w:rsidR="00D7793B" w:rsidRPr="00B9788E" w:rsidRDefault="003C6E9A" w:rsidP="00E5427F">
            <w:pPr>
              <w:suppressAutoHyphens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92 678 830</w:t>
            </w:r>
          </w:p>
          <w:p w:rsidR="00D7793B" w:rsidRPr="00B9788E" w:rsidRDefault="00D7793B" w:rsidP="00E5427F">
            <w:pPr>
              <w:suppressAutoHyphens/>
              <w:jc w:val="center"/>
              <w:rPr>
                <w:rFonts w:asciiTheme="majorHAnsi" w:hAnsiTheme="majorHAnsi"/>
              </w:rPr>
            </w:pPr>
          </w:p>
        </w:tc>
        <w:tc>
          <w:tcPr>
            <w:tcW w:w="1617" w:type="dxa"/>
          </w:tcPr>
          <w:p w:rsidR="00D7793B" w:rsidRPr="00B9788E" w:rsidRDefault="003C6E9A" w:rsidP="00E5427F">
            <w:pPr>
              <w:suppressAutoHyphens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10 014 132</w:t>
            </w:r>
          </w:p>
        </w:tc>
        <w:tc>
          <w:tcPr>
            <w:tcW w:w="1525" w:type="dxa"/>
          </w:tcPr>
          <w:p w:rsidR="00D7793B" w:rsidRPr="00B9788E" w:rsidRDefault="00C95992" w:rsidP="00662AD1">
            <w:pPr>
              <w:suppressAutoHyphens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102 692 963</w:t>
            </w:r>
          </w:p>
        </w:tc>
      </w:tr>
      <w:tr w:rsidR="00375A95" w:rsidRPr="00B9788E" w:rsidTr="00761959">
        <w:trPr>
          <w:trHeight w:val="416"/>
        </w:trPr>
        <w:tc>
          <w:tcPr>
            <w:tcW w:w="3611" w:type="dxa"/>
          </w:tcPr>
          <w:p w:rsidR="00D7793B" w:rsidRPr="00B9788E" w:rsidRDefault="00D7793B" w:rsidP="00E5427F">
            <w:pPr>
              <w:suppressAutoHyphens/>
              <w:jc w:val="both"/>
              <w:rPr>
                <w:rFonts w:asciiTheme="majorHAnsi" w:hAnsiTheme="majorHAnsi"/>
              </w:rPr>
            </w:pPr>
            <w:r w:rsidRPr="00B9788E">
              <w:rPr>
                <w:rFonts w:asciiTheme="majorHAnsi" w:hAnsiTheme="majorHAnsi"/>
              </w:rPr>
              <w:t>Náklady</w:t>
            </w:r>
          </w:p>
          <w:p w:rsidR="00D7793B" w:rsidRPr="00B9788E" w:rsidRDefault="00D7793B" w:rsidP="00E5427F">
            <w:pPr>
              <w:suppressAutoHyphens/>
              <w:jc w:val="both"/>
              <w:rPr>
                <w:rFonts w:asciiTheme="majorHAnsi" w:hAnsiTheme="majorHAnsi"/>
              </w:rPr>
            </w:pPr>
          </w:p>
        </w:tc>
        <w:tc>
          <w:tcPr>
            <w:tcW w:w="1617" w:type="dxa"/>
          </w:tcPr>
          <w:p w:rsidR="00D7793B" w:rsidRPr="00B9788E" w:rsidRDefault="00C95992" w:rsidP="00662AD1">
            <w:pPr>
              <w:suppressAutoHyphens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95 325 433</w:t>
            </w:r>
          </w:p>
        </w:tc>
        <w:tc>
          <w:tcPr>
            <w:tcW w:w="1617" w:type="dxa"/>
          </w:tcPr>
          <w:p w:rsidR="00D7793B" w:rsidRPr="00B9788E" w:rsidRDefault="00C95992" w:rsidP="00E5427F">
            <w:pPr>
              <w:suppressAutoHyphens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6 730 816</w:t>
            </w:r>
          </w:p>
          <w:p w:rsidR="00D7793B" w:rsidRPr="00B9788E" w:rsidRDefault="00D7793B" w:rsidP="00E5427F">
            <w:pPr>
              <w:suppressAutoHyphens/>
              <w:jc w:val="center"/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:rsidR="00D7793B" w:rsidRPr="00B9788E" w:rsidRDefault="00C95992" w:rsidP="00662AD1">
            <w:pPr>
              <w:suppressAutoHyphens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102 056 249</w:t>
            </w:r>
          </w:p>
        </w:tc>
      </w:tr>
      <w:tr w:rsidR="00375A95" w:rsidRPr="00B9788E" w:rsidTr="00761959">
        <w:trPr>
          <w:trHeight w:val="416"/>
        </w:trPr>
        <w:tc>
          <w:tcPr>
            <w:tcW w:w="3611" w:type="dxa"/>
          </w:tcPr>
          <w:p w:rsidR="00D7793B" w:rsidRPr="00B9788E" w:rsidRDefault="00D7793B" w:rsidP="00E5427F">
            <w:pPr>
              <w:suppressAutoHyphens/>
              <w:jc w:val="both"/>
              <w:rPr>
                <w:rFonts w:asciiTheme="majorHAnsi" w:hAnsiTheme="majorHAnsi"/>
              </w:rPr>
            </w:pPr>
            <w:r w:rsidRPr="00B9788E">
              <w:rPr>
                <w:rFonts w:asciiTheme="majorHAnsi" w:hAnsiTheme="majorHAnsi"/>
              </w:rPr>
              <w:t>Daň</w:t>
            </w:r>
          </w:p>
        </w:tc>
        <w:tc>
          <w:tcPr>
            <w:tcW w:w="1617" w:type="dxa"/>
          </w:tcPr>
          <w:p w:rsidR="00D7793B" w:rsidRPr="00B9788E" w:rsidRDefault="00D7793B" w:rsidP="00E5427F">
            <w:pPr>
              <w:suppressAutoHyphens/>
              <w:jc w:val="center"/>
              <w:rPr>
                <w:rFonts w:asciiTheme="majorHAnsi" w:hAnsiTheme="majorHAnsi"/>
              </w:rPr>
            </w:pPr>
            <w:r w:rsidRPr="00B9788E">
              <w:rPr>
                <w:rFonts w:asciiTheme="majorHAnsi" w:hAnsiTheme="majorHAnsi"/>
              </w:rPr>
              <w:t xml:space="preserve">       0</w:t>
            </w:r>
          </w:p>
        </w:tc>
        <w:tc>
          <w:tcPr>
            <w:tcW w:w="1617" w:type="dxa"/>
          </w:tcPr>
          <w:p w:rsidR="00D7793B" w:rsidRPr="00B9788E" w:rsidRDefault="00D7793B" w:rsidP="00C95992">
            <w:pPr>
              <w:suppressAutoHyphens/>
              <w:jc w:val="center"/>
              <w:rPr>
                <w:rFonts w:asciiTheme="majorHAnsi" w:hAnsiTheme="majorHAnsi"/>
              </w:rPr>
            </w:pPr>
            <w:r w:rsidRPr="00B9788E">
              <w:rPr>
                <w:rFonts w:asciiTheme="majorHAnsi" w:hAnsiTheme="majorHAnsi"/>
              </w:rPr>
              <w:t xml:space="preserve"> </w:t>
            </w:r>
            <w:r w:rsidR="00C95992">
              <w:rPr>
                <w:rFonts w:asciiTheme="majorHAnsi" w:hAnsiTheme="majorHAnsi"/>
              </w:rPr>
              <w:t>615 182</w:t>
            </w:r>
          </w:p>
        </w:tc>
        <w:tc>
          <w:tcPr>
            <w:tcW w:w="1525" w:type="dxa"/>
          </w:tcPr>
          <w:p w:rsidR="00D7793B" w:rsidRPr="00B9788E" w:rsidRDefault="00D7793B" w:rsidP="00E61A0A">
            <w:pPr>
              <w:suppressAutoHyphens/>
              <w:jc w:val="center"/>
              <w:rPr>
                <w:rFonts w:asciiTheme="majorHAnsi" w:hAnsiTheme="majorHAnsi"/>
              </w:rPr>
            </w:pPr>
            <w:r w:rsidRPr="00B9788E">
              <w:rPr>
                <w:rFonts w:asciiTheme="majorHAnsi" w:hAnsiTheme="majorHAnsi"/>
              </w:rPr>
              <w:t xml:space="preserve">    </w:t>
            </w:r>
            <w:r w:rsidR="00E61A0A">
              <w:rPr>
                <w:rFonts w:asciiTheme="majorHAnsi" w:hAnsiTheme="majorHAnsi"/>
              </w:rPr>
              <w:t>615 182</w:t>
            </w:r>
          </w:p>
        </w:tc>
      </w:tr>
      <w:tr w:rsidR="00D7793B" w:rsidRPr="00B9788E" w:rsidTr="00761959">
        <w:trPr>
          <w:trHeight w:val="522"/>
        </w:trPr>
        <w:tc>
          <w:tcPr>
            <w:tcW w:w="3611" w:type="dxa"/>
          </w:tcPr>
          <w:p w:rsidR="00D7793B" w:rsidRPr="00B9788E" w:rsidRDefault="00D7793B" w:rsidP="00E5427F">
            <w:pPr>
              <w:suppressAutoHyphens/>
              <w:jc w:val="both"/>
              <w:rPr>
                <w:rFonts w:asciiTheme="majorHAnsi" w:hAnsiTheme="majorHAnsi"/>
              </w:rPr>
            </w:pPr>
            <w:r w:rsidRPr="00B9788E">
              <w:rPr>
                <w:rFonts w:asciiTheme="majorHAnsi" w:hAnsiTheme="majorHAnsi"/>
              </w:rPr>
              <w:t>Hospodársky výsledok</w:t>
            </w:r>
          </w:p>
          <w:p w:rsidR="00D7793B" w:rsidRPr="00B9788E" w:rsidRDefault="00D7793B" w:rsidP="00E5427F">
            <w:pPr>
              <w:suppressAutoHyphens/>
              <w:jc w:val="both"/>
              <w:rPr>
                <w:rFonts w:asciiTheme="majorHAnsi" w:hAnsiTheme="majorHAnsi"/>
              </w:rPr>
            </w:pPr>
            <w:r w:rsidRPr="00B9788E">
              <w:rPr>
                <w:rFonts w:asciiTheme="majorHAnsi" w:hAnsiTheme="majorHAnsi"/>
              </w:rPr>
              <w:t>po zdanení</w:t>
            </w:r>
          </w:p>
        </w:tc>
        <w:tc>
          <w:tcPr>
            <w:tcW w:w="1617" w:type="dxa"/>
          </w:tcPr>
          <w:p w:rsidR="00D7793B" w:rsidRPr="00B9788E" w:rsidRDefault="00C95992" w:rsidP="00662AD1">
            <w:pPr>
              <w:suppressAutoHyphens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-2 646 602</w:t>
            </w:r>
          </w:p>
        </w:tc>
        <w:tc>
          <w:tcPr>
            <w:tcW w:w="1617" w:type="dxa"/>
          </w:tcPr>
          <w:p w:rsidR="00D7793B" w:rsidRPr="00B9788E" w:rsidRDefault="00C95992" w:rsidP="00E5427F">
            <w:pPr>
              <w:suppressAutoHyphens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2 668 134</w:t>
            </w:r>
          </w:p>
        </w:tc>
        <w:tc>
          <w:tcPr>
            <w:tcW w:w="1525" w:type="dxa"/>
          </w:tcPr>
          <w:p w:rsidR="00D7793B" w:rsidRPr="00B9788E" w:rsidRDefault="00C95992" w:rsidP="00662AD1">
            <w:pPr>
              <w:suppressAutoHyphens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21 532</w:t>
            </w:r>
          </w:p>
        </w:tc>
      </w:tr>
    </w:tbl>
    <w:p w:rsidR="00D7793B" w:rsidRPr="00B9788E" w:rsidRDefault="00D7793B" w:rsidP="00D7793B">
      <w:pPr>
        <w:rPr>
          <w:rFonts w:asciiTheme="majorHAnsi" w:hAnsiTheme="majorHAnsi"/>
        </w:rPr>
      </w:pPr>
    </w:p>
    <w:p w:rsidR="00D7793B" w:rsidRPr="00B9788E" w:rsidRDefault="00D7793B" w:rsidP="006B6D96">
      <w:pPr>
        <w:pStyle w:val="Odsekzoznamu"/>
        <w:numPr>
          <w:ilvl w:val="0"/>
          <w:numId w:val="5"/>
        </w:numPr>
        <w:ind w:left="0" w:firstLine="0"/>
        <w:contextualSpacing/>
        <w:rPr>
          <w:rFonts w:asciiTheme="majorHAnsi" w:hAnsiTheme="majorHAnsi"/>
        </w:rPr>
      </w:pPr>
      <w:r w:rsidRPr="00B9788E">
        <w:rPr>
          <w:rFonts w:asciiTheme="majorHAnsi" w:hAnsiTheme="majorHAnsi"/>
        </w:rPr>
        <w:t>Bez sociálnej podpory študentom</w:t>
      </w:r>
    </w:p>
    <w:p w:rsidR="00BC38E1" w:rsidRPr="00B9788E" w:rsidRDefault="00BC38E1" w:rsidP="00136BA3">
      <w:pPr>
        <w:ind w:right="-347"/>
        <w:rPr>
          <w:rFonts w:asciiTheme="majorHAnsi" w:hAnsiTheme="majorHAnsi"/>
        </w:rPr>
      </w:pPr>
    </w:p>
    <w:p w:rsidR="00D7793B" w:rsidRPr="00122D61" w:rsidRDefault="00D7793B" w:rsidP="00136BA3">
      <w:pPr>
        <w:ind w:right="-347"/>
        <w:rPr>
          <w:rFonts w:asciiTheme="majorHAnsi" w:hAnsiTheme="majorHAnsi"/>
        </w:rPr>
      </w:pPr>
      <w:r w:rsidRPr="00122D61">
        <w:rPr>
          <w:rFonts w:asciiTheme="majorHAnsi" w:hAnsiTheme="majorHAnsi"/>
        </w:rPr>
        <w:t>Bez sociálnej podpory študentom dosiahla STU v roku 201</w:t>
      </w:r>
      <w:r w:rsidR="00C95992">
        <w:rPr>
          <w:rFonts w:asciiTheme="majorHAnsi" w:hAnsiTheme="majorHAnsi"/>
        </w:rPr>
        <w:t>6</w:t>
      </w:r>
      <w:r w:rsidRPr="00122D61">
        <w:rPr>
          <w:rFonts w:asciiTheme="majorHAnsi" w:hAnsiTheme="majorHAnsi"/>
        </w:rPr>
        <w:t xml:space="preserve"> </w:t>
      </w:r>
      <w:r w:rsidR="00136BA3" w:rsidRPr="00122D61">
        <w:rPr>
          <w:rFonts w:asciiTheme="majorHAnsi" w:hAnsiTheme="majorHAnsi"/>
        </w:rPr>
        <w:t>záporný h</w:t>
      </w:r>
      <w:r w:rsidRPr="00122D61">
        <w:rPr>
          <w:rFonts w:asciiTheme="majorHAnsi" w:hAnsiTheme="majorHAnsi"/>
        </w:rPr>
        <w:t xml:space="preserve">ospodársky výsledok vo </w:t>
      </w:r>
      <w:proofErr w:type="gramStart"/>
      <w:r w:rsidRPr="00122D61">
        <w:rPr>
          <w:rFonts w:asciiTheme="majorHAnsi" w:hAnsiTheme="majorHAnsi"/>
        </w:rPr>
        <w:t xml:space="preserve">výške </w:t>
      </w:r>
      <w:r w:rsidR="00136BA3" w:rsidRPr="00122D61">
        <w:rPr>
          <w:rFonts w:asciiTheme="majorHAnsi" w:hAnsiTheme="majorHAnsi"/>
        </w:rPr>
        <w:t xml:space="preserve"> </w:t>
      </w:r>
      <w:r w:rsidR="00372687" w:rsidRPr="00372687">
        <w:rPr>
          <w:rFonts w:asciiTheme="majorHAnsi" w:hAnsiTheme="majorHAnsi"/>
        </w:rPr>
        <w:t>-</w:t>
      </w:r>
      <w:proofErr w:type="gramEnd"/>
      <w:r w:rsidR="00372687" w:rsidRPr="00372687">
        <w:rPr>
          <w:rFonts w:asciiTheme="majorHAnsi" w:hAnsiTheme="majorHAnsi"/>
        </w:rPr>
        <w:t>506 437</w:t>
      </w:r>
      <w:r w:rsidR="00136BA3" w:rsidRPr="00372687">
        <w:rPr>
          <w:rFonts w:asciiTheme="majorHAnsi" w:hAnsiTheme="majorHAnsi"/>
        </w:rPr>
        <w:t xml:space="preserve"> </w:t>
      </w:r>
      <w:r w:rsidRPr="00372687">
        <w:rPr>
          <w:rFonts w:asciiTheme="majorHAnsi" w:hAnsiTheme="majorHAnsi"/>
        </w:rPr>
        <w:t>EUR,</w:t>
      </w:r>
      <w:r w:rsidRPr="00122D61">
        <w:rPr>
          <w:rFonts w:asciiTheme="majorHAnsi" w:hAnsiTheme="majorHAnsi"/>
        </w:rPr>
        <w:t xml:space="preserve">  pričom náklady na hlavnej činnosti sú vo </w:t>
      </w:r>
      <w:r w:rsidRPr="00372687">
        <w:rPr>
          <w:rFonts w:asciiTheme="majorHAnsi" w:hAnsiTheme="majorHAnsi"/>
        </w:rPr>
        <w:t>výške</w:t>
      </w:r>
      <w:r w:rsidR="00DB290F" w:rsidRPr="00372687">
        <w:rPr>
          <w:rFonts w:asciiTheme="majorHAnsi" w:hAnsiTheme="majorHAnsi"/>
        </w:rPr>
        <w:t xml:space="preserve"> </w:t>
      </w:r>
      <w:r w:rsidRPr="00372687">
        <w:rPr>
          <w:rFonts w:asciiTheme="majorHAnsi" w:hAnsiTheme="majorHAnsi"/>
        </w:rPr>
        <w:t xml:space="preserve"> </w:t>
      </w:r>
      <w:r w:rsidR="00372687" w:rsidRPr="00372687">
        <w:rPr>
          <w:rFonts w:asciiTheme="majorHAnsi" w:hAnsiTheme="majorHAnsi"/>
        </w:rPr>
        <w:t xml:space="preserve">  86 650 159</w:t>
      </w:r>
      <w:r w:rsidR="00DB290F" w:rsidRPr="00372687">
        <w:rPr>
          <w:rFonts w:asciiTheme="majorHAnsi" w:hAnsiTheme="majorHAnsi"/>
        </w:rPr>
        <w:t xml:space="preserve"> </w:t>
      </w:r>
      <w:r w:rsidRPr="00372687">
        <w:rPr>
          <w:rFonts w:asciiTheme="majorHAnsi" w:hAnsiTheme="majorHAnsi"/>
        </w:rPr>
        <w:t xml:space="preserve"> EUR a výnosy na hlavnej činnosti predstavujú </w:t>
      </w:r>
      <w:r w:rsidR="00372687" w:rsidRPr="00372687">
        <w:rPr>
          <w:rFonts w:asciiTheme="majorHAnsi" w:hAnsiTheme="majorHAnsi"/>
        </w:rPr>
        <w:t>83 475 588</w:t>
      </w:r>
      <w:r w:rsidRPr="00372687">
        <w:rPr>
          <w:rFonts w:asciiTheme="majorHAnsi" w:hAnsiTheme="majorHAnsi"/>
        </w:rPr>
        <w:t>.</w:t>
      </w:r>
    </w:p>
    <w:p w:rsidR="00D7793B" w:rsidRDefault="00D7793B" w:rsidP="00D7793B">
      <w:pPr>
        <w:rPr>
          <w:rFonts w:asciiTheme="majorHAnsi" w:hAnsiTheme="majorHAnsi"/>
        </w:rPr>
      </w:pPr>
    </w:p>
    <w:p w:rsidR="001C43F6" w:rsidRPr="00122D61" w:rsidRDefault="001C43F6" w:rsidP="00D7793B">
      <w:pPr>
        <w:rPr>
          <w:rFonts w:asciiTheme="majorHAnsi" w:hAnsiTheme="majorHAnsi"/>
        </w:rPr>
      </w:pPr>
    </w:p>
    <w:p w:rsidR="00D7793B" w:rsidRPr="00122D61" w:rsidRDefault="00D7793B" w:rsidP="00D7793B">
      <w:pPr>
        <w:rPr>
          <w:rFonts w:asciiTheme="majorHAnsi" w:hAnsiTheme="majorHAnsi"/>
        </w:rPr>
      </w:pPr>
      <w:r w:rsidRPr="00122D61">
        <w:rPr>
          <w:rFonts w:asciiTheme="majorHAnsi" w:hAnsiTheme="majorHAnsi"/>
        </w:rPr>
        <w:t>Tabuľka č. 2: Hospodársky výsledok STU bez sociálnej podpory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1"/>
        <w:gridCol w:w="1617"/>
        <w:gridCol w:w="1617"/>
        <w:gridCol w:w="1525"/>
      </w:tblGrid>
      <w:tr w:rsidR="00375A95" w:rsidRPr="00122D61" w:rsidTr="00122D61">
        <w:trPr>
          <w:trHeight w:val="651"/>
        </w:trPr>
        <w:tc>
          <w:tcPr>
            <w:tcW w:w="3611" w:type="dxa"/>
          </w:tcPr>
          <w:p w:rsidR="00D7793B" w:rsidRPr="00122D61" w:rsidRDefault="00D7793B" w:rsidP="00E5427F">
            <w:pPr>
              <w:suppressAutoHyphens/>
              <w:jc w:val="both"/>
              <w:rPr>
                <w:rFonts w:asciiTheme="majorHAnsi" w:hAnsiTheme="majorHAnsi"/>
              </w:rPr>
            </w:pPr>
          </w:p>
        </w:tc>
        <w:tc>
          <w:tcPr>
            <w:tcW w:w="1617" w:type="dxa"/>
          </w:tcPr>
          <w:p w:rsidR="00D7793B" w:rsidRPr="00122D61" w:rsidRDefault="00D7793B" w:rsidP="00E5427F">
            <w:pPr>
              <w:suppressAutoHyphens/>
              <w:ind w:left="-250" w:firstLine="250"/>
              <w:jc w:val="center"/>
              <w:rPr>
                <w:rFonts w:asciiTheme="majorHAnsi" w:hAnsiTheme="majorHAnsi"/>
              </w:rPr>
            </w:pPr>
            <w:r w:rsidRPr="00122D61">
              <w:rPr>
                <w:rFonts w:asciiTheme="majorHAnsi" w:hAnsiTheme="majorHAnsi"/>
              </w:rPr>
              <w:t>Hlavná</w:t>
            </w:r>
            <w:r w:rsidR="00190FAB">
              <w:rPr>
                <w:rFonts w:asciiTheme="majorHAnsi" w:hAnsiTheme="majorHAnsi"/>
              </w:rPr>
              <w:t xml:space="preserve"> nezdaňovaná</w:t>
            </w:r>
          </w:p>
          <w:p w:rsidR="00D7793B" w:rsidRPr="00122D61" w:rsidRDefault="00D7793B" w:rsidP="00E5427F">
            <w:pPr>
              <w:suppressAutoHyphens/>
              <w:ind w:left="-250" w:firstLine="250"/>
              <w:jc w:val="center"/>
              <w:rPr>
                <w:rFonts w:asciiTheme="majorHAnsi" w:hAnsiTheme="majorHAnsi"/>
              </w:rPr>
            </w:pPr>
            <w:r w:rsidRPr="00122D61">
              <w:rPr>
                <w:rFonts w:asciiTheme="majorHAnsi" w:hAnsiTheme="majorHAnsi"/>
              </w:rPr>
              <w:t>činnosť</w:t>
            </w:r>
          </w:p>
        </w:tc>
        <w:tc>
          <w:tcPr>
            <w:tcW w:w="1617" w:type="dxa"/>
          </w:tcPr>
          <w:p w:rsidR="00D7793B" w:rsidRPr="00122D61" w:rsidRDefault="00190FAB" w:rsidP="00E5427F">
            <w:pPr>
              <w:suppressAutoHyphens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Zdaňovaná</w:t>
            </w:r>
          </w:p>
          <w:p w:rsidR="00D7793B" w:rsidRPr="00122D61" w:rsidRDefault="00D7793B" w:rsidP="00E5427F">
            <w:pPr>
              <w:suppressAutoHyphens/>
              <w:jc w:val="center"/>
              <w:rPr>
                <w:rFonts w:asciiTheme="majorHAnsi" w:hAnsiTheme="majorHAnsi"/>
              </w:rPr>
            </w:pPr>
            <w:r w:rsidRPr="00122D61">
              <w:rPr>
                <w:rFonts w:asciiTheme="majorHAnsi" w:hAnsiTheme="majorHAnsi"/>
              </w:rPr>
              <w:t>činnosť</w:t>
            </w:r>
          </w:p>
        </w:tc>
        <w:tc>
          <w:tcPr>
            <w:tcW w:w="1525" w:type="dxa"/>
          </w:tcPr>
          <w:p w:rsidR="00D7793B" w:rsidRPr="00122D61" w:rsidRDefault="00D7793B" w:rsidP="00E5427F">
            <w:pPr>
              <w:suppressAutoHyphens/>
              <w:jc w:val="center"/>
              <w:rPr>
                <w:rFonts w:asciiTheme="majorHAnsi" w:hAnsiTheme="majorHAnsi"/>
              </w:rPr>
            </w:pPr>
            <w:r w:rsidRPr="00122D61">
              <w:rPr>
                <w:rFonts w:asciiTheme="majorHAnsi" w:hAnsiTheme="majorHAnsi"/>
              </w:rPr>
              <w:t>Spolu</w:t>
            </w:r>
          </w:p>
        </w:tc>
      </w:tr>
      <w:tr w:rsidR="00375A95" w:rsidRPr="00122D61" w:rsidTr="00122D61">
        <w:trPr>
          <w:trHeight w:val="416"/>
        </w:trPr>
        <w:tc>
          <w:tcPr>
            <w:tcW w:w="3611" w:type="dxa"/>
          </w:tcPr>
          <w:p w:rsidR="00D7793B" w:rsidRPr="00122D61" w:rsidRDefault="00D7793B" w:rsidP="00E5427F">
            <w:pPr>
              <w:suppressAutoHyphens/>
              <w:jc w:val="both"/>
              <w:rPr>
                <w:rFonts w:asciiTheme="majorHAnsi" w:hAnsiTheme="majorHAnsi"/>
              </w:rPr>
            </w:pPr>
            <w:r w:rsidRPr="00122D61">
              <w:rPr>
                <w:rFonts w:asciiTheme="majorHAnsi" w:hAnsiTheme="majorHAnsi"/>
              </w:rPr>
              <w:t>Výnosy</w:t>
            </w:r>
          </w:p>
          <w:p w:rsidR="00D7793B" w:rsidRPr="00122D61" w:rsidRDefault="00D7793B" w:rsidP="00E5427F">
            <w:pPr>
              <w:suppressAutoHyphens/>
              <w:jc w:val="both"/>
              <w:rPr>
                <w:rFonts w:asciiTheme="majorHAnsi" w:hAnsiTheme="majorHAnsi"/>
              </w:rPr>
            </w:pPr>
          </w:p>
        </w:tc>
        <w:tc>
          <w:tcPr>
            <w:tcW w:w="1617" w:type="dxa"/>
          </w:tcPr>
          <w:p w:rsidR="00D7793B" w:rsidRPr="00122D61" w:rsidRDefault="00E61A0A" w:rsidP="00662AD1">
            <w:pPr>
              <w:suppressAutoHyphens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83 475 588</w:t>
            </w:r>
          </w:p>
        </w:tc>
        <w:tc>
          <w:tcPr>
            <w:tcW w:w="1617" w:type="dxa"/>
          </w:tcPr>
          <w:p w:rsidR="00D7793B" w:rsidRPr="00122D61" w:rsidRDefault="00E61A0A" w:rsidP="00662AD1">
            <w:pPr>
              <w:suppressAutoHyphens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10 014 132</w:t>
            </w:r>
          </w:p>
        </w:tc>
        <w:tc>
          <w:tcPr>
            <w:tcW w:w="1525" w:type="dxa"/>
          </w:tcPr>
          <w:p w:rsidR="00D7793B" w:rsidRPr="00122D61" w:rsidRDefault="00E61A0A" w:rsidP="00FF6D6C">
            <w:pPr>
              <w:suppressAutoHyphens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93 489 720</w:t>
            </w:r>
            <w:r w:rsidR="00D7793B" w:rsidRPr="00122D61">
              <w:rPr>
                <w:rFonts w:asciiTheme="majorHAnsi" w:hAnsiTheme="majorHAnsi"/>
              </w:rPr>
              <w:t xml:space="preserve"> </w:t>
            </w:r>
          </w:p>
        </w:tc>
      </w:tr>
      <w:tr w:rsidR="00375A95" w:rsidRPr="00122D61" w:rsidTr="00122D61">
        <w:trPr>
          <w:trHeight w:val="416"/>
        </w:trPr>
        <w:tc>
          <w:tcPr>
            <w:tcW w:w="3611" w:type="dxa"/>
          </w:tcPr>
          <w:p w:rsidR="00D7793B" w:rsidRPr="00122D61" w:rsidRDefault="00D7793B" w:rsidP="00E5427F">
            <w:pPr>
              <w:suppressAutoHyphens/>
              <w:jc w:val="both"/>
              <w:rPr>
                <w:rFonts w:asciiTheme="majorHAnsi" w:hAnsiTheme="majorHAnsi"/>
              </w:rPr>
            </w:pPr>
            <w:r w:rsidRPr="00122D61">
              <w:rPr>
                <w:rFonts w:asciiTheme="majorHAnsi" w:hAnsiTheme="majorHAnsi"/>
              </w:rPr>
              <w:t>Náklady</w:t>
            </w:r>
          </w:p>
          <w:p w:rsidR="00D7793B" w:rsidRPr="00122D61" w:rsidRDefault="00D7793B" w:rsidP="00E5427F">
            <w:pPr>
              <w:suppressAutoHyphens/>
              <w:jc w:val="both"/>
              <w:rPr>
                <w:rFonts w:asciiTheme="majorHAnsi" w:hAnsiTheme="majorHAnsi"/>
              </w:rPr>
            </w:pPr>
          </w:p>
        </w:tc>
        <w:tc>
          <w:tcPr>
            <w:tcW w:w="1617" w:type="dxa"/>
          </w:tcPr>
          <w:p w:rsidR="00D7793B" w:rsidRPr="00122D61" w:rsidRDefault="00E61A0A" w:rsidP="00E5427F">
            <w:pPr>
              <w:suppressAutoHyphens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86 650 159</w:t>
            </w:r>
          </w:p>
        </w:tc>
        <w:tc>
          <w:tcPr>
            <w:tcW w:w="1617" w:type="dxa"/>
          </w:tcPr>
          <w:p w:rsidR="00024754" w:rsidRPr="00122D61" w:rsidRDefault="00E61A0A" w:rsidP="00024754">
            <w:pPr>
              <w:suppressAutoHyphens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6 730 816</w:t>
            </w:r>
          </w:p>
          <w:p w:rsidR="00D7793B" w:rsidRPr="00122D61" w:rsidRDefault="00D7793B" w:rsidP="00E5427F">
            <w:pPr>
              <w:suppressAutoHyphens/>
              <w:jc w:val="center"/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:rsidR="00D7793B" w:rsidRPr="00122D61" w:rsidRDefault="00E61A0A" w:rsidP="00FF6D6C">
            <w:pPr>
              <w:suppressAutoHyphens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93 380 975</w:t>
            </w:r>
          </w:p>
        </w:tc>
      </w:tr>
      <w:tr w:rsidR="00375A95" w:rsidRPr="00122D61" w:rsidTr="00122D61">
        <w:trPr>
          <w:trHeight w:val="416"/>
        </w:trPr>
        <w:tc>
          <w:tcPr>
            <w:tcW w:w="3611" w:type="dxa"/>
          </w:tcPr>
          <w:p w:rsidR="00D7793B" w:rsidRPr="00122D61" w:rsidRDefault="00D7793B" w:rsidP="00E5427F">
            <w:pPr>
              <w:suppressAutoHyphens/>
              <w:jc w:val="both"/>
              <w:rPr>
                <w:rFonts w:asciiTheme="majorHAnsi" w:hAnsiTheme="majorHAnsi"/>
              </w:rPr>
            </w:pPr>
            <w:r w:rsidRPr="00122D61">
              <w:rPr>
                <w:rFonts w:asciiTheme="majorHAnsi" w:hAnsiTheme="majorHAnsi"/>
              </w:rPr>
              <w:t>Daň</w:t>
            </w:r>
          </w:p>
        </w:tc>
        <w:tc>
          <w:tcPr>
            <w:tcW w:w="1617" w:type="dxa"/>
          </w:tcPr>
          <w:p w:rsidR="00D7793B" w:rsidRPr="00122D61" w:rsidRDefault="00D7793B" w:rsidP="00E5427F">
            <w:pPr>
              <w:suppressAutoHyphens/>
              <w:jc w:val="center"/>
              <w:rPr>
                <w:rFonts w:asciiTheme="majorHAnsi" w:hAnsiTheme="majorHAnsi"/>
              </w:rPr>
            </w:pPr>
            <w:r w:rsidRPr="00122D61">
              <w:rPr>
                <w:rFonts w:asciiTheme="majorHAnsi" w:hAnsiTheme="majorHAnsi"/>
              </w:rPr>
              <w:t xml:space="preserve">       0</w:t>
            </w:r>
          </w:p>
        </w:tc>
        <w:tc>
          <w:tcPr>
            <w:tcW w:w="1617" w:type="dxa"/>
          </w:tcPr>
          <w:p w:rsidR="00D7793B" w:rsidRPr="00122D61" w:rsidRDefault="00E61A0A" w:rsidP="00FF6D6C">
            <w:pPr>
              <w:suppressAutoHyphens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615 182</w:t>
            </w:r>
          </w:p>
        </w:tc>
        <w:tc>
          <w:tcPr>
            <w:tcW w:w="1525" w:type="dxa"/>
          </w:tcPr>
          <w:p w:rsidR="00D7793B" w:rsidRPr="00122D61" w:rsidRDefault="00E61A0A" w:rsidP="00FF6D6C">
            <w:pPr>
              <w:suppressAutoHyphens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615 182</w:t>
            </w:r>
          </w:p>
        </w:tc>
      </w:tr>
      <w:tr w:rsidR="00D7793B" w:rsidRPr="00491470" w:rsidTr="00122D61">
        <w:trPr>
          <w:trHeight w:val="522"/>
        </w:trPr>
        <w:tc>
          <w:tcPr>
            <w:tcW w:w="3611" w:type="dxa"/>
          </w:tcPr>
          <w:p w:rsidR="00D7793B" w:rsidRPr="00122D61" w:rsidRDefault="00D7793B" w:rsidP="00E5427F">
            <w:pPr>
              <w:suppressAutoHyphens/>
              <w:jc w:val="both"/>
              <w:rPr>
                <w:rFonts w:asciiTheme="majorHAnsi" w:hAnsiTheme="majorHAnsi"/>
              </w:rPr>
            </w:pPr>
            <w:r w:rsidRPr="00122D61">
              <w:rPr>
                <w:rFonts w:asciiTheme="majorHAnsi" w:hAnsiTheme="majorHAnsi"/>
              </w:rPr>
              <w:t>Hospodársky výsledok</w:t>
            </w:r>
          </w:p>
          <w:p w:rsidR="00D7793B" w:rsidRPr="00122D61" w:rsidRDefault="00D7793B" w:rsidP="00E5427F">
            <w:pPr>
              <w:suppressAutoHyphens/>
              <w:jc w:val="both"/>
              <w:rPr>
                <w:rFonts w:asciiTheme="majorHAnsi" w:hAnsiTheme="majorHAnsi"/>
              </w:rPr>
            </w:pPr>
            <w:r w:rsidRPr="00122D61">
              <w:rPr>
                <w:rFonts w:asciiTheme="majorHAnsi" w:hAnsiTheme="majorHAnsi"/>
              </w:rPr>
              <w:t>po zdanení</w:t>
            </w:r>
          </w:p>
        </w:tc>
        <w:tc>
          <w:tcPr>
            <w:tcW w:w="1617" w:type="dxa"/>
          </w:tcPr>
          <w:p w:rsidR="00D7793B" w:rsidRPr="00122D61" w:rsidRDefault="00E61A0A" w:rsidP="00DB290F">
            <w:pPr>
              <w:suppressAutoHyphens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-3 174 571</w:t>
            </w:r>
          </w:p>
        </w:tc>
        <w:tc>
          <w:tcPr>
            <w:tcW w:w="1617" w:type="dxa"/>
          </w:tcPr>
          <w:p w:rsidR="00D7793B" w:rsidRPr="00122D61" w:rsidRDefault="00E61A0A" w:rsidP="00E5427F">
            <w:pPr>
              <w:suppressAutoHyphens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2 668 134</w:t>
            </w:r>
          </w:p>
        </w:tc>
        <w:tc>
          <w:tcPr>
            <w:tcW w:w="1525" w:type="dxa"/>
          </w:tcPr>
          <w:p w:rsidR="00D7793B" w:rsidRPr="00122D61" w:rsidRDefault="00E61A0A" w:rsidP="00DB290F">
            <w:pPr>
              <w:suppressAutoHyphens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-506 437</w:t>
            </w:r>
          </w:p>
        </w:tc>
      </w:tr>
    </w:tbl>
    <w:p w:rsidR="00BC38E1" w:rsidRPr="00491470" w:rsidRDefault="00BC38E1" w:rsidP="00BC38E1">
      <w:pPr>
        <w:pStyle w:val="Odsekzoznamu"/>
        <w:ind w:left="0"/>
        <w:contextualSpacing/>
        <w:rPr>
          <w:rFonts w:asciiTheme="majorHAnsi" w:hAnsiTheme="majorHAnsi"/>
          <w:highlight w:val="yellow"/>
        </w:rPr>
      </w:pPr>
    </w:p>
    <w:p w:rsidR="00D7793B" w:rsidRPr="00196152" w:rsidRDefault="00D7793B" w:rsidP="006B6D96">
      <w:pPr>
        <w:pStyle w:val="Odsekzoznamu"/>
        <w:numPr>
          <w:ilvl w:val="0"/>
          <w:numId w:val="5"/>
        </w:numPr>
        <w:ind w:left="0" w:firstLine="0"/>
        <w:contextualSpacing/>
        <w:rPr>
          <w:rFonts w:asciiTheme="majorHAnsi" w:hAnsiTheme="majorHAnsi"/>
        </w:rPr>
      </w:pPr>
      <w:r w:rsidRPr="00196152">
        <w:rPr>
          <w:rFonts w:asciiTheme="majorHAnsi" w:hAnsiTheme="majorHAnsi"/>
        </w:rPr>
        <w:t>Sociálna podpora študentom</w:t>
      </w:r>
    </w:p>
    <w:p w:rsidR="00D7793B" w:rsidRPr="00196152" w:rsidRDefault="00D7793B" w:rsidP="00D7793B">
      <w:pPr>
        <w:pStyle w:val="Odsekzoznamu"/>
        <w:ind w:left="0"/>
        <w:rPr>
          <w:rFonts w:asciiTheme="majorHAnsi" w:hAnsiTheme="majorHAnsi"/>
        </w:rPr>
      </w:pPr>
    </w:p>
    <w:p w:rsidR="00170A1F" w:rsidRDefault="00D7793B" w:rsidP="00D7793B">
      <w:pPr>
        <w:pStyle w:val="Odsekzoznamu"/>
        <w:ind w:left="0"/>
        <w:rPr>
          <w:rFonts w:asciiTheme="majorHAnsi" w:hAnsiTheme="majorHAnsi"/>
        </w:rPr>
      </w:pPr>
      <w:r w:rsidRPr="00196152">
        <w:rPr>
          <w:rFonts w:asciiTheme="majorHAnsi" w:hAnsiTheme="majorHAnsi"/>
        </w:rPr>
        <w:t xml:space="preserve">Sociálna podpora študentom </w:t>
      </w:r>
      <w:r w:rsidR="008D781A">
        <w:rPr>
          <w:rFonts w:asciiTheme="majorHAnsi" w:hAnsiTheme="majorHAnsi"/>
        </w:rPr>
        <w:t xml:space="preserve">  zmysle metodiky k výročnej správy </w:t>
      </w:r>
      <w:r w:rsidRPr="00196152">
        <w:rPr>
          <w:rFonts w:asciiTheme="majorHAnsi" w:hAnsiTheme="majorHAnsi"/>
        </w:rPr>
        <w:t xml:space="preserve">zahŕňa </w:t>
      </w:r>
      <w:r w:rsidR="00170A1F">
        <w:rPr>
          <w:rFonts w:asciiTheme="majorHAnsi" w:hAnsiTheme="majorHAnsi"/>
        </w:rPr>
        <w:t xml:space="preserve">sociálne a motivačné štipendiá poskytované podľa zákona zo štátneho rozpočtu, príspevok na ubytovanie a stravovanie študentov, finančnú podporu športových klubov a telovýchovných jednôt </w:t>
      </w:r>
      <w:r w:rsidR="0022723B">
        <w:rPr>
          <w:rFonts w:asciiTheme="majorHAnsi" w:hAnsiTheme="majorHAnsi"/>
        </w:rPr>
        <w:t>a</w:t>
      </w:r>
      <w:r w:rsidR="00170A1F">
        <w:rPr>
          <w:rFonts w:asciiTheme="majorHAnsi" w:hAnsiTheme="majorHAnsi"/>
        </w:rPr>
        <w:t> </w:t>
      </w:r>
      <w:r w:rsidR="0022723B">
        <w:rPr>
          <w:rFonts w:asciiTheme="majorHAnsi" w:hAnsiTheme="majorHAnsi"/>
        </w:rPr>
        <w:t>umeleck</w:t>
      </w:r>
      <w:r w:rsidR="00170A1F">
        <w:rPr>
          <w:rFonts w:asciiTheme="majorHAnsi" w:hAnsiTheme="majorHAnsi"/>
        </w:rPr>
        <w:t>ých súborov.</w:t>
      </w:r>
    </w:p>
    <w:p w:rsidR="00D7793B" w:rsidRPr="00196152" w:rsidRDefault="00122D61" w:rsidP="00D7793B">
      <w:pPr>
        <w:pStyle w:val="Odsekzoznamu"/>
        <w:ind w:left="0"/>
        <w:rPr>
          <w:rFonts w:asciiTheme="majorHAnsi" w:hAnsiTheme="majorHAnsi"/>
        </w:rPr>
      </w:pPr>
      <w:r w:rsidRPr="00196152">
        <w:rPr>
          <w:rFonts w:asciiTheme="majorHAnsi" w:hAnsiTheme="majorHAnsi"/>
        </w:rPr>
        <w:t xml:space="preserve"> </w:t>
      </w:r>
      <w:r w:rsidR="00D7793B" w:rsidRPr="00196152">
        <w:rPr>
          <w:rFonts w:asciiTheme="majorHAnsi" w:hAnsiTheme="majorHAnsi"/>
        </w:rPr>
        <w:t xml:space="preserve"> </w:t>
      </w:r>
    </w:p>
    <w:p w:rsidR="00D7793B" w:rsidRPr="00196152" w:rsidRDefault="00D7793B" w:rsidP="00D7793B">
      <w:pPr>
        <w:pStyle w:val="Odsekzoznamu"/>
        <w:ind w:left="0"/>
        <w:rPr>
          <w:rFonts w:asciiTheme="majorHAnsi" w:hAnsiTheme="majorHAnsi"/>
        </w:rPr>
      </w:pPr>
      <w:r w:rsidRPr="00196152">
        <w:rPr>
          <w:rFonts w:asciiTheme="majorHAnsi" w:hAnsiTheme="majorHAnsi"/>
        </w:rPr>
        <w:lastRenderedPageBreak/>
        <w:t>Súhrnný prehľad o hospodárení v tejto oblasti poskytuje nasledovná tabuľka:</w:t>
      </w:r>
    </w:p>
    <w:p w:rsidR="00B9788E" w:rsidRPr="00196152" w:rsidRDefault="00B9788E" w:rsidP="00D7793B">
      <w:pPr>
        <w:pStyle w:val="Odsekzoznamu"/>
        <w:ind w:left="0"/>
        <w:rPr>
          <w:rFonts w:asciiTheme="majorHAnsi" w:hAnsiTheme="majorHAnsi"/>
        </w:rPr>
      </w:pPr>
    </w:p>
    <w:p w:rsidR="00D7793B" w:rsidRPr="00196152" w:rsidRDefault="00D7793B" w:rsidP="00D7793B">
      <w:pPr>
        <w:pStyle w:val="Odsekzoznamu"/>
        <w:ind w:left="0"/>
        <w:rPr>
          <w:rFonts w:asciiTheme="majorHAnsi" w:hAnsiTheme="majorHAnsi"/>
        </w:rPr>
      </w:pPr>
      <w:r w:rsidRPr="00196152">
        <w:rPr>
          <w:rFonts w:asciiTheme="majorHAnsi" w:hAnsiTheme="majorHAnsi"/>
        </w:rPr>
        <w:t>Tabuľka č. 3: Hospodársky výsledok v  oblasti sociálnej podpory študentom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093"/>
        <w:gridCol w:w="1984"/>
        <w:gridCol w:w="2694"/>
      </w:tblGrid>
      <w:tr w:rsidR="00375A95" w:rsidRPr="00196152" w:rsidTr="00E5427F">
        <w:tc>
          <w:tcPr>
            <w:tcW w:w="2093" w:type="dxa"/>
          </w:tcPr>
          <w:p w:rsidR="00D7793B" w:rsidRPr="00196152" w:rsidRDefault="00D7793B" w:rsidP="00E5427F">
            <w:pPr>
              <w:pStyle w:val="Odsekzoznamu"/>
              <w:ind w:left="0"/>
              <w:rPr>
                <w:rFonts w:asciiTheme="majorHAnsi" w:hAnsiTheme="majorHAnsi"/>
              </w:rPr>
            </w:pPr>
            <w:r w:rsidRPr="00196152">
              <w:rPr>
                <w:rFonts w:asciiTheme="majorHAnsi" w:hAnsiTheme="majorHAnsi"/>
              </w:rPr>
              <w:t>Výnosy</w:t>
            </w:r>
          </w:p>
        </w:tc>
        <w:tc>
          <w:tcPr>
            <w:tcW w:w="1984" w:type="dxa"/>
          </w:tcPr>
          <w:p w:rsidR="00D7793B" w:rsidRPr="00196152" w:rsidRDefault="00D7793B" w:rsidP="00E5427F">
            <w:pPr>
              <w:pStyle w:val="Odsekzoznamu"/>
              <w:ind w:left="0"/>
              <w:rPr>
                <w:rFonts w:asciiTheme="majorHAnsi" w:hAnsiTheme="majorHAnsi"/>
              </w:rPr>
            </w:pPr>
            <w:r w:rsidRPr="00196152">
              <w:rPr>
                <w:rFonts w:asciiTheme="majorHAnsi" w:hAnsiTheme="majorHAnsi"/>
              </w:rPr>
              <w:t>Náklady</w:t>
            </w:r>
          </w:p>
        </w:tc>
        <w:tc>
          <w:tcPr>
            <w:tcW w:w="2694" w:type="dxa"/>
          </w:tcPr>
          <w:p w:rsidR="00D7793B" w:rsidRPr="00196152" w:rsidRDefault="00D7793B" w:rsidP="00E5427F">
            <w:pPr>
              <w:pStyle w:val="Odsekzoznamu"/>
              <w:ind w:left="0"/>
              <w:rPr>
                <w:rFonts w:asciiTheme="majorHAnsi" w:hAnsiTheme="majorHAnsi"/>
              </w:rPr>
            </w:pPr>
            <w:r w:rsidRPr="00196152">
              <w:rPr>
                <w:rFonts w:asciiTheme="majorHAnsi" w:hAnsiTheme="majorHAnsi"/>
              </w:rPr>
              <w:t>Hospodársky výsledok</w:t>
            </w:r>
          </w:p>
        </w:tc>
      </w:tr>
      <w:tr w:rsidR="00D7793B" w:rsidRPr="00B9788E" w:rsidTr="00E5427F">
        <w:tc>
          <w:tcPr>
            <w:tcW w:w="2093" w:type="dxa"/>
          </w:tcPr>
          <w:p w:rsidR="00D7793B" w:rsidRPr="00196152" w:rsidRDefault="00E61A0A" w:rsidP="00E5427F">
            <w:pPr>
              <w:pStyle w:val="Odsekzoznamu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9 203 242</w:t>
            </w:r>
          </w:p>
        </w:tc>
        <w:tc>
          <w:tcPr>
            <w:tcW w:w="1984" w:type="dxa"/>
          </w:tcPr>
          <w:p w:rsidR="00D7793B" w:rsidRPr="00196152" w:rsidRDefault="00E61A0A" w:rsidP="001C51D7">
            <w:pPr>
              <w:pStyle w:val="Odsekzoznamu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8 675 274</w:t>
            </w:r>
          </w:p>
        </w:tc>
        <w:tc>
          <w:tcPr>
            <w:tcW w:w="2694" w:type="dxa"/>
          </w:tcPr>
          <w:p w:rsidR="00D7793B" w:rsidRPr="00B9788E" w:rsidRDefault="00372687" w:rsidP="00E5427F">
            <w:pPr>
              <w:pStyle w:val="Odsekzoznamu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527 968</w:t>
            </w:r>
          </w:p>
        </w:tc>
      </w:tr>
    </w:tbl>
    <w:p w:rsidR="00B9788E" w:rsidRDefault="00B9788E" w:rsidP="00B9788E">
      <w:pPr>
        <w:jc w:val="both"/>
        <w:rPr>
          <w:rFonts w:asciiTheme="majorHAnsi" w:eastAsia="Times New Roman" w:hAnsiTheme="majorHAnsi" w:cs="Times New Roman"/>
          <w:lang w:val="sk-SK" w:eastAsia="cs-CZ"/>
        </w:rPr>
      </w:pPr>
    </w:p>
    <w:p w:rsidR="008C19E2" w:rsidRPr="008D781A" w:rsidRDefault="00D7793B" w:rsidP="00B9788E">
      <w:pPr>
        <w:jc w:val="both"/>
        <w:rPr>
          <w:rFonts w:asciiTheme="majorHAnsi" w:eastAsia="Times New Roman" w:hAnsiTheme="majorHAnsi" w:cs="Times New Roman"/>
          <w:lang w:val="sk-SK" w:eastAsia="sk-SK"/>
        </w:rPr>
      </w:pPr>
      <w:r w:rsidRPr="00B9788E">
        <w:rPr>
          <w:rFonts w:asciiTheme="majorHAnsi" w:hAnsiTheme="majorHAnsi"/>
        </w:rPr>
        <w:t>Podrobnejšie členenie nákladov a výnosov je uvedené v tabuľkách 22 a 23 Výročnej správy o hospodárení za rok 201</w:t>
      </w:r>
      <w:r w:rsidR="00170A1F">
        <w:rPr>
          <w:rFonts w:asciiTheme="majorHAnsi" w:hAnsiTheme="majorHAnsi"/>
        </w:rPr>
        <w:t>6</w:t>
      </w:r>
      <w:r w:rsidRPr="00B9788E">
        <w:rPr>
          <w:rFonts w:asciiTheme="majorHAnsi" w:hAnsiTheme="majorHAnsi"/>
        </w:rPr>
        <w:t>.</w:t>
      </w:r>
      <w:r w:rsidR="008C19E2" w:rsidRPr="00B9788E">
        <w:rPr>
          <w:rFonts w:asciiTheme="majorHAnsi" w:hAnsiTheme="majorHAnsi"/>
        </w:rPr>
        <w:t xml:space="preserve"> </w:t>
      </w:r>
    </w:p>
    <w:p w:rsidR="00D7793B" w:rsidRPr="00B9788E" w:rsidRDefault="00D7793B" w:rsidP="00D7793B">
      <w:pPr>
        <w:pStyle w:val="Odsekzoznamu"/>
        <w:ind w:left="0"/>
        <w:rPr>
          <w:rFonts w:asciiTheme="majorHAnsi" w:hAnsiTheme="majorHAnsi"/>
        </w:rPr>
      </w:pPr>
    </w:p>
    <w:p w:rsidR="00D7793B" w:rsidRPr="00B9788E" w:rsidRDefault="00D7793B" w:rsidP="00D7793B">
      <w:pPr>
        <w:pStyle w:val="Odsekzoznamu"/>
        <w:ind w:left="0"/>
        <w:rPr>
          <w:rFonts w:asciiTheme="majorHAnsi" w:hAnsiTheme="majorHAnsi"/>
          <w:b/>
        </w:rPr>
      </w:pPr>
      <w:r w:rsidRPr="00B9788E">
        <w:rPr>
          <w:rFonts w:asciiTheme="majorHAnsi" w:hAnsiTheme="majorHAnsi"/>
          <w:b/>
        </w:rPr>
        <w:t>2.3 Poznámky</w:t>
      </w:r>
    </w:p>
    <w:p w:rsidR="00D7793B" w:rsidRPr="00B9788E" w:rsidRDefault="00D7793B" w:rsidP="00D7793B">
      <w:pPr>
        <w:pStyle w:val="Odsekzoznamu"/>
        <w:ind w:left="0"/>
        <w:rPr>
          <w:rFonts w:asciiTheme="majorHAnsi" w:hAnsiTheme="majorHAnsi"/>
          <w:b/>
        </w:rPr>
      </w:pPr>
    </w:p>
    <w:p w:rsidR="00D7793B" w:rsidRPr="00B9788E" w:rsidRDefault="00D7793B" w:rsidP="00D7793B">
      <w:pPr>
        <w:pStyle w:val="Odsekzoznamu"/>
        <w:ind w:left="0"/>
        <w:jc w:val="both"/>
        <w:rPr>
          <w:rFonts w:asciiTheme="majorHAnsi" w:hAnsiTheme="majorHAnsi"/>
        </w:rPr>
      </w:pPr>
      <w:r w:rsidRPr="00B9788E">
        <w:rPr>
          <w:rFonts w:asciiTheme="majorHAnsi" w:hAnsiTheme="majorHAnsi"/>
        </w:rPr>
        <w:t>Poznámky k účtovnej závierke sú spracované v súlade so všeobecne platnými právnymi  predpismi a metodickými usmerneniami pre zostavenie účtovnej závierky účtovnými   jednotkami, ktoré nie sú založené alebo zriadené za účelom podnikania.</w:t>
      </w:r>
    </w:p>
    <w:p w:rsidR="00D7793B" w:rsidRPr="00B9788E" w:rsidRDefault="00D7793B" w:rsidP="00D7793B">
      <w:pPr>
        <w:pStyle w:val="Odsekzoznamu"/>
        <w:ind w:left="0"/>
        <w:jc w:val="both"/>
        <w:rPr>
          <w:rFonts w:asciiTheme="majorHAnsi" w:hAnsiTheme="majorHAnsi"/>
        </w:rPr>
      </w:pPr>
    </w:p>
    <w:p w:rsidR="00D7793B" w:rsidRPr="00B9788E" w:rsidRDefault="00D7793B" w:rsidP="00D7793B">
      <w:pPr>
        <w:pStyle w:val="Odsekzoznamu"/>
        <w:ind w:left="0"/>
        <w:jc w:val="both"/>
        <w:rPr>
          <w:rFonts w:asciiTheme="majorHAnsi" w:hAnsiTheme="majorHAnsi"/>
        </w:rPr>
      </w:pPr>
      <w:r w:rsidRPr="00B9788E">
        <w:rPr>
          <w:rFonts w:asciiTheme="majorHAnsi" w:hAnsiTheme="majorHAnsi"/>
        </w:rPr>
        <w:t>STU k 31.12.201</w:t>
      </w:r>
      <w:r w:rsidR="00170A1F">
        <w:rPr>
          <w:rFonts w:asciiTheme="majorHAnsi" w:hAnsiTheme="majorHAnsi"/>
        </w:rPr>
        <w:t>6</w:t>
      </w:r>
      <w:r w:rsidRPr="00B9788E">
        <w:rPr>
          <w:rFonts w:asciiTheme="majorHAnsi" w:hAnsiTheme="majorHAnsi"/>
        </w:rPr>
        <w:t xml:space="preserve"> vykazovala priemerný prepočítaný počet zamestnancov </w:t>
      </w:r>
      <w:r w:rsidR="00170A1F">
        <w:rPr>
          <w:rFonts w:asciiTheme="majorHAnsi" w:hAnsiTheme="majorHAnsi"/>
        </w:rPr>
        <w:t>2 575</w:t>
      </w:r>
      <w:r w:rsidR="00840BD9">
        <w:rPr>
          <w:rFonts w:asciiTheme="majorHAnsi" w:hAnsiTheme="majorHAnsi"/>
        </w:rPr>
        <w:t xml:space="preserve"> </w:t>
      </w:r>
      <w:r w:rsidRPr="00B9788E">
        <w:rPr>
          <w:rFonts w:asciiTheme="majorHAnsi" w:hAnsiTheme="majorHAnsi"/>
        </w:rPr>
        <w:t>čo je o </w:t>
      </w:r>
      <w:r w:rsidR="00170A1F">
        <w:rPr>
          <w:rFonts w:asciiTheme="majorHAnsi" w:hAnsiTheme="majorHAnsi"/>
        </w:rPr>
        <w:t>82</w:t>
      </w:r>
      <w:r w:rsidRPr="00B9788E">
        <w:rPr>
          <w:rFonts w:asciiTheme="majorHAnsi" w:hAnsiTheme="majorHAnsi"/>
        </w:rPr>
        <w:t xml:space="preserve"> menej oproti predchádzajúcemu obdobiu.</w:t>
      </w:r>
    </w:p>
    <w:p w:rsidR="00D7793B" w:rsidRPr="00B9788E" w:rsidRDefault="00D7793B" w:rsidP="00D7793B">
      <w:pPr>
        <w:pStyle w:val="Odsekzoznamu"/>
        <w:ind w:left="0"/>
        <w:jc w:val="both"/>
        <w:rPr>
          <w:rFonts w:asciiTheme="majorHAnsi" w:hAnsiTheme="majorHAnsi"/>
        </w:rPr>
      </w:pPr>
      <w:r w:rsidRPr="00B9788E">
        <w:rPr>
          <w:rFonts w:asciiTheme="majorHAnsi" w:hAnsiTheme="majorHAnsi"/>
        </w:rPr>
        <w:t>Dlhodobý majetok obstaraný kúpou a zásoby obstarané kúpou boli oceňované obstarávacou cenou. Peňažné prostriedky, ceniny, pohľadávky a záväzky pri ich vzniku sa oceňovali  menovitou hodnotou.</w:t>
      </w:r>
    </w:p>
    <w:p w:rsidR="00D7793B" w:rsidRPr="00B9788E" w:rsidRDefault="00D7793B" w:rsidP="00D7793B">
      <w:pPr>
        <w:pStyle w:val="Odsekzoznamu"/>
        <w:ind w:left="0"/>
        <w:jc w:val="both"/>
        <w:rPr>
          <w:rFonts w:asciiTheme="majorHAnsi" w:hAnsiTheme="majorHAnsi"/>
        </w:rPr>
      </w:pPr>
      <w:r w:rsidRPr="00B9788E">
        <w:rPr>
          <w:rFonts w:asciiTheme="majorHAnsi" w:hAnsiTheme="majorHAnsi"/>
        </w:rPr>
        <w:t>Dlhodobý majetok nakúpený v rámci poskytnutia nená</w:t>
      </w:r>
      <w:r w:rsidR="00840BD9">
        <w:rPr>
          <w:rFonts w:asciiTheme="majorHAnsi" w:hAnsiTheme="majorHAnsi"/>
        </w:rPr>
        <w:t xml:space="preserve">vratného finančného príspevku </w:t>
      </w:r>
      <w:r w:rsidRPr="00B9788E">
        <w:rPr>
          <w:rFonts w:asciiTheme="majorHAnsi" w:hAnsiTheme="majorHAnsi"/>
        </w:rPr>
        <w:t xml:space="preserve">z prostriedkov štrukturálnych fondov EU bol </w:t>
      </w:r>
      <w:r w:rsidR="00840BD9">
        <w:rPr>
          <w:rFonts w:asciiTheme="majorHAnsi" w:hAnsiTheme="majorHAnsi"/>
        </w:rPr>
        <w:t xml:space="preserve">v zmysle zmlúv o poskytnutí nenávratného finančného príspevku </w:t>
      </w:r>
      <w:r w:rsidRPr="00B9788E">
        <w:rPr>
          <w:rFonts w:asciiTheme="majorHAnsi" w:hAnsiTheme="majorHAnsi"/>
        </w:rPr>
        <w:t>poistený. Ostatný majetok poistený nebol.</w:t>
      </w:r>
    </w:p>
    <w:p w:rsidR="00D7793B" w:rsidRPr="00B9788E" w:rsidRDefault="00D7793B" w:rsidP="00D7793B">
      <w:pPr>
        <w:pStyle w:val="Odsekzoznamu"/>
        <w:ind w:left="0"/>
        <w:jc w:val="both"/>
        <w:rPr>
          <w:rFonts w:asciiTheme="majorHAnsi" w:hAnsiTheme="majorHAnsi"/>
        </w:rPr>
      </w:pPr>
      <w:r w:rsidRPr="00B9788E">
        <w:rPr>
          <w:rFonts w:asciiTheme="majorHAnsi" w:hAnsiTheme="majorHAnsi"/>
        </w:rPr>
        <w:t>STU odpisovala dlhodobý majetok v zmysle odpisového plánu.</w:t>
      </w:r>
    </w:p>
    <w:p w:rsidR="00D7793B" w:rsidRPr="00B9788E" w:rsidRDefault="00D7793B" w:rsidP="00D7793B">
      <w:pPr>
        <w:pStyle w:val="Odsekzoznamu"/>
        <w:ind w:left="0"/>
        <w:rPr>
          <w:rFonts w:asciiTheme="majorHAnsi" w:hAnsiTheme="majorHAnsi"/>
        </w:rPr>
      </w:pPr>
    </w:p>
    <w:p w:rsidR="00D7793B" w:rsidRPr="00B9788E" w:rsidRDefault="00D7793B" w:rsidP="006B6D96">
      <w:pPr>
        <w:pStyle w:val="Odsekzoznamu"/>
        <w:numPr>
          <w:ilvl w:val="1"/>
          <w:numId w:val="7"/>
        </w:numPr>
        <w:ind w:left="0" w:firstLine="0"/>
        <w:contextualSpacing/>
        <w:rPr>
          <w:rFonts w:asciiTheme="majorHAnsi" w:hAnsiTheme="majorHAnsi"/>
          <w:b/>
        </w:rPr>
      </w:pPr>
      <w:r w:rsidRPr="00B9788E">
        <w:rPr>
          <w:rFonts w:asciiTheme="majorHAnsi" w:hAnsiTheme="majorHAnsi"/>
          <w:b/>
        </w:rPr>
        <w:t xml:space="preserve"> Rozbor hospodárskeho výsledku</w:t>
      </w:r>
    </w:p>
    <w:p w:rsidR="00D7793B" w:rsidRPr="00B9788E" w:rsidRDefault="00D7793B" w:rsidP="00D7793B">
      <w:pPr>
        <w:rPr>
          <w:rFonts w:asciiTheme="majorHAnsi" w:hAnsiTheme="majorHAnsi"/>
        </w:rPr>
      </w:pPr>
    </w:p>
    <w:p w:rsidR="00D7793B" w:rsidRPr="00B9788E" w:rsidRDefault="00D7793B" w:rsidP="00D7793B">
      <w:pPr>
        <w:rPr>
          <w:rFonts w:asciiTheme="majorHAnsi" w:hAnsiTheme="majorHAnsi"/>
        </w:rPr>
      </w:pPr>
      <w:r w:rsidRPr="00B9788E">
        <w:rPr>
          <w:rFonts w:asciiTheme="majorHAnsi" w:hAnsiTheme="majorHAnsi"/>
        </w:rPr>
        <w:t>Výsledkom hospodárenia STU v roku 201</w:t>
      </w:r>
      <w:r w:rsidR="00170A1F">
        <w:rPr>
          <w:rFonts w:asciiTheme="majorHAnsi" w:hAnsiTheme="majorHAnsi"/>
        </w:rPr>
        <w:t>6</w:t>
      </w:r>
      <w:r w:rsidRPr="00B9788E">
        <w:rPr>
          <w:rFonts w:asciiTheme="majorHAnsi" w:hAnsiTheme="majorHAnsi"/>
        </w:rPr>
        <w:t xml:space="preserve"> bol zisk vo výške </w:t>
      </w:r>
      <w:r w:rsidR="00170A1F">
        <w:rPr>
          <w:rFonts w:asciiTheme="majorHAnsi" w:hAnsiTheme="majorHAnsi"/>
        </w:rPr>
        <w:t>21 532,02</w:t>
      </w:r>
      <w:r w:rsidRPr="00B9788E">
        <w:rPr>
          <w:rFonts w:asciiTheme="majorHAnsi" w:hAnsiTheme="majorHAnsi"/>
        </w:rPr>
        <w:t xml:space="preserve"> EUR. </w:t>
      </w:r>
    </w:p>
    <w:p w:rsidR="00C63CB5" w:rsidRPr="00B9788E" w:rsidRDefault="00C63CB5" w:rsidP="00D7793B">
      <w:pPr>
        <w:suppressAutoHyphens/>
        <w:jc w:val="both"/>
        <w:rPr>
          <w:rFonts w:asciiTheme="majorHAnsi" w:hAnsiTheme="majorHAnsi"/>
        </w:rPr>
      </w:pPr>
    </w:p>
    <w:p w:rsidR="00C63CB5" w:rsidRPr="00B9788E" w:rsidRDefault="00D7793B" w:rsidP="00D7793B">
      <w:pPr>
        <w:suppressAutoHyphens/>
        <w:jc w:val="both"/>
        <w:rPr>
          <w:rFonts w:asciiTheme="majorHAnsi" w:hAnsiTheme="majorHAnsi"/>
        </w:rPr>
      </w:pPr>
      <w:r w:rsidRPr="00B9788E">
        <w:rPr>
          <w:rFonts w:asciiTheme="majorHAnsi" w:hAnsiTheme="majorHAnsi"/>
        </w:rPr>
        <w:t>Najdôležitejšími faktormi ovplyvňujúcimi hospodársky výsledok sú vysoké odpisy dlhodobého hmotného a nehmotného majetku</w:t>
      </w:r>
      <w:r w:rsidR="00A766FD" w:rsidRPr="00B9788E">
        <w:rPr>
          <w:rFonts w:asciiTheme="majorHAnsi" w:hAnsiTheme="majorHAnsi"/>
        </w:rPr>
        <w:t xml:space="preserve"> obstaraného z vlastných zdrojov, ktoré nie sú kryté výnosmi</w:t>
      </w:r>
      <w:r w:rsidRPr="00B9788E">
        <w:rPr>
          <w:rFonts w:asciiTheme="majorHAnsi" w:hAnsiTheme="majorHAnsi"/>
        </w:rPr>
        <w:t xml:space="preserve">. </w:t>
      </w:r>
    </w:p>
    <w:p w:rsidR="00C63CB5" w:rsidRPr="00B9788E" w:rsidRDefault="00C63CB5" w:rsidP="00D7793B">
      <w:pPr>
        <w:suppressAutoHyphens/>
        <w:jc w:val="both"/>
        <w:rPr>
          <w:rFonts w:asciiTheme="majorHAnsi" w:hAnsiTheme="majorHAnsi"/>
        </w:rPr>
      </w:pPr>
    </w:p>
    <w:p w:rsidR="00D7793B" w:rsidRDefault="00D7793B" w:rsidP="00E54F77">
      <w:pPr>
        <w:suppressAutoHyphens/>
        <w:jc w:val="both"/>
        <w:rPr>
          <w:rFonts w:asciiTheme="majorHAnsi" w:hAnsiTheme="majorHAnsi"/>
        </w:rPr>
      </w:pPr>
      <w:r w:rsidRPr="00B9788E">
        <w:rPr>
          <w:rFonts w:asciiTheme="majorHAnsi" w:hAnsiTheme="majorHAnsi"/>
        </w:rPr>
        <w:t>Hospodárenie jednotlivých súčastí STU bolo pravidelne sledované a v priebehu roka boli operatívne prijímané rozhodnutia na odstránenie nepriaznivých vplyvov na hospodárenie STU.</w:t>
      </w:r>
    </w:p>
    <w:p w:rsidR="00D7793B" w:rsidRPr="00365D0F" w:rsidRDefault="00D7793B" w:rsidP="00D7793B">
      <w:pPr>
        <w:pStyle w:val="Nadpis1"/>
        <w:suppressAutoHyphens/>
        <w:rPr>
          <w:rFonts w:asciiTheme="majorHAnsi" w:hAnsiTheme="majorHAnsi" w:cs="Times New Roman"/>
          <w:sz w:val="28"/>
          <w:szCs w:val="28"/>
          <w:lang w:val="cs-CZ"/>
        </w:rPr>
      </w:pPr>
      <w:r w:rsidRPr="00365D0F">
        <w:rPr>
          <w:rFonts w:asciiTheme="majorHAnsi" w:hAnsiTheme="majorHAnsi" w:cs="Times New Roman"/>
          <w:sz w:val="28"/>
          <w:szCs w:val="28"/>
          <w:lang w:val="cs-CZ"/>
        </w:rPr>
        <w:t>3.</w:t>
      </w:r>
      <w:r w:rsidRPr="00365D0F">
        <w:rPr>
          <w:rFonts w:asciiTheme="majorHAnsi" w:hAnsiTheme="majorHAnsi" w:cs="Times New Roman"/>
          <w:sz w:val="28"/>
          <w:szCs w:val="28"/>
          <w:lang w:val="cs-CZ"/>
        </w:rPr>
        <w:tab/>
        <w:t xml:space="preserve">Analýza </w:t>
      </w:r>
      <w:r w:rsidR="001337F1" w:rsidRPr="00365D0F">
        <w:rPr>
          <w:rFonts w:asciiTheme="majorHAnsi" w:hAnsiTheme="majorHAnsi" w:cs="Times New Roman"/>
          <w:sz w:val="28"/>
          <w:szCs w:val="28"/>
          <w:lang w:val="cs-CZ"/>
        </w:rPr>
        <w:t xml:space="preserve">príjmov a výnosov    </w:t>
      </w:r>
    </w:p>
    <w:p w:rsidR="001337F1" w:rsidRPr="00A811C0" w:rsidRDefault="001337F1" w:rsidP="00D7793B">
      <w:pPr>
        <w:pStyle w:val="Pta"/>
        <w:rPr>
          <w:rFonts w:asciiTheme="majorHAnsi" w:hAnsiTheme="majorHAnsi"/>
          <w:b/>
        </w:rPr>
      </w:pPr>
    </w:p>
    <w:p w:rsidR="00D7793B" w:rsidRPr="00A811C0" w:rsidRDefault="00D7793B" w:rsidP="006B6D96">
      <w:pPr>
        <w:pStyle w:val="Odsekzoznamu"/>
        <w:keepLines/>
        <w:widowControl w:val="0"/>
        <w:numPr>
          <w:ilvl w:val="0"/>
          <w:numId w:val="4"/>
        </w:numPr>
        <w:tabs>
          <w:tab w:val="left" w:pos="8460"/>
        </w:tabs>
        <w:suppressAutoHyphens/>
        <w:ind w:right="51"/>
        <w:contextualSpacing/>
        <w:jc w:val="both"/>
        <w:rPr>
          <w:rFonts w:asciiTheme="majorHAnsi" w:hAnsiTheme="majorHAnsi"/>
        </w:rPr>
      </w:pPr>
      <w:r w:rsidRPr="00A811C0">
        <w:rPr>
          <w:rFonts w:asciiTheme="majorHAnsi" w:hAnsiTheme="majorHAnsi"/>
          <w:u w:val="single"/>
        </w:rPr>
        <w:t>Príjmy z dotácií zo štátneho rozpočtu z kapitoly MŠVVaŠ SR poskytnuté v rámci dotačnej zmluvy</w:t>
      </w:r>
      <w:r w:rsidRPr="00A811C0">
        <w:rPr>
          <w:rFonts w:asciiTheme="majorHAnsi" w:hAnsiTheme="majorHAnsi"/>
        </w:rPr>
        <w:t xml:space="preserve"> </w:t>
      </w:r>
    </w:p>
    <w:p w:rsidR="00D7793B" w:rsidRPr="004E7DDB" w:rsidRDefault="00D7793B" w:rsidP="00DA56F5">
      <w:pPr>
        <w:ind w:left="709" w:hanging="1"/>
        <w:jc w:val="both"/>
        <w:rPr>
          <w:rFonts w:asciiTheme="majorHAnsi" w:hAnsiTheme="majorHAnsi"/>
        </w:rPr>
      </w:pPr>
      <w:r w:rsidRPr="004E7DDB">
        <w:rPr>
          <w:rFonts w:asciiTheme="majorHAnsi" w:hAnsiTheme="majorHAnsi"/>
        </w:rPr>
        <w:t>Na základe dotačnej zmluvy bola v roku 201</w:t>
      </w:r>
      <w:r w:rsidR="00E54F77">
        <w:rPr>
          <w:rFonts w:asciiTheme="majorHAnsi" w:hAnsiTheme="majorHAnsi"/>
        </w:rPr>
        <w:t>6</w:t>
      </w:r>
      <w:r w:rsidRPr="004E7DDB">
        <w:rPr>
          <w:rFonts w:asciiTheme="majorHAnsi" w:hAnsiTheme="majorHAnsi"/>
        </w:rPr>
        <w:t xml:space="preserve"> STU poskytnutá dotácia zo štátneho rozpočtu </w:t>
      </w:r>
      <w:proofErr w:type="gramStart"/>
      <w:r w:rsidRPr="004E7DDB">
        <w:rPr>
          <w:rFonts w:asciiTheme="majorHAnsi" w:hAnsiTheme="majorHAnsi"/>
        </w:rPr>
        <w:t>v  celkovej</w:t>
      </w:r>
      <w:proofErr w:type="gramEnd"/>
      <w:r w:rsidRPr="004E7DDB">
        <w:rPr>
          <w:rFonts w:asciiTheme="majorHAnsi" w:hAnsiTheme="majorHAnsi"/>
        </w:rPr>
        <w:t xml:space="preserve"> výške</w:t>
      </w:r>
      <w:r w:rsidR="00A811C0" w:rsidRPr="004E7DDB">
        <w:rPr>
          <w:rFonts w:asciiTheme="majorHAnsi" w:hAnsiTheme="majorHAnsi"/>
        </w:rPr>
        <w:t xml:space="preserve"> </w:t>
      </w:r>
      <w:r w:rsidR="00320439">
        <w:rPr>
          <w:rFonts w:asciiTheme="majorHAnsi" w:eastAsia="Times New Roman" w:hAnsiTheme="majorHAnsi" w:cs="Times New Roman"/>
          <w:bCs/>
          <w:lang w:val="sk-SK" w:eastAsia="sk-SK"/>
        </w:rPr>
        <w:t>65 451 009</w:t>
      </w:r>
      <w:r w:rsidR="00A811C0" w:rsidRPr="004E7DDB">
        <w:rPr>
          <w:rFonts w:asciiTheme="majorHAnsi" w:eastAsia="Times New Roman" w:hAnsiTheme="majorHAnsi" w:cs="Times New Roman"/>
          <w:bCs/>
          <w:lang w:val="sk-SK" w:eastAsia="sk-SK"/>
        </w:rPr>
        <w:t xml:space="preserve"> </w:t>
      </w:r>
      <w:r w:rsidRPr="004E7DDB">
        <w:rPr>
          <w:rFonts w:asciiTheme="majorHAnsi" w:hAnsiTheme="majorHAnsi"/>
        </w:rPr>
        <w:t xml:space="preserve"> </w:t>
      </w:r>
      <w:r w:rsidRPr="004E7DDB">
        <w:rPr>
          <w:rFonts w:asciiTheme="majorHAnsi" w:hAnsiTheme="majorHAnsi"/>
          <w:bCs/>
        </w:rPr>
        <w:t>EUR</w:t>
      </w:r>
      <w:r w:rsidRPr="004E7DDB">
        <w:rPr>
          <w:rFonts w:asciiTheme="majorHAnsi" w:hAnsiTheme="majorHAnsi"/>
        </w:rPr>
        <w:t xml:space="preserve">, z toho na bežné </w:t>
      </w:r>
      <w:r w:rsidR="009D14B7">
        <w:rPr>
          <w:rFonts w:asciiTheme="majorHAnsi" w:hAnsiTheme="majorHAnsi"/>
        </w:rPr>
        <w:lastRenderedPageBreak/>
        <w:t>výdavky </w:t>
      </w:r>
      <w:r w:rsidR="00320439">
        <w:rPr>
          <w:rFonts w:asciiTheme="majorHAnsi" w:eastAsia="Times New Roman" w:hAnsiTheme="majorHAnsi" w:cs="Times New Roman"/>
          <w:bCs/>
          <w:lang w:val="sk-SK" w:eastAsia="sk-SK"/>
        </w:rPr>
        <w:t>64 684 509</w:t>
      </w:r>
      <w:r w:rsidR="00A811C0" w:rsidRPr="004E7DDB">
        <w:rPr>
          <w:rFonts w:asciiTheme="majorHAnsi" w:eastAsia="Times New Roman" w:hAnsiTheme="majorHAnsi" w:cs="Times New Roman"/>
          <w:bCs/>
          <w:lang w:val="sk-SK" w:eastAsia="sk-SK"/>
        </w:rPr>
        <w:t xml:space="preserve"> </w:t>
      </w:r>
      <w:r w:rsidRPr="004E7DDB">
        <w:rPr>
          <w:rFonts w:asciiTheme="majorHAnsi" w:hAnsiTheme="majorHAnsi"/>
        </w:rPr>
        <w:t xml:space="preserve">EUR, na kapitálové výdavky </w:t>
      </w:r>
      <w:r w:rsidR="00320439">
        <w:rPr>
          <w:rFonts w:asciiTheme="majorHAnsi" w:eastAsia="Times New Roman" w:hAnsiTheme="majorHAnsi" w:cs="Times New Roman"/>
          <w:bCs/>
          <w:lang w:val="sk-SK" w:eastAsia="sk-SK"/>
        </w:rPr>
        <w:t>766 500</w:t>
      </w:r>
      <w:r w:rsidR="00A811C0" w:rsidRPr="004E7DDB">
        <w:rPr>
          <w:rFonts w:asciiTheme="majorHAnsi" w:eastAsia="Times New Roman" w:hAnsiTheme="majorHAnsi" w:cs="Times New Roman"/>
          <w:bCs/>
          <w:lang w:val="sk-SK" w:eastAsia="sk-SK"/>
        </w:rPr>
        <w:t xml:space="preserve"> </w:t>
      </w:r>
      <w:r w:rsidRPr="004E7DDB">
        <w:rPr>
          <w:rFonts w:asciiTheme="majorHAnsi" w:hAnsiTheme="majorHAnsi"/>
        </w:rPr>
        <w:t>EUR. Z celkovej sumy bežné výdavky boli poskytnuté nasledovne:</w:t>
      </w:r>
    </w:p>
    <w:p w:rsidR="00A811C0" w:rsidRPr="004E7DDB" w:rsidRDefault="00D7793B" w:rsidP="00DA56F5">
      <w:pPr>
        <w:ind w:left="709" w:hanging="1"/>
        <w:jc w:val="both"/>
        <w:rPr>
          <w:rFonts w:asciiTheme="majorHAnsi" w:hAnsiTheme="majorHAnsi"/>
        </w:rPr>
      </w:pPr>
      <w:proofErr w:type="gramStart"/>
      <w:r w:rsidRPr="004E7DDB">
        <w:rPr>
          <w:rFonts w:asciiTheme="majorHAnsi" w:hAnsiTheme="majorHAnsi"/>
        </w:rPr>
        <w:t>aa</w:t>
      </w:r>
      <w:proofErr w:type="gramEnd"/>
      <w:r w:rsidRPr="004E7DDB">
        <w:rPr>
          <w:rFonts w:asciiTheme="majorHAnsi" w:hAnsiTheme="majorHAnsi"/>
        </w:rPr>
        <w:t>) dotácia na uskutočňovanie akretidovaných študijných programov</w:t>
      </w:r>
      <w:r w:rsidR="008F23A5" w:rsidRPr="004E7DDB">
        <w:rPr>
          <w:rFonts w:asciiTheme="majorHAnsi" w:hAnsiTheme="majorHAnsi"/>
        </w:rPr>
        <w:t xml:space="preserve">                       </w:t>
      </w:r>
      <w:r w:rsidRPr="004E7DDB">
        <w:rPr>
          <w:rFonts w:asciiTheme="majorHAnsi" w:hAnsiTheme="majorHAnsi"/>
        </w:rPr>
        <w:t xml:space="preserve"> (PP 077 11) vo výške </w:t>
      </w:r>
      <w:r w:rsidR="00320439">
        <w:rPr>
          <w:rFonts w:asciiTheme="majorHAnsi" w:eastAsia="Times New Roman" w:hAnsiTheme="majorHAnsi" w:cs="Times New Roman"/>
          <w:bCs/>
          <w:lang w:val="sk-SK" w:eastAsia="sk-SK"/>
        </w:rPr>
        <w:t>41 929 435</w:t>
      </w:r>
      <w:r w:rsidR="00A811C0" w:rsidRPr="004E7DDB">
        <w:rPr>
          <w:rFonts w:asciiTheme="majorHAnsi" w:eastAsia="Times New Roman" w:hAnsiTheme="majorHAnsi" w:cs="Times New Roman"/>
          <w:bCs/>
          <w:lang w:val="sk-SK" w:eastAsia="sk-SK"/>
        </w:rPr>
        <w:t xml:space="preserve"> </w:t>
      </w:r>
      <w:r w:rsidRPr="004E7DDB">
        <w:rPr>
          <w:rFonts w:asciiTheme="majorHAnsi" w:hAnsiTheme="majorHAnsi"/>
        </w:rPr>
        <w:t>EUR</w:t>
      </w:r>
      <w:r w:rsidR="00A811C0" w:rsidRPr="004E7DDB">
        <w:rPr>
          <w:rFonts w:asciiTheme="majorHAnsi" w:hAnsiTheme="majorHAnsi"/>
        </w:rPr>
        <w:t xml:space="preserve">  </w:t>
      </w:r>
    </w:p>
    <w:p w:rsidR="00D7793B" w:rsidRPr="004E7DDB" w:rsidRDefault="00D7793B" w:rsidP="00A811C0">
      <w:pPr>
        <w:ind w:left="709"/>
        <w:jc w:val="both"/>
        <w:rPr>
          <w:rFonts w:asciiTheme="majorHAnsi" w:hAnsiTheme="majorHAnsi"/>
        </w:rPr>
      </w:pPr>
      <w:r w:rsidRPr="004E7DDB">
        <w:rPr>
          <w:rFonts w:asciiTheme="majorHAnsi" w:hAnsiTheme="majorHAnsi"/>
        </w:rPr>
        <w:t xml:space="preserve">ab) dotácia na výskumnú, vývojovú alebo umeleckú činnosť (PP 077 12) v celkovej výške </w:t>
      </w:r>
      <w:r w:rsidR="00320439">
        <w:rPr>
          <w:rFonts w:asciiTheme="majorHAnsi" w:eastAsia="Times New Roman" w:hAnsiTheme="majorHAnsi" w:cs="Times New Roman"/>
          <w:bCs/>
          <w:lang w:val="sk-SK" w:eastAsia="sk-SK"/>
        </w:rPr>
        <w:t>15 706 980</w:t>
      </w:r>
      <w:r w:rsidR="00A811C0" w:rsidRPr="004E7DDB">
        <w:rPr>
          <w:rFonts w:asciiTheme="majorHAnsi" w:eastAsia="Times New Roman" w:hAnsiTheme="majorHAnsi" w:cs="Times New Roman"/>
          <w:bCs/>
          <w:lang w:val="sk-SK" w:eastAsia="sk-SK"/>
        </w:rPr>
        <w:t xml:space="preserve"> </w:t>
      </w:r>
      <w:r w:rsidRPr="004E7DDB">
        <w:rPr>
          <w:rFonts w:asciiTheme="majorHAnsi" w:hAnsiTheme="majorHAnsi"/>
        </w:rPr>
        <w:t>EUR</w:t>
      </w:r>
    </w:p>
    <w:p w:rsidR="00D7793B" w:rsidRPr="004E7DDB" w:rsidRDefault="00D7793B" w:rsidP="004E7DDB">
      <w:pPr>
        <w:ind w:firstLineChars="295" w:firstLine="708"/>
        <w:jc w:val="both"/>
        <w:rPr>
          <w:rFonts w:asciiTheme="majorHAnsi" w:hAnsiTheme="majorHAnsi"/>
        </w:rPr>
      </w:pPr>
      <w:r w:rsidRPr="004E7DDB">
        <w:rPr>
          <w:rFonts w:asciiTheme="majorHAnsi" w:hAnsiTheme="majorHAnsi"/>
        </w:rPr>
        <w:t xml:space="preserve">ac) dotácia na rozvoj vysokej školy (PP 077 13) vo výške </w:t>
      </w:r>
      <w:r w:rsidR="00320439">
        <w:rPr>
          <w:rFonts w:asciiTheme="majorHAnsi" w:eastAsia="Times New Roman" w:hAnsiTheme="majorHAnsi" w:cs="Times New Roman"/>
          <w:bCs/>
          <w:lang w:val="sk-SK" w:eastAsia="sk-SK"/>
        </w:rPr>
        <w:t xml:space="preserve">74 600 </w:t>
      </w:r>
      <w:r w:rsidRPr="004E7DDB">
        <w:rPr>
          <w:rFonts w:asciiTheme="majorHAnsi" w:hAnsiTheme="majorHAnsi"/>
        </w:rPr>
        <w:t>EUR</w:t>
      </w:r>
    </w:p>
    <w:p w:rsidR="00D7793B" w:rsidRPr="004E7DDB" w:rsidRDefault="00D7793B" w:rsidP="00A811C0">
      <w:pPr>
        <w:ind w:left="709"/>
        <w:jc w:val="both"/>
        <w:rPr>
          <w:rFonts w:asciiTheme="majorHAnsi" w:hAnsiTheme="majorHAnsi"/>
        </w:rPr>
      </w:pPr>
      <w:r w:rsidRPr="004E7DDB">
        <w:rPr>
          <w:rFonts w:asciiTheme="majorHAnsi" w:hAnsiTheme="majorHAnsi"/>
        </w:rPr>
        <w:t xml:space="preserve">ad) dotácia na sociálnu podporu študentov (PP 077 15) v celkovej výške                  </w:t>
      </w:r>
      <w:r w:rsidR="00320439">
        <w:rPr>
          <w:rFonts w:asciiTheme="majorHAnsi" w:eastAsia="Times New Roman" w:hAnsiTheme="majorHAnsi" w:cs="Times New Roman"/>
          <w:bCs/>
          <w:lang w:val="sk-SK" w:eastAsia="sk-SK"/>
        </w:rPr>
        <w:t>6 973 494</w:t>
      </w:r>
      <w:r w:rsidR="00A811C0" w:rsidRPr="004E7DDB">
        <w:rPr>
          <w:rFonts w:asciiTheme="majorHAnsi" w:eastAsia="Times New Roman" w:hAnsiTheme="majorHAnsi" w:cs="Times New Roman"/>
          <w:bCs/>
          <w:lang w:val="sk-SK" w:eastAsia="sk-SK"/>
        </w:rPr>
        <w:t xml:space="preserve"> </w:t>
      </w:r>
      <w:r w:rsidRPr="004E7DDB">
        <w:rPr>
          <w:rFonts w:asciiTheme="majorHAnsi" w:hAnsiTheme="majorHAnsi"/>
        </w:rPr>
        <w:t>EUR.</w:t>
      </w:r>
    </w:p>
    <w:p w:rsidR="00D7793B" w:rsidRPr="004E7DDB" w:rsidRDefault="00D7793B" w:rsidP="00727933">
      <w:pPr>
        <w:ind w:left="709"/>
        <w:jc w:val="both"/>
        <w:rPr>
          <w:rFonts w:asciiTheme="majorHAnsi" w:hAnsiTheme="majorHAnsi"/>
          <w:highlight w:val="yellow"/>
        </w:rPr>
      </w:pPr>
    </w:p>
    <w:p w:rsidR="00D7793B" w:rsidRPr="004E7DDB" w:rsidRDefault="00D7793B" w:rsidP="00D7793B">
      <w:pPr>
        <w:pStyle w:val="Odsekzoznamu"/>
        <w:keepLines/>
        <w:widowControl w:val="0"/>
        <w:tabs>
          <w:tab w:val="left" w:pos="8460"/>
        </w:tabs>
        <w:suppressAutoHyphens/>
        <w:ind w:right="51"/>
        <w:jc w:val="both"/>
        <w:rPr>
          <w:rFonts w:asciiTheme="majorHAnsi" w:hAnsiTheme="majorHAnsi"/>
        </w:rPr>
      </w:pPr>
      <w:r w:rsidRPr="004E7DDB">
        <w:rPr>
          <w:rFonts w:asciiTheme="majorHAnsi" w:hAnsiTheme="majorHAnsi"/>
        </w:rPr>
        <w:t>Podrobnejší prehľad o pridelenej dotácii tak na bežné výdavky ako aj na kapitálové výdavky dokumentuje tabuľka č. 1.</w:t>
      </w:r>
    </w:p>
    <w:p w:rsidR="006F3ABF" w:rsidRPr="00CB2C99" w:rsidRDefault="006F3ABF" w:rsidP="00D7793B">
      <w:pPr>
        <w:pStyle w:val="Odsekzoznamu"/>
        <w:keepLines/>
        <w:widowControl w:val="0"/>
        <w:tabs>
          <w:tab w:val="left" w:pos="8460"/>
        </w:tabs>
        <w:suppressAutoHyphens/>
        <w:ind w:right="51"/>
        <w:jc w:val="both"/>
        <w:rPr>
          <w:rFonts w:asciiTheme="majorHAnsi" w:hAnsiTheme="majorHAnsi"/>
          <w:highlight w:val="yellow"/>
        </w:rPr>
      </w:pPr>
    </w:p>
    <w:p w:rsidR="00A62DAB" w:rsidRPr="00A811C0" w:rsidRDefault="00A62DAB" w:rsidP="006B6D96">
      <w:pPr>
        <w:pStyle w:val="Odsekzoznamu"/>
        <w:keepLines/>
        <w:widowControl w:val="0"/>
        <w:numPr>
          <w:ilvl w:val="0"/>
          <w:numId w:val="4"/>
        </w:numPr>
        <w:suppressAutoHyphens/>
        <w:ind w:right="49"/>
        <w:contextualSpacing/>
        <w:jc w:val="both"/>
        <w:rPr>
          <w:rFonts w:asciiTheme="majorHAnsi" w:hAnsiTheme="majorHAnsi"/>
          <w:u w:val="single"/>
        </w:rPr>
      </w:pPr>
      <w:r w:rsidRPr="00A811C0">
        <w:rPr>
          <w:rFonts w:asciiTheme="majorHAnsi" w:hAnsiTheme="majorHAnsi"/>
          <w:u w:val="single"/>
        </w:rPr>
        <w:t>Príjmy z  dotácií zo štátneho rozpočtu z  kapitoly MŠ VVaŠ SR poskytnuté mimo dotačnej zmluvy.</w:t>
      </w:r>
    </w:p>
    <w:p w:rsidR="00A62DAB" w:rsidRPr="00A811C0" w:rsidRDefault="00A62DAB" w:rsidP="00A811C0">
      <w:pPr>
        <w:ind w:left="709" w:hanging="1"/>
        <w:jc w:val="both"/>
        <w:rPr>
          <w:rFonts w:asciiTheme="majorHAnsi" w:hAnsiTheme="majorHAnsi"/>
        </w:rPr>
      </w:pPr>
      <w:r w:rsidRPr="00A811C0">
        <w:rPr>
          <w:rFonts w:asciiTheme="majorHAnsi" w:hAnsiTheme="majorHAnsi"/>
        </w:rPr>
        <w:t xml:space="preserve">Mimo dotačnej zmluvy mala STU príjem zo štátneho rozpočtu v rámci kapitoly MŠVVaŠ </w:t>
      </w:r>
      <w:proofErr w:type="gramStart"/>
      <w:r w:rsidRPr="00A811C0">
        <w:rPr>
          <w:rFonts w:asciiTheme="majorHAnsi" w:hAnsiTheme="majorHAnsi"/>
        </w:rPr>
        <w:t>SR  v</w:t>
      </w:r>
      <w:proofErr w:type="gramEnd"/>
      <w:r w:rsidRPr="00A811C0">
        <w:rPr>
          <w:rFonts w:asciiTheme="majorHAnsi" w:hAnsiTheme="majorHAnsi"/>
        </w:rPr>
        <w:t xml:space="preserve">  celkovej </w:t>
      </w:r>
      <w:r w:rsidRPr="004E7DDB">
        <w:rPr>
          <w:rFonts w:asciiTheme="majorHAnsi" w:hAnsiTheme="majorHAnsi"/>
        </w:rPr>
        <w:t xml:space="preserve">výške </w:t>
      </w:r>
      <w:r w:rsidR="00320439">
        <w:rPr>
          <w:rFonts w:asciiTheme="majorHAnsi" w:eastAsia="Times New Roman" w:hAnsiTheme="majorHAnsi" w:cs="Times New Roman"/>
          <w:bCs/>
          <w:lang w:val="sk-SK" w:eastAsia="sk-SK"/>
        </w:rPr>
        <w:t>3 967 247</w:t>
      </w:r>
      <w:r w:rsidR="00A811C0" w:rsidRPr="004E7DDB">
        <w:rPr>
          <w:rFonts w:asciiTheme="majorHAnsi" w:eastAsia="Times New Roman" w:hAnsiTheme="majorHAnsi" w:cs="Times New Roman"/>
          <w:bCs/>
          <w:lang w:val="sk-SK" w:eastAsia="sk-SK"/>
        </w:rPr>
        <w:t xml:space="preserve"> </w:t>
      </w:r>
      <w:r w:rsidRPr="004E7DDB">
        <w:rPr>
          <w:rFonts w:asciiTheme="majorHAnsi" w:hAnsiTheme="majorHAnsi"/>
        </w:rPr>
        <w:t>EUR.</w:t>
      </w:r>
      <w:r w:rsidRPr="00A811C0">
        <w:rPr>
          <w:rFonts w:asciiTheme="majorHAnsi" w:hAnsiTheme="majorHAnsi"/>
        </w:rPr>
        <w:t xml:space="preserve"> Všetky finančné prostriedky boli určené na bežné výdavky. Ide o dotácie poskytnuté na riešenie výskumných projektov vrátane projektov APVV a na zabezpečenie mobilít v súlade s medzinárodnými zmluvami (dotácie na zabezpečenie štúdia a výplatu štipendií zahraničných štipendistov) Prehľad v rámci programov, podprogramov a prvkov je zobrazený </w:t>
      </w:r>
      <w:proofErr w:type="gramStart"/>
      <w:r w:rsidRPr="00A811C0">
        <w:rPr>
          <w:rFonts w:asciiTheme="majorHAnsi" w:hAnsiTheme="majorHAnsi"/>
        </w:rPr>
        <w:t>v  tabuľke</w:t>
      </w:r>
      <w:proofErr w:type="gramEnd"/>
      <w:r w:rsidRPr="00A811C0">
        <w:rPr>
          <w:rFonts w:asciiTheme="majorHAnsi" w:hAnsiTheme="majorHAnsi"/>
        </w:rPr>
        <w:t xml:space="preserve"> č. 18.</w:t>
      </w:r>
    </w:p>
    <w:p w:rsidR="00D7793B" w:rsidRPr="00A811C0" w:rsidRDefault="00D7793B" w:rsidP="00D7793B">
      <w:pPr>
        <w:keepLines/>
        <w:widowControl w:val="0"/>
        <w:suppressAutoHyphens/>
        <w:ind w:right="49"/>
        <w:jc w:val="both"/>
        <w:rPr>
          <w:rFonts w:asciiTheme="majorHAnsi" w:hAnsiTheme="majorHAnsi"/>
        </w:rPr>
      </w:pPr>
    </w:p>
    <w:p w:rsidR="00A62DAB" w:rsidRPr="005F712C" w:rsidRDefault="00A62DAB" w:rsidP="00DA56F5">
      <w:pPr>
        <w:ind w:left="709" w:hanging="1"/>
        <w:jc w:val="both"/>
        <w:rPr>
          <w:rFonts w:asciiTheme="majorHAnsi" w:hAnsiTheme="majorHAnsi"/>
        </w:rPr>
      </w:pPr>
      <w:r w:rsidRPr="00DA56F5">
        <w:rPr>
          <w:rFonts w:asciiTheme="majorHAnsi" w:hAnsiTheme="majorHAnsi"/>
          <w:u w:val="single"/>
        </w:rPr>
        <w:t xml:space="preserve">Príjmy </w:t>
      </w:r>
      <w:proofErr w:type="gramStart"/>
      <w:r w:rsidRPr="00DA56F5">
        <w:rPr>
          <w:rFonts w:asciiTheme="majorHAnsi" w:hAnsiTheme="majorHAnsi"/>
          <w:u w:val="single"/>
        </w:rPr>
        <w:t>STU  zo</w:t>
      </w:r>
      <w:proofErr w:type="gramEnd"/>
      <w:r w:rsidRPr="00DA56F5">
        <w:rPr>
          <w:rFonts w:asciiTheme="majorHAnsi" w:hAnsiTheme="majorHAnsi"/>
          <w:u w:val="single"/>
        </w:rPr>
        <w:t xml:space="preserve"> štrukturálnych fondov EÚ a  z  prostriedkov na ich spolufinancovanie z  kapitoly MŠ VVaŠ SR a z  iných kapitol štátneho rozpočtu </w:t>
      </w:r>
      <w:r w:rsidRPr="00DA56F5">
        <w:rPr>
          <w:rFonts w:asciiTheme="majorHAnsi" w:hAnsiTheme="majorHAnsi"/>
        </w:rPr>
        <w:t>v roku 201</w:t>
      </w:r>
      <w:r w:rsidR="00E54F77">
        <w:rPr>
          <w:rFonts w:asciiTheme="majorHAnsi" w:hAnsiTheme="majorHAnsi"/>
        </w:rPr>
        <w:t>6</w:t>
      </w:r>
      <w:r w:rsidRPr="00DA56F5">
        <w:rPr>
          <w:rFonts w:asciiTheme="majorHAnsi" w:hAnsiTheme="majorHAnsi"/>
        </w:rPr>
        <w:t xml:space="preserve"> boli vo výške </w:t>
      </w:r>
      <w:r w:rsidR="00320439">
        <w:rPr>
          <w:rFonts w:asciiTheme="majorHAnsi" w:eastAsia="Times New Roman" w:hAnsiTheme="majorHAnsi" w:cs="Times New Roman"/>
          <w:bCs/>
          <w:lang w:val="sk-SK" w:eastAsia="sk-SK"/>
        </w:rPr>
        <w:t>3 667 809</w:t>
      </w:r>
      <w:r w:rsidR="00A811C0" w:rsidRPr="005F712C">
        <w:rPr>
          <w:rFonts w:asciiTheme="majorHAnsi" w:eastAsia="Times New Roman" w:hAnsiTheme="majorHAnsi" w:cs="Times New Roman"/>
          <w:bCs/>
          <w:lang w:val="sk-SK" w:eastAsia="sk-SK"/>
        </w:rPr>
        <w:t xml:space="preserve"> </w:t>
      </w:r>
      <w:r w:rsidRPr="005F712C">
        <w:rPr>
          <w:rFonts w:asciiTheme="majorHAnsi" w:hAnsiTheme="majorHAnsi"/>
        </w:rPr>
        <w:t xml:space="preserve">EUR, z toho z EU </w:t>
      </w:r>
      <w:r w:rsidR="00320439">
        <w:rPr>
          <w:rFonts w:asciiTheme="majorHAnsi" w:eastAsia="Times New Roman" w:hAnsiTheme="majorHAnsi" w:cs="Times New Roman"/>
          <w:bCs/>
          <w:lang w:val="sk-SK" w:eastAsia="sk-SK"/>
        </w:rPr>
        <w:t>3 254 028</w:t>
      </w:r>
      <w:r w:rsidR="00DA56F5" w:rsidRPr="005F712C">
        <w:rPr>
          <w:rFonts w:asciiTheme="majorHAnsi" w:eastAsia="Times New Roman" w:hAnsiTheme="majorHAnsi" w:cs="Times New Roman"/>
          <w:bCs/>
          <w:lang w:val="sk-SK" w:eastAsia="sk-SK"/>
        </w:rPr>
        <w:t xml:space="preserve"> </w:t>
      </w:r>
      <w:r w:rsidRPr="005F712C">
        <w:rPr>
          <w:rFonts w:asciiTheme="majorHAnsi" w:hAnsiTheme="majorHAnsi"/>
        </w:rPr>
        <w:t xml:space="preserve">EUR, spolufinancovanie zo štátneho rozpočtu    </w:t>
      </w:r>
      <w:r w:rsidR="00320439">
        <w:rPr>
          <w:rFonts w:asciiTheme="majorHAnsi" w:eastAsia="Times New Roman" w:hAnsiTheme="majorHAnsi" w:cs="Times New Roman"/>
          <w:bCs/>
          <w:lang w:val="sk-SK" w:eastAsia="sk-SK"/>
        </w:rPr>
        <w:t>413 781</w:t>
      </w:r>
      <w:r w:rsidR="00DA56F5" w:rsidRPr="005F712C">
        <w:rPr>
          <w:rFonts w:asciiTheme="majorHAnsi" w:eastAsia="Times New Roman" w:hAnsiTheme="majorHAnsi" w:cs="Times New Roman"/>
          <w:bCs/>
          <w:lang w:val="sk-SK" w:eastAsia="sk-SK"/>
        </w:rPr>
        <w:t xml:space="preserve"> </w:t>
      </w:r>
      <w:r w:rsidRPr="005F712C">
        <w:rPr>
          <w:rFonts w:asciiTheme="majorHAnsi" w:hAnsiTheme="majorHAnsi"/>
        </w:rPr>
        <w:t xml:space="preserve">EUR . Celá dotácia bola poskytnutá z kapitoly MŠVVaŠ SR. </w:t>
      </w:r>
      <w:r w:rsidR="008A73C1" w:rsidRPr="005F712C">
        <w:rPr>
          <w:rFonts w:asciiTheme="majorHAnsi" w:hAnsiTheme="majorHAnsi"/>
        </w:rPr>
        <w:t xml:space="preserve"> Z celkovej sumy boli príjmy na kapitálové výdavky vo výške </w:t>
      </w:r>
      <w:r w:rsidR="00320439">
        <w:rPr>
          <w:rFonts w:asciiTheme="majorHAnsi" w:eastAsia="Times New Roman" w:hAnsiTheme="majorHAnsi" w:cs="Times New Roman"/>
          <w:bCs/>
          <w:lang w:val="sk-SK" w:eastAsia="sk-SK"/>
        </w:rPr>
        <w:t xml:space="preserve">1 299 </w:t>
      </w:r>
      <w:proofErr w:type="gramStart"/>
      <w:r w:rsidR="00320439">
        <w:rPr>
          <w:rFonts w:asciiTheme="majorHAnsi" w:eastAsia="Times New Roman" w:hAnsiTheme="majorHAnsi" w:cs="Times New Roman"/>
          <w:bCs/>
          <w:lang w:val="sk-SK" w:eastAsia="sk-SK"/>
        </w:rPr>
        <w:t>483</w:t>
      </w:r>
      <w:r w:rsidR="00DA56F5" w:rsidRPr="005F712C">
        <w:rPr>
          <w:rFonts w:asciiTheme="majorHAnsi" w:eastAsia="Times New Roman" w:hAnsiTheme="majorHAnsi" w:cs="Times New Roman"/>
          <w:bCs/>
          <w:lang w:val="sk-SK" w:eastAsia="sk-SK"/>
        </w:rPr>
        <w:t xml:space="preserve"> </w:t>
      </w:r>
      <w:r w:rsidR="008A73C1" w:rsidRPr="005F712C">
        <w:rPr>
          <w:rFonts w:asciiTheme="majorHAnsi" w:hAnsiTheme="majorHAnsi"/>
        </w:rPr>
        <w:t xml:space="preserve"> EUR</w:t>
      </w:r>
      <w:proofErr w:type="gramEnd"/>
      <w:r w:rsidR="008A73C1" w:rsidRPr="005F712C">
        <w:rPr>
          <w:rFonts w:asciiTheme="majorHAnsi" w:hAnsiTheme="majorHAnsi"/>
        </w:rPr>
        <w:t xml:space="preserve"> z prostriedkov EU a</w:t>
      </w:r>
      <w:r w:rsidR="00320439">
        <w:rPr>
          <w:rFonts w:asciiTheme="majorHAnsi" w:hAnsiTheme="majorHAnsi"/>
        </w:rPr>
        <w:t> </w:t>
      </w:r>
      <w:r w:rsidR="00320439">
        <w:rPr>
          <w:rFonts w:asciiTheme="majorHAnsi" w:eastAsia="Times New Roman" w:hAnsiTheme="majorHAnsi" w:cs="Times New Roman"/>
          <w:bCs/>
          <w:lang w:val="sk-SK" w:eastAsia="sk-SK"/>
        </w:rPr>
        <w:t>165 518</w:t>
      </w:r>
      <w:r w:rsidR="00DA56F5" w:rsidRPr="005F712C">
        <w:rPr>
          <w:rFonts w:asciiTheme="majorHAnsi" w:eastAsia="Times New Roman" w:hAnsiTheme="majorHAnsi" w:cs="Times New Roman"/>
          <w:bCs/>
          <w:lang w:val="sk-SK" w:eastAsia="sk-SK"/>
        </w:rPr>
        <w:t xml:space="preserve"> </w:t>
      </w:r>
      <w:r w:rsidR="008A73C1" w:rsidRPr="005F712C">
        <w:rPr>
          <w:rFonts w:asciiTheme="majorHAnsi" w:hAnsiTheme="majorHAnsi"/>
        </w:rPr>
        <w:t xml:space="preserve"> EUR predstavuje spolufinancovanie kapitálových výdavkov zo štátneho rozpočtu. </w:t>
      </w:r>
      <w:r w:rsidRPr="005F712C">
        <w:rPr>
          <w:rFonts w:asciiTheme="majorHAnsi" w:hAnsiTheme="majorHAnsi"/>
        </w:rPr>
        <w:t xml:space="preserve">Prehľad je uvedený v tabuľke </w:t>
      </w:r>
      <w:r w:rsidR="008A73C1" w:rsidRPr="005F712C">
        <w:rPr>
          <w:rFonts w:asciiTheme="majorHAnsi" w:hAnsiTheme="majorHAnsi"/>
        </w:rPr>
        <w:t xml:space="preserve">    </w:t>
      </w:r>
      <w:r w:rsidRPr="005F712C">
        <w:rPr>
          <w:rFonts w:asciiTheme="majorHAnsi" w:hAnsiTheme="majorHAnsi"/>
        </w:rPr>
        <w:t>č. 17.</w:t>
      </w:r>
    </w:p>
    <w:p w:rsidR="00DA56F5" w:rsidRPr="00DA56F5" w:rsidRDefault="00DA56F5" w:rsidP="00DA56F5">
      <w:pPr>
        <w:ind w:left="709" w:hanging="1"/>
        <w:jc w:val="both"/>
        <w:rPr>
          <w:rFonts w:asciiTheme="majorHAnsi" w:hAnsiTheme="majorHAnsi"/>
          <w:u w:val="single"/>
        </w:rPr>
      </w:pPr>
    </w:p>
    <w:p w:rsidR="00D7793B" w:rsidRPr="005519A6" w:rsidRDefault="00D7793B" w:rsidP="006B6D96">
      <w:pPr>
        <w:pStyle w:val="Odsekzoznamu"/>
        <w:numPr>
          <w:ilvl w:val="0"/>
          <w:numId w:val="4"/>
        </w:numPr>
        <w:suppressAutoHyphens/>
        <w:ind w:right="-131"/>
        <w:contextualSpacing/>
        <w:jc w:val="both"/>
        <w:rPr>
          <w:rFonts w:asciiTheme="majorHAnsi" w:hAnsiTheme="majorHAnsi"/>
          <w:u w:val="single"/>
        </w:rPr>
      </w:pPr>
      <w:r w:rsidRPr="005519A6">
        <w:rPr>
          <w:rFonts w:asciiTheme="majorHAnsi" w:hAnsiTheme="majorHAnsi"/>
          <w:u w:val="single"/>
        </w:rPr>
        <w:t>Príjmy z dotácií verejnej vysokej školy majúce charakter dotácií okrem príjmov z  dotácií z  kapitoly MŠVVaŠ SR</w:t>
      </w:r>
      <w:r w:rsidR="00A433C9">
        <w:rPr>
          <w:rFonts w:asciiTheme="majorHAnsi" w:hAnsiTheme="majorHAnsi"/>
          <w:u w:val="single"/>
        </w:rPr>
        <w:t xml:space="preserve"> a okrem prostriedkov EÚ</w:t>
      </w:r>
      <w:r w:rsidRPr="005519A6">
        <w:rPr>
          <w:rFonts w:asciiTheme="majorHAnsi" w:hAnsiTheme="majorHAnsi"/>
          <w:u w:val="single"/>
        </w:rPr>
        <w:t>.</w:t>
      </w:r>
    </w:p>
    <w:p w:rsidR="00D7793B" w:rsidRPr="005519A6" w:rsidRDefault="00D7793B" w:rsidP="005519A6">
      <w:pPr>
        <w:ind w:left="709"/>
        <w:jc w:val="both"/>
        <w:rPr>
          <w:rFonts w:asciiTheme="majorHAnsi" w:hAnsiTheme="majorHAnsi"/>
        </w:rPr>
      </w:pPr>
      <w:r w:rsidRPr="005519A6">
        <w:rPr>
          <w:rFonts w:asciiTheme="majorHAnsi" w:hAnsiTheme="majorHAnsi"/>
        </w:rPr>
        <w:t xml:space="preserve">Z uvedeného </w:t>
      </w:r>
      <w:proofErr w:type="gramStart"/>
      <w:r w:rsidRPr="005519A6">
        <w:rPr>
          <w:rFonts w:asciiTheme="majorHAnsi" w:hAnsiTheme="majorHAnsi"/>
        </w:rPr>
        <w:t>zdroja  boli</w:t>
      </w:r>
      <w:proofErr w:type="gramEnd"/>
      <w:r w:rsidRPr="005519A6">
        <w:rPr>
          <w:rFonts w:asciiTheme="majorHAnsi" w:hAnsiTheme="majorHAnsi"/>
        </w:rPr>
        <w:t xml:space="preserve"> príjmy STU v roku 201</w:t>
      </w:r>
      <w:r w:rsidR="00E54F77">
        <w:rPr>
          <w:rFonts w:asciiTheme="majorHAnsi" w:hAnsiTheme="majorHAnsi"/>
        </w:rPr>
        <w:t>6</w:t>
      </w:r>
      <w:r w:rsidR="00822CA8" w:rsidRPr="005519A6">
        <w:rPr>
          <w:rFonts w:asciiTheme="majorHAnsi" w:hAnsiTheme="majorHAnsi"/>
        </w:rPr>
        <w:t xml:space="preserve"> v  celkovej výške</w:t>
      </w:r>
      <w:r w:rsidR="00A433C9">
        <w:rPr>
          <w:rFonts w:asciiTheme="majorHAnsi" w:hAnsiTheme="majorHAnsi"/>
        </w:rPr>
        <w:t xml:space="preserve"> 4 346 813,33 </w:t>
      </w:r>
      <w:r w:rsidRPr="005519A6">
        <w:rPr>
          <w:rFonts w:asciiTheme="majorHAnsi" w:hAnsiTheme="majorHAnsi"/>
        </w:rPr>
        <w:t>EUR</w:t>
      </w:r>
      <w:r w:rsidR="00A433C9">
        <w:rPr>
          <w:rFonts w:asciiTheme="majorHAnsi" w:hAnsiTheme="majorHAnsi"/>
        </w:rPr>
        <w:t>. Z</w:t>
      </w:r>
      <w:r w:rsidRPr="005519A6">
        <w:rPr>
          <w:rFonts w:asciiTheme="majorHAnsi" w:hAnsiTheme="majorHAnsi"/>
        </w:rPr>
        <w:t xml:space="preserve"> toho dotácie z kapitol štátneho rozpočtu okrem kapitoly MŠ</w:t>
      </w:r>
      <w:r w:rsidR="00A433C9">
        <w:rPr>
          <w:rFonts w:asciiTheme="majorHAnsi" w:hAnsiTheme="majorHAnsi"/>
        </w:rPr>
        <w:t>VVaŠ</w:t>
      </w:r>
      <w:r w:rsidRPr="005519A6">
        <w:rPr>
          <w:rFonts w:asciiTheme="majorHAnsi" w:hAnsiTheme="majorHAnsi"/>
        </w:rPr>
        <w:t xml:space="preserve"> SR vo výške</w:t>
      </w:r>
      <w:r w:rsidR="00A433C9">
        <w:rPr>
          <w:rFonts w:asciiTheme="majorHAnsi" w:hAnsiTheme="majorHAnsi"/>
        </w:rPr>
        <w:t xml:space="preserve"> 990 363,76 E</w:t>
      </w:r>
      <w:r w:rsidRPr="005519A6">
        <w:rPr>
          <w:rFonts w:asciiTheme="majorHAnsi" w:hAnsiTheme="majorHAnsi"/>
        </w:rPr>
        <w:t xml:space="preserve">UR, </w:t>
      </w:r>
      <w:r w:rsidR="00A433C9">
        <w:rPr>
          <w:rFonts w:asciiTheme="majorHAnsi" w:hAnsiTheme="majorHAnsi"/>
        </w:rPr>
        <w:t xml:space="preserve">z toho na kapitálové výdavky 12 346,76 EUR, </w:t>
      </w:r>
      <w:r w:rsidRPr="005519A6">
        <w:rPr>
          <w:rFonts w:asciiTheme="majorHAnsi" w:hAnsiTheme="majorHAnsi"/>
        </w:rPr>
        <w:t>dotácie z  rozpočtov obcí a VÚC</w:t>
      </w:r>
      <w:r w:rsidR="00A433C9">
        <w:rPr>
          <w:rFonts w:asciiTheme="majorHAnsi" w:hAnsiTheme="majorHAnsi"/>
        </w:rPr>
        <w:t xml:space="preserve"> 15 976 </w:t>
      </w:r>
      <w:r w:rsidRPr="005519A6">
        <w:rPr>
          <w:rFonts w:asciiTheme="majorHAnsi" w:hAnsiTheme="majorHAnsi"/>
        </w:rPr>
        <w:t>EUR, ostatné domáce príjmy s  charakterom dotácie</w:t>
      </w:r>
      <w:r w:rsidR="00A433C9">
        <w:rPr>
          <w:rFonts w:asciiTheme="majorHAnsi" w:hAnsiTheme="majorHAnsi"/>
        </w:rPr>
        <w:t xml:space="preserve"> 146 200,93 </w:t>
      </w:r>
      <w:r w:rsidRPr="005519A6">
        <w:rPr>
          <w:rFonts w:asciiTheme="majorHAnsi" w:hAnsiTheme="majorHAnsi"/>
        </w:rPr>
        <w:t>EUR</w:t>
      </w:r>
      <w:r w:rsidR="00A433C9">
        <w:rPr>
          <w:rFonts w:asciiTheme="majorHAnsi" w:hAnsiTheme="majorHAnsi"/>
        </w:rPr>
        <w:t>. Príj</w:t>
      </w:r>
      <w:r w:rsidR="00715B26">
        <w:rPr>
          <w:rFonts w:asciiTheme="majorHAnsi" w:eastAsia="Times New Roman" w:hAnsiTheme="majorHAnsi" w:cs="Times New Roman"/>
          <w:bCs/>
          <w:lang w:val="sk-SK" w:eastAsia="sk-SK"/>
        </w:rPr>
        <w:t>my</w:t>
      </w:r>
      <w:r w:rsidR="005519A6" w:rsidRPr="005519A6">
        <w:rPr>
          <w:rFonts w:asciiTheme="majorHAnsi" w:eastAsia="Times New Roman" w:hAnsiTheme="majorHAnsi" w:cs="Times New Roman"/>
          <w:bCs/>
          <w:lang w:val="sk-SK" w:eastAsia="sk-SK"/>
        </w:rPr>
        <w:t xml:space="preserve"> </w:t>
      </w:r>
      <w:r w:rsidRPr="005519A6">
        <w:rPr>
          <w:rFonts w:asciiTheme="majorHAnsi" w:hAnsiTheme="majorHAnsi"/>
        </w:rPr>
        <w:t xml:space="preserve">zo zahraničia majúce charakter dotácie </w:t>
      </w:r>
      <w:r w:rsidR="00A433C9">
        <w:rPr>
          <w:rFonts w:asciiTheme="majorHAnsi" w:hAnsiTheme="majorHAnsi"/>
        </w:rPr>
        <w:t>v celkovej výške 3 194 272,64 EUR, z toho kapitálové príjmy 21 695,42 EUR.</w:t>
      </w:r>
      <w:r w:rsidR="006F3ABF" w:rsidRPr="005519A6">
        <w:rPr>
          <w:rFonts w:asciiTheme="majorHAnsi" w:hAnsiTheme="majorHAnsi"/>
        </w:rPr>
        <w:t xml:space="preserve"> </w:t>
      </w:r>
      <w:r w:rsidRPr="005519A6">
        <w:rPr>
          <w:rFonts w:asciiTheme="majorHAnsi" w:hAnsiTheme="majorHAnsi"/>
        </w:rPr>
        <w:t>Podrobnejšie členenie je uvedené v tabuľke č. 2.</w:t>
      </w:r>
    </w:p>
    <w:p w:rsidR="008A73C1" w:rsidRDefault="008A73C1" w:rsidP="00D7793B">
      <w:pPr>
        <w:pStyle w:val="Odsekzoznamu"/>
        <w:suppressAutoHyphens/>
        <w:ind w:right="-131"/>
        <w:jc w:val="both"/>
        <w:rPr>
          <w:rFonts w:asciiTheme="majorHAnsi" w:hAnsiTheme="majorHAnsi"/>
          <w:highlight w:val="yellow"/>
        </w:rPr>
      </w:pPr>
    </w:p>
    <w:p w:rsidR="007E433A" w:rsidRDefault="007E433A" w:rsidP="00D7793B">
      <w:pPr>
        <w:pStyle w:val="Odsekzoznamu"/>
        <w:suppressAutoHyphens/>
        <w:ind w:right="-131"/>
        <w:jc w:val="both"/>
        <w:rPr>
          <w:rFonts w:asciiTheme="majorHAnsi" w:hAnsiTheme="majorHAnsi"/>
          <w:highlight w:val="yellow"/>
        </w:rPr>
      </w:pPr>
    </w:p>
    <w:p w:rsidR="007E433A" w:rsidRPr="00CB2C99" w:rsidRDefault="007E433A" w:rsidP="00D7793B">
      <w:pPr>
        <w:pStyle w:val="Odsekzoznamu"/>
        <w:suppressAutoHyphens/>
        <w:ind w:right="-131"/>
        <w:jc w:val="both"/>
        <w:rPr>
          <w:rFonts w:asciiTheme="majorHAnsi" w:hAnsiTheme="majorHAnsi"/>
          <w:highlight w:val="yellow"/>
        </w:rPr>
      </w:pPr>
    </w:p>
    <w:p w:rsidR="00D7793B" w:rsidRPr="005519A6" w:rsidRDefault="003141BB" w:rsidP="006B6D96">
      <w:pPr>
        <w:pStyle w:val="Odsekzoznamu"/>
        <w:keepLines/>
        <w:widowControl w:val="0"/>
        <w:numPr>
          <w:ilvl w:val="0"/>
          <w:numId w:val="4"/>
        </w:numPr>
        <w:suppressAutoHyphens/>
        <w:ind w:right="-131"/>
        <w:jc w:val="both"/>
        <w:rPr>
          <w:rFonts w:asciiTheme="majorHAnsi" w:hAnsiTheme="majorHAnsi"/>
          <w:u w:val="single"/>
        </w:rPr>
      </w:pPr>
      <w:r w:rsidRPr="005519A6">
        <w:rPr>
          <w:rFonts w:asciiTheme="majorHAnsi" w:hAnsiTheme="majorHAnsi"/>
          <w:u w:val="single"/>
        </w:rPr>
        <w:lastRenderedPageBreak/>
        <w:t>V</w:t>
      </w:r>
      <w:r w:rsidR="008A73C1" w:rsidRPr="005519A6">
        <w:rPr>
          <w:rFonts w:asciiTheme="majorHAnsi" w:hAnsiTheme="majorHAnsi"/>
          <w:u w:val="single"/>
        </w:rPr>
        <w:t xml:space="preserve">ýnosy </w:t>
      </w:r>
    </w:p>
    <w:p w:rsidR="00D7793B" w:rsidRPr="005519A6" w:rsidRDefault="00D7793B" w:rsidP="004E7DDB">
      <w:pPr>
        <w:ind w:left="709" w:right="-347" w:hanging="1"/>
        <w:rPr>
          <w:rFonts w:asciiTheme="majorHAnsi" w:hAnsiTheme="majorHAnsi"/>
        </w:rPr>
      </w:pPr>
      <w:r w:rsidRPr="005519A6">
        <w:rPr>
          <w:rFonts w:asciiTheme="majorHAnsi" w:hAnsiTheme="majorHAnsi"/>
        </w:rPr>
        <w:t>V roku 201</w:t>
      </w:r>
      <w:r w:rsidR="00E54F77">
        <w:rPr>
          <w:rFonts w:asciiTheme="majorHAnsi" w:hAnsiTheme="majorHAnsi"/>
        </w:rPr>
        <w:t>6</w:t>
      </w:r>
      <w:r w:rsidR="00190FAB">
        <w:rPr>
          <w:rFonts w:asciiTheme="majorHAnsi" w:hAnsiTheme="majorHAnsi"/>
        </w:rPr>
        <w:t xml:space="preserve"> </w:t>
      </w:r>
      <w:r w:rsidRPr="005519A6">
        <w:rPr>
          <w:rFonts w:asciiTheme="majorHAnsi" w:hAnsiTheme="majorHAnsi"/>
        </w:rPr>
        <w:t xml:space="preserve">STU dosiahla celkové výnosy vo výške </w:t>
      </w:r>
      <w:r w:rsidR="00E54F77">
        <w:rPr>
          <w:rFonts w:asciiTheme="majorHAnsi" w:eastAsia="Times New Roman" w:hAnsiTheme="majorHAnsi" w:cs="Times New Roman"/>
          <w:lang w:val="sk-SK" w:eastAsia="sk-SK"/>
        </w:rPr>
        <w:t>102 692 962</w:t>
      </w:r>
      <w:proofErr w:type="gramStart"/>
      <w:r w:rsidR="00E54F77">
        <w:rPr>
          <w:rFonts w:asciiTheme="majorHAnsi" w:eastAsia="Times New Roman" w:hAnsiTheme="majorHAnsi" w:cs="Times New Roman"/>
          <w:lang w:val="sk-SK" w:eastAsia="sk-SK"/>
        </w:rPr>
        <w:t>,77</w:t>
      </w:r>
      <w:proofErr w:type="gramEnd"/>
      <w:r w:rsidR="005519A6" w:rsidRPr="005519A6">
        <w:rPr>
          <w:rFonts w:asciiTheme="majorHAnsi" w:eastAsia="Times New Roman" w:hAnsiTheme="majorHAnsi" w:cs="Times New Roman"/>
          <w:lang w:val="sk-SK" w:eastAsia="sk-SK"/>
        </w:rPr>
        <w:t xml:space="preserve"> </w:t>
      </w:r>
      <w:r w:rsidRPr="005519A6">
        <w:rPr>
          <w:rFonts w:asciiTheme="majorHAnsi" w:hAnsiTheme="majorHAnsi"/>
        </w:rPr>
        <w:t xml:space="preserve">EUR, z toho z hlavnej </w:t>
      </w:r>
      <w:r w:rsidR="00F60D6D">
        <w:rPr>
          <w:rFonts w:asciiTheme="majorHAnsi" w:hAnsiTheme="majorHAnsi"/>
        </w:rPr>
        <w:t xml:space="preserve">nezdaňovanej </w:t>
      </w:r>
      <w:r w:rsidRPr="005519A6">
        <w:rPr>
          <w:rFonts w:asciiTheme="majorHAnsi" w:hAnsiTheme="majorHAnsi"/>
        </w:rPr>
        <w:t xml:space="preserve">činnosti </w:t>
      </w:r>
      <w:r w:rsidR="00E54F77">
        <w:rPr>
          <w:rFonts w:asciiTheme="majorHAnsi" w:eastAsia="Times New Roman" w:hAnsiTheme="majorHAnsi" w:cs="Times New Roman"/>
          <w:bCs/>
          <w:lang w:val="sk-SK" w:eastAsia="sk-SK"/>
        </w:rPr>
        <w:t>92 678 830,83</w:t>
      </w:r>
      <w:r w:rsidR="005519A6" w:rsidRPr="005519A6">
        <w:rPr>
          <w:rFonts w:asciiTheme="majorHAnsi" w:eastAsia="Times New Roman" w:hAnsiTheme="majorHAnsi" w:cs="Times New Roman"/>
          <w:bCs/>
          <w:lang w:val="sk-SK" w:eastAsia="sk-SK"/>
        </w:rPr>
        <w:t xml:space="preserve"> </w:t>
      </w:r>
      <w:r w:rsidR="004E7DDB">
        <w:rPr>
          <w:rFonts w:asciiTheme="majorHAnsi" w:eastAsia="Times New Roman" w:hAnsiTheme="majorHAnsi" w:cs="Times New Roman"/>
          <w:bCs/>
          <w:lang w:val="sk-SK" w:eastAsia="sk-SK"/>
        </w:rPr>
        <w:t xml:space="preserve"> </w:t>
      </w:r>
      <w:r w:rsidRPr="005519A6">
        <w:rPr>
          <w:rFonts w:asciiTheme="majorHAnsi" w:hAnsiTheme="majorHAnsi"/>
        </w:rPr>
        <w:t xml:space="preserve"> EUR, z</w:t>
      </w:r>
      <w:r w:rsidR="00F60D6D">
        <w:rPr>
          <w:rFonts w:asciiTheme="majorHAnsi" w:hAnsiTheme="majorHAnsi"/>
        </w:rPr>
        <w:t>o</w:t>
      </w:r>
      <w:r w:rsidRPr="005519A6">
        <w:rPr>
          <w:rFonts w:asciiTheme="majorHAnsi" w:hAnsiTheme="majorHAnsi"/>
        </w:rPr>
        <w:t xml:space="preserve">  </w:t>
      </w:r>
      <w:r w:rsidR="00F60D6D">
        <w:rPr>
          <w:rFonts w:asciiTheme="majorHAnsi" w:hAnsiTheme="majorHAnsi"/>
        </w:rPr>
        <w:t xml:space="preserve">zdaňovanej </w:t>
      </w:r>
      <w:r w:rsidRPr="005519A6">
        <w:rPr>
          <w:rFonts w:asciiTheme="majorHAnsi" w:hAnsiTheme="majorHAnsi"/>
        </w:rPr>
        <w:t xml:space="preserve"> činnosti </w:t>
      </w:r>
      <w:r w:rsidR="00F60D6D">
        <w:rPr>
          <w:rFonts w:asciiTheme="majorHAnsi" w:hAnsiTheme="majorHAnsi"/>
        </w:rPr>
        <w:t xml:space="preserve">                 </w:t>
      </w:r>
      <w:r w:rsidR="003141BB" w:rsidRPr="005519A6">
        <w:rPr>
          <w:rFonts w:asciiTheme="majorHAnsi" w:hAnsiTheme="majorHAnsi"/>
        </w:rPr>
        <w:t xml:space="preserve"> </w:t>
      </w:r>
      <w:r w:rsidR="00E54F77">
        <w:rPr>
          <w:rFonts w:asciiTheme="majorHAnsi" w:eastAsia="Times New Roman" w:hAnsiTheme="majorHAnsi" w:cs="Times New Roman"/>
          <w:bCs/>
          <w:lang w:val="sk-SK" w:eastAsia="sk-SK"/>
        </w:rPr>
        <w:t>10 014 131,94</w:t>
      </w:r>
      <w:r w:rsidR="003141BB" w:rsidRPr="005519A6">
        <w:rPr>
          <w:rFonts w:asciiTheme="majorHAnsi" w:hAnsiTheme="majorHAnsi"/>
        </w:rPr>
        <w:t xml:space="preserve">   </w:t>
      </w:r>
      <w:r w:rsidRPr="005519A6">
        <w:rPr>
          <w:rFonts w:asciiTheme="majorHAnsi" w:hAnsiTheme="majorHAnsi"/>
        </w:rPr>
        <w:t>EUR v členení podľa položiek účtovej skupiny 6 (tabuľka č. 3).</w:t>
      </w:r>
    </w:p>
    <w:p w:rsidR="003141BB" w:rsidRPr="00CB2C99" w:rsidRDefault="003141BB" w:rsidP="005519A6">
      <w:pPr>
        <w:keepLines/>
        <w:widowControl w:val="0"/>
        <w:suppressAutoHyphens/>
        <w:ind w:left="709" w:right="49" w:hanging="1"/>
        <w:jc w:val="both"/>
        <w:rPr>
          <w:rFonts w:asciiTheme="majorHAnsi" w:hAnsiTheme="majorHAnsi"/>
          <w:highlight w:val="yellow"/>
        </w:rPr>
      </w:pPr>
    </w:p>
    <w:p w:rsidR="00D7793B" w:rsidRPr="005519A6" w:rsidRDefault="00D7793B" w:rsidP="005F712C">
      <w:pPr>
        <w:ind w:left="709"/>
        <w:jc w:val="both"/>
        <w:rPr>
          <w:rFonts w:asciiTheme="majorHAnsi" w:hAnsiTheme="majorHAnsi"/>
        </w:rPr>
      </w:pPr>
      <w:r w:rsidRPr="005519A6">
        <w:rPr>
          <w:rFonts w:asciiTheme="majorHAnsi" w:hAnsiTheme="majorHAnsi"/>
        </w:rPr>
        <w:t xml:space="preserve">V hlavnej činnosti najvyššie výnosy predstavujú prevádzkové dotácie vo výške  </w:t>
      </w:r>
      <w:r w:rsidR="005519A6" w:rsidRPr="005519A6">
        <w:rPr>
          <w:rFonts w:asciiTheme="majorHAnsi" w:hAnsiTheme="majorHAnsi"/>
        </w:rPr>
        <w:t xml:space="preserve">                 </w:t>
      </w:r>
      <w:r w:rsidRPr="005519A6">
        <w:rPr>
          <w:rFonts w:asciiTheme="majorHAnsi" w:hAnsiTheme="majorHAnsi"/>
        </w:rPr>
        <w:t xml:space="preserve">   </w:t>
      </w:r>
      <w:r w:rsidR="00997145">
        <w:rPr>
          <w:rFonts w:asciiTheme="majorHAnsi" w:eastAsia="Times New Roman" w:hAnsiTheme="majorHAnsi" w:cs="Times New Roman"/>
          <w:lang w:val="sk-SK" w:eastAsia="sk-SK"/>
        </w:rPr>
        <w:t>81 910 335</w:t>
      </w:r>
      <w:proofErr w:type="gramStart"/>
      <w:r w:rsidR="00997145">
        <w:rPr>
          <w:rFonts w:asciiTheme="majorHAnsi" w:eastAsia="Times New Roman" w:hAnsiTheme="majorHAnsi" w:cs="Times New Roman"/>
          <w:lang w:val="sk-SK" w:eastAsia="sk-SK"/>
        </w:rPr>
        <w:t>,68</w:t>
      </w:r>
      <w:proofErr w:type="gramEnd"/>
      <w:r w:rsidR="005519A6" w:rsidRPr="005519A6">
        <w:rPr>
          <w:rFonts w:asciiTheme="majorHAnsi" w:eastAsia="Times New Roman" w:hAnsiTheme="majorHAnsi" w:cs="Times New Roman"/>
          <w:lang w:val="sk-SK" w:eastAsia="sk-SK"/>
        </w:rPr>
        <w:t xml:space="preserve"> </w:t>
      </w:r>
      <w:r w:rsidR="003141BB" w:rsidRPr="005519A6">
        <w:rPr>
          <w:rFonts w:asciiTheme="majorHAnsi" w:hAnsiTheme="majorHAnsi"/>
        </w:rPr>
        <w:t xml:space="preserve"> </w:t>
      </w:r>
      <w:r w:rsidRPr="005519A6">
        <w:rPr>
          <w:rFonts w:asciiTheme="majorHAnsi" w:hAnsiTheme="majorHAnsi"/>
        </w:rPr>
        <w:t>EUR (účet 691)</w:t>
      </w:r>
      <w:r w:rsidR="00997145">
        <w:rPr>
          <w:rFonts w:asciiTheme="majorHAnsi" w:hAnsiTheme="majorHAnsi"/>
        </w:rPr>
        <w:t>.</w:t>
      </w:r>
      <w:r w:rsidR="00F40B3A" w:rsidRPr="005519A6">
        <w:rPr>
          <w:rFonts w:asciiTheme="majorHAnsi" w:hAnsiTheme="majorHAnsi"/>
        </w:rPr>
        <w:t xml:space="preserve"> </w:t>
      </w:r>
      <w:r w:rsidRPr="005519A6">
        <w:rPr>
          <w:rFonts w:asciiTheme="majorHAnsi" w:hAnsiTheme="majorHAnsi"/>
        </w:rPr>
        <w:t>V </w:t>
      </w:r>
      <w:r w:rsidR="00190FAB">
        <w:rPr>
          <w:rFonts w:asciiTheme="majorHAnsi" w:hAnsiTheme="majorHAnsi"/>
        </w:rPr>
        <w:t>zdaňovanej</w:t>
      </w:r>
      <w:r w:rsidRPr="005519A6">
        <w:rPr>
          <w:rFonts w:asciiTheme="majorHAnsi" w:hAnsiTheme="majorHAnsi"/>
        </w:rPr>
        <w:t xml:space="preserve"> činnosti sú najvyššie výnosy z tržieb z predaja </w:t>
      </w:r>
      <w:proofErr w:type="gramStart"/>
      <w:r w:rsidRPr="005519A6">
        <w:rPr>
          <w:rFonts w:asciiTheme="majorHAnsi" w:hAnsiTheme="majorHAnsi"/>
        </w:rPr>
        <w:t xml:space="preserve">služieb </w:t>
      </w:r>
      <w:r w:rsidR="005519A6" w:rsidRPr="005519A6">
        <w:rPr>
          <w:rFonts w:asciiTheme="majorHAnsi" w:hAnsiTheme="majorHAnsi"/>
        </w:rPr>
        <w:t xml:space="preserve"> </w:t>
      </w:r>
      <w:r w:rsidR="005519A6" w:rsidRPr="005519A6">
        <w:rPr>
          <w:rFonts w:asciiTheme="majorHAnsi" w:eastAsia="Times New Roman" w:hAnsiTheme="majorHAnsi" w:cs="Times New Roman"/>
          <w:bCs/>
          <w:lang w:val="sk-SK" w:eastAsia="sk-SK"/>
        </w:rPr>
        <w:t>5</w:t>
      </w:r>
      <w:proofErr w:type="gramEnd"/>
      <w:r w:rsidR="00997145">
        <w:rPr>
          <w:rFonts w:asciiTheme="majorHAnsi" w:eastAsia="Times New Roman" w:hAnsiTheme="majorHAnsi" w:cs="Times New Roman"/>
          <w:bCs/>
          <w:lang w:val="sk-SK" w:eastAsia="sk-SK"/>
        </w:rPr>
        <w:t> 237 996,31</w:t>
      </w:r>
      <w:r w:rsidR="0065708F">
        <w:rPr>
          <w:rFonts w:asciiTheme="majorHAnsi" w:eastAsia="Times New Roman" w:hAnsiTheme="majorHAnsi" w:cs="Times New Roman"/>
          <w:bCs/>
          <w:lang w:val="sk-SK" w:eastAsia="sk-SK"/>
        </w:rPr>
        <w:t xml:space="preserve"> </w:t>
      </w:r>
      <w:r w:rsidRPr="005519A6">
        <w:rPr>
          <w:rFonts w:asciiTheme="majorHAnsi" w:hAnsiTheme="majorHAnsi"/>
        </w:rPr>
        <w:t xml:space="preserve">EUR (účet 602). </w:t>
      </w:r>
    </w:p>
    <w:p w:rsidR="00D7793B" w:rsidRPr="00CB2C99" w:rsidRDefault="00D7793B" w:rsidP="00D7793B">
      <w:pPr>
        <w:suppressAutoHyphens/>
        <w:ind w:left="360" w:hanging="360"/>
        <w:jc w:val="both"/>
        <w:rPr>
          <w:rFonts w:asciiTheme="majorHAnsi" w:hAnsiTheme="majorHAnsi"/>
          <w:highlight w:val="yellow"/>
          <w:u w:val="single"/>
        </w:rPr>
      </w:pPr>
    </w:p>
    <w:p w:rsidR="00D7793B" w:rsidRPr="005519A6" w:rsidRDefault="00D7793B" w:rsidP="006B6D96">
      <w:pPr>
        <w:pStyle w:val="Odsekzoznamu"/>
        <w:numPr>
          <w:ilvl w:val="0"/>
          <w:numId w:val="4"/>
        </w:numPr>
        <w:suppressAutoHyphens/>
        <w:ind w:left="0" w:firstLine="0"/>
        <w:jc w:val="both"/>
        <w:rPr>
          <w:rFonts w:asciiTheme="majorHAnsi" w:hAnsiTheme="majorHAnsi"/>
          <w:u w:val="single"/>
        </w:rPr>
      </w:pPr>
      <w:r w:rsidRPr="005519A6">
        <w:rPr>
          <w:rFonts w:asciiTheme="majorHAnsi" w:hAnsiTheme="majorHAnsi"/>
          <w:u w:val="single"/>
        </w:rPr>
        <w:t>Analýza výnosov vo vybraných oblastiach:</w:t>
      </w:r>
    </w:p>
    <w:p w:rsidR="00D7793B" w:rsidRPr="00F27155" w:rsidRDefault="00D7793B" w:rsidP="003141BB">
      <w:pPr>
        <w:suppressAutoHyphens/>
        <w:ind w:left="709"/>
        <w:jc w:val="both"/>
        <w:rPr>
          <w:rFonts w:asciiTheme="majorHAnsi" w:hAnsiTheme="majorHAnsi"/>
        </w:rPr>
      </w:pPr>
      <w:r w:rsidRPr="00F27155">
        <w:rPr>
          <w:rFonts w:asciiTheme="majorHAnsi" w:hAnsiTheme="majorHAnsi"/>
        </w:rPr>
        <w:t>Výnosy zo školného a poplatkov spojených so štúdiom – štruktúra výnosov je uvedená v</w:t>
      </w:r>
      <w:proofErr w:type="gramStart"/>
      <w:r w:rsidRPr="00F27155">
        <w:rPr>
          <w:rFonts w:asciiTheme="majorHAnsi" w:hAnsiTheme="majorHAnsi"/>
        </w:rPr>
        <w:t>  tabuľke</w:t>
      </w:r>
      <w:proofErr w:type="gramEnd"/>
      <w:r w:rsidRPr="00F27155">
        <w:rPr>
          <w:rFonts w:asciiTheme="majorHAnsi" w:hAnsiTheme="majorHAnsi"/>
        </w:rPr>
        <w:t xml:space="preserve"> č. 4.</w:t>
      </w:r>
    </w:p>
    <w:p w:rsidR="00D7793B" w:rsidRPr="00F27155" w:rsidRDefault="00D7793B" w:rsidP="00F27155">
      <w:pPr>
        <w:ind w:left="709" w:hanging="1"/>
        <w:jc w:val="both"/>
        <w:rPr>
          <w:rFonts w:asciiTheme="majorHAnsi" w:hAnsiTheme="majorHAnsi"/>
        </w:rPr>
      </w:pPr>
      <w:r w:rsidRPr="00F27155">
        <w:rPr>
          <w:rFonts w:asciiTheme="majorHAnsi" w:hAnsiTheme="majorHAnsi"/>
        </w:rPr>
        <w:tab/>
        <w:t xml:space="preserve">Výnosy zo školného sú vo výške </w:t>
      </w:r>
      <w:r w:rsidR="00CC07ED">
        <w:rPr>
          <w:rFonts w:asciiTheme="majorHAnsi" w:eastAsia="Times New Roman" w:hAnsiTheme="majorHAnsi" w:cs="Times New Roman"/>
          <w:bCs/>
          <w:lang w:val="sk-SK" w:eastAsia="sk-SK"/>
        </w:rPr>
        <w:t>1 202 823</w:t>
      </w:r>
      <w:r w:rsidR="00F27155" w:rsidRPr="00F27155">
        <w:rPr>
          <w:rFonts w:ascii="Times New Roman" w:eastAsia="Times New Roman" w:hAnsi="Times New Roman" w:cs="Times New Roman"/>
          <w:b/>
          <w:bCs/>
          <w:lang w:val="sk-SK" w:eastAsia="sk-SK"/>
        </w:rPr>
        <w:t xml:space="preserve"> </w:t>
      </w:r>
      <w:r w:rsidRPr="00F27155">
        <w:rPr>
          <w:rFonts w:asciiTheme="majorHAnsi" w:hAnsiTheme="majorHAnsi"/>
        </w:rPr>
        <w:t>EUR, (</w:t>
      </w:r>
      <w:r w:rsidR="00CC07ED">
        <w:rPr>
          <w:rFonts w:asciiTheme="majorHAnsi" w:hAnsiTheme="majorHAnsi"/>
        </w:rPr>
        <w:t>pokles</w:t>
      </w:r>
      <w:r w:rsidRPr="00F27155">
        <w:rPr>
          <w:rFonts w:asciiTheme="majorHAnsi" w:hAnsiTheme="majorHAnsi"/>
        </w:rPr>
        <w:t xml:space="preserve"> oproti </w:t>
      </w:r>
      <w:proofErr w:type="gramStart"/>
      <w:r w:rsidRPr="00F27155">
        <w:rPr>
          <w:rFonts w:asciiTheme="majorHAnsi" w:hAnsiTheme="majorHAnsi"/>
        </w:rPr>
        <w:t xml:space="preserve">roku </w:t>
      </w:r>
      <w:r w:rsidR="00DD1C29" w:rsidRPr="00F27155">
        <w:rPr>
          <w:rFonts w:asciiTheme="majorHAnsi" w:hAnsiTheme="majorHAnsi"/>
        </w:rPr>
        <w:t xml:space="preserve"> </w:t>
      </w:r>
      <w:r w:rsidRPr="00F27155">
        <w:rPr>
          <w:rFonts w:asciiTheme="majorHAnsi" w:hAnsiTheme="majorHAnsi"/>
        </w:rPr>
        <w:t>201</w:t>
      </w:r>
      <w:r w:rsidR="00997145">
        <w:rPr>
          <w:rFonts w:asciiTheme="majorHAnsi" w:hAnsiTheme="majorHAnsi"/>
        </w:rPr>
        <w:t>5</w:t>
      </w:r>
      <w:proofErr w:type="gramEnd"/>
      <w:r w:rsidR="00F27155">
        <w:rPr>
          <w:rFonts w:asciiTheme="majorHAnsi" w:hAnsiTheme="majorHAnsi"/>
        </w:rPr>
        <w:t xml:space="preserve">   </w:t>
      </w:r>
      <w:r w:rsidRPr="00F27155">
        <w:rPr>
          <w:rFonts w:asciiTheme="majorHAnsi" w:hAnsiTheme="majorHAnsi"/>
        </w:rPr>
        <w:t>o</w:t>
      </w:r>
      <w:r w:rsidR="00F002A7" w:rsidRPr="00F27155">
        <w:rPr>
          <w:rFonts w:asciiTheme="majorHAnsi" w:hAnsiTheme="majorHAnsi"/>
        </w:rPr>
        <w:t> </w:t>
      </w:r>
      <w:r w:rsidR="00CC07ED">
        <w:rPr>
          <w:rFonts w:asciiTheme="majorHAnsi" w:hAnsiTheme="majorHAnsi"/>
        </w:rPr>
        <w:t>580 086</w:t>
      </w:r>
      <w:r w:rsidRPr="00F27155">
        <w:rPr>
          <w:rFonts w:asciiTheme="majorHAnsi" w:hAnsiTheme="majorHAnsi"/>
        </w:rPr>
        <w:t xml:space="preserve"> EUR v tom: </w:t>
      </w:r>
    </w:p>
    <w:p w:rsidR="00D7793B" w:rsidRPr="00F27155" w:rsidRDefault="00D7793B" w:rsidP="006B6D96">
      <w:pPr>
        <w:pStyle w:val="Odsekzoznamu"/>
        <w:numPr>
          <w:ilvl w:val="0"/>
          <w:numId w:val="8"/>
        </w:numPr>
        <w:ind w:left="1418" w:hanging="425"/>
        <w:jc w:val="both"/>
        <w:rPr>
          <w:rFonts w:asciiTheme="majorHAnsi" w:hAnsiTheme="majorHAnsi"/>
        </w:rPr>
      </w:pPr>
      <w:r w:rsidRPr="00F27155">
        <w:rPr>
          <w:rFonts w:asciiTheme="majorHAnsi" w:hAnsiTheme="majorHAnsi"/>
        </w:rPr>
        <w:t xml:space="preserve">za prekročenie štandardnej dĺžky štúdia a  súbežného  štúdia vo výške  </w:t>
      </w:r>
      <w:r w:rsidR="00F27155" w:rsidRPr="00F27155">
        <w:rPr>
          <w:rFonts w:asciiTheme="majorHAnsi" w:hAnsiTheme="majorHAnsi"/>
        </w:rPr>
        <w:t xml:space="preserve">                                     </w:t>
      </w:r>
      <w:r w:rsidR="00CC07ED">
        <w:rPr>
          <w:lang w:eastAsia="sk-SK"/>
        </w:rPr>
        <w:t>824 688</w:t>
      </w:r>
      <w:r w:rsidR="00F27155" w:rsidRPr="00F27155">
        <w:rPr>
          <w:lang w:eastAsia="sk-SK"/>
        </w:rPr>
        <w:t xml:space="preserve"> </w:t>
      </w:r>
      <w:r w:rsidRPr="00F27155">
        <w:rPr>
          <w:rFonts w:asciiTheme="majorHAnsi" w:hAnsiTheme="majorHAnsi"/>
        </w:rPr>
        <w:t>EUR (</w:t>
      </w:r>
      <w:r w:rsidR="00CC07ED">
        <w:rPr>
          <w:rFonts w:asciiTheme="majorHAnsi" w:hAnsiTheme="majorHAnsi"/>
        </w:rPr>
        <w:t>pokles</w:t>
      </w:r>
      <w:r w:rsidRPr="00F27155">
        <w:rPr>
          <w:rFonts w:asciiTheme="majorHAnsi" w:hAnsiTheme="majorHAnsi"/>
        </w:rPr>
        <w:t xml:space="preserve">  o</w:t>
      </w:r>
      <w:r w:rsidR="00CC07ED">
        <w:rPr>
          <w:rFonts w:asciiTheme="majorHAnsi" w:hAnsiTheme="majorHAnsi"/>
        </w:rPr>
        <w:t> </w:t>
      </w:r>
      <w:r w:rsidR="00CC07ED">
        <w:rPr>
          <w:lang w:eastAsia="sk-SK"/>
        </w:rPr>
        <w:t>533 244</w:t>
      </w:r>
      <w:r w:rsidR="00F002A7" w:rsidRPr="00F27155">
        <w:rPr>
          <w:rFonts w:asciiTheme="majorHAnsi" w:hAnsiTheme="majorHAnsi"/>
        </w:rPr>
        <w:t>EUR</w:t>
      </w:r>
      <w:r w:rsidRPr="00F27155">
        <w:rPr>
          <w:rFonts w:asciiTheme="majorHAnsi" w:hAnsiTheme="majorHAnsi"/>
        </w:rPr>
        <w:t>) ,</w:t>
      </w:r>
    </w:p>
    <w:p w:rsidR="00D7793B" w:rsidRDefault="00D7793B" w:rsidP="006B6D96">
      <w:pPr>
        <w:pStyle w:val="Odsekzoznamu"/>
        <w:numPr>
          <w:ilvl w:val="0"/>
          <w:numId w:val="8"/>
        </w:numPr>
        <w:ind w:firstLine="273"/>
        <w:jc w:val="both"/>
        <w:rPr>
          <w:rFonts w:asciiTheme="majorHAnsi" w:hAnsiTheme="majorHAnsi"/>
        </w:rPr>
      </w:pPr>
      <w:r w:rsidRPr="00F27155">
        <w:rPr>
          <w:rFonts w:asciiTheme="majorHAnsi" w:hAnsiTheme="majorHAnsi"/>
        </w:rPr>
        <w:t>od cudzincov vo výške  </w:t>
      </w:r>
      <w:r w:rsidR="00CC07ED">
        <w:rPr>
          <w:lang w:eastAsia="sk-SK"/>
        </w:rPr>
        <w:t>233 400</w:t>
      </w:r>
      <w:r w:rsidR="00F27155" w:rsidRPr="00F27155">
        <w:rPr>
          <w:lang w:eastAsia="sk-SK"/>
        </w:rPr>
        <w:t xml:space="preserve"> </w:t>
      </w:r>
      <w:r w:rsidRPr="00F27155">
        <w:rPr>
          <w:rFonts w:asciiTheme="majorHAnsi" w:hAnsiTheme="majorHAnsi"/>
        </w:rPr>
        <w:t>EUR (</w:t>
      </w:r>
      <w:r w:rsidR="00F27155" w:rsidRPr="00F27155">
        <w:rPr>
          <w:rFonts w:asciiTheme="majorHAnsi" w:hAnsiTheme="majorHAnsi"/>
        </w:rPr>
        <w:t>nárast</w:t>
      </w:r>
      <w:r w:rsidRPr="00F27155">
        <w:rPr>
          <w:rFonts w:asciiTheme="majorHAnsi" w:hAnsiTheme="majorHAnsi"/>
        </w:rPr>
        <w:t xml:space="preserve"> o</w:t>
      </w:r>
      <w:r w:rsidR="00CC07ED">
        <w:rPr>
          <w:rFonts w:asciiTheme="majorHAnsi" w:hAnsiTheme="majorHAnsi"/>
        </w:rPr>
        <w:t> </w:t>
      </w:r>
      <w:r w:rsidR="00CC07ED">
        <w:rPr>
          <w:lang w:eastAsia="sk-SK"/>
        </w:rPr>
        <w:t>25 537</w:t>
      </w:r>
      <w:r w:rsidR="00F27155" w:rsidRPr="00F27155">
        <w:rPr>
          <w:lang w:eastAsia="sk-SK"/>
        </w:rPr>
        <w:t xml:space="preserve"> </w:t>
      </w:r>
      <w:r w:rsidRPr="00F27155">
        <w:rPr>
          <w:rFonts w:asciiTheme="majorHAnsi" w:hAnsiTheme="majorHAnsi"/>
        </w:rPr>
        <w:t xml:space="preserve"> EUR)</w:t>
      </w:r>
    </w:p>
    <w:p w:rsidR="00CC07ED" w:rsidRPr="00CC07ED" w:rsidRDefault="00CC07ED" w:rsidP="00CC07ED">
      <w:pPr>
        <w:pStyle w:val="Odsekzoznamu"/>
        <w:numPr>
          <w:ilvl w:val="0"/>
          <w:numId w:val="8"/>
        </w:numPr>
        <w:ind w:left="1418" w:hanging="425"/>
        <w:jc w:val="both"/>
        <w:rPr>
          <w:rFonts w:asciiTheme="majorHAnsi" w:hAnsiTheme="majorHAnsi"/>
        </w:rPr>
      </w:pPr>
      <w:r w:rsidRPr="00CC07ED">
        <w:rPr>
          <w:rFonts w:asciiTheme="majorHAnsi" w:hAnsiTheme="majorHAnsi"/>
        </w:rPr>
        <w:t xml:space="preserve">výnosy zo školeného za štúdium v externej forme štúdia vo výške                    </w:t>
      </w:r>
      <w:r>
        <w:rPr>
          <w:rFonts w:asciiTheme="majorHAnsi" w:hAnsiTheme="majorHAnsi"/>
        </w:rPr>
        <w:t xml:space="preserve">   </w:t>
      </w:r>
      <w:r>
        <w:rPr>
          <w:lang w:eastAsia="sk-SK"/>
        </w:rPr>
        <w:t>138 895</w:t>
      </w:r>
      <w:r w:rsidRPr="00CC07ED">
        <w:rPr>
          <w:lang w:eastAsia="sk-SK"/>
        </w:rPr>
        <w:t xml:space="preserve"> </w:t>
      </w:r>
      <w:r w:rsidRPr="00CC07ED">
        <w:rPr>
          <w:rFonts w:asciiTheme="majorHAnsi" w:hAnsiTheme="majorHAnsi"/>
        </w:rPr>
        <w:t>EUR (</w:t>
      </w:r>
      <w:r>
        <w:rPr>
          <w:rFonts w:asciiTheme="majorHAnsi" w:hAnsiTheme="majorHAnsi"/>
        </w:rPr>
        <w:t>nárast</w:t>
      </w:r>
      <w:r w:rsidRPr="00CC07ED">
        <w:rPr>
          <w:rFonts w:asciiTheme="majorHAnsi" w:hAnsiTheme="majorHAnsi"/>
        </w:rPr>
        <w:t xml:space="preserve"> o</w:t>
      </w:r>
      <w:r>
        <w:rPr>
          <w:rFonts w:asciiTheme="majorHAnsi" w:hAnsiTheme="majorHAnsi"/>
        </w:rPr>
        <w:t> 5 089</w:t>
      </w:r>
      <w:r w:rsidRPr="00CC07ED">
        <w:rPr>
          <w:rFonts w:asciiTheme="majorHAnsi" w:hAnsiTheme="majorHAnsi"/>
        </w:rPr>
        <w:t>EUR).</w:t>
      </w:r>
    </w:p>
    <w:p w:rsidR="00740890" w:rsidRPr="00263EBA" w:rsidRDefault="00D7793B" w:rsidP="00740890">
      <w:pPr>
        <w:ind w:left="709"/>
        <w:jc w:val="both"/>
        <w:rPr>
          <w:rFonts w:asciiTheme="majorHAnsi" w:hAnsiTheme="majorHAnsi"/>
        </w:rPr>
      </w:pPr>
      <w:r w:rsidRPr="00263EBA">
        <w:rPr>
          <w:rFonts w:asciiTheme="majorHAnsi" w:hAnsiTheme="majorHAnsi"/>
        </w:rPr>
        <w:t>Výnosy z poplatkov spojených so štúdiom v</w:t>
      </w:r>
      <w:proofErr w:type="gramStart"/>
      <w:r w:rsidRPr="00263EBA">
        <w:rPr>
          <w:rFonts w:asciiTheme="majorHAnsi" w:hAnsiTheme="majorHAnsi"/>
        </w:rPr>
        <w:t>  celkovej</w:t>
      </w:r>
      <w:proofErr w:type="gramEnd"/>
      <w:r w:rsidRPr="00263EBA">
        <w:rPr>
          <w:rFonts w:asciiTheme="majorHAnsi" w:hAnsiTheme="majorHAnsi"/>
        </w:rPr>
        <w:t xml:space="preserve"> výške </w:t>
      </w:r>
      <w:r w:rsidR="00F002A7" w:rsidRPr="00263EBA">
        <w:rPr>
          <w:rFonts w:asciiTheme="majorHAnsi" w:hAnsiTheme="majorHAnsi"/>
        </w:rPr>
        <w:t xml:space="preserve">   </w:t>
      </w:r>
      <w:r w:rsidR="00CC07ED">
        <w:rPr>
          <w:rFonts w:asciiTheme="majorHAnsi" w:eastAsia="Times New Roman" w:hAnsiTheme="majorHAnsi" w:cs="Times New Roman"/>
          <w:bCs/>
          <w:lang w:val="sk-SK" w:eastAsia="sk-SK"/>
        </w:rPr>
        <w:t>401 884</w:t>
      </w:r>
      <w:r w:rsidR="00D85900" w:rsidRPr="00263EBA">
        <w:rPr>
          <w:rFonts w:asciiTheme="majorHAnsi" w:eastAsia="Times New Roman" w:hAnsiTheme="majorHAnsi" w:cs="Times New Roman"/>
          <w:b/>
          <w:bCs/>
          <w:lang w:val="sk-SK" w:eastAsia="sk-SK"/>
        </w:rPr>
        <w:t xml:space="preserve"> </w:t>
      </w:r>
      <w:r w:rsidRPr="00263EBA">
        <w:rPr>
          <w:rFonts w:asciiTheme="majorHAnsi" w:hAnsiTheme="majorHAnsi"/>
        </w:rPr>
        <w:t xml:space="preserve">EUR, </w:t>
      </w:r>
      <w:r w:rsidR="00740890" w:rsidRPr="00263EBA">
        <w:rPr>
          <w:rFonts w:asciiTheme="majorHAnsi" w:hAnsiTheme="majorHAnsi"/>
        </w:rPr>
        <w:t>(pokles oproti roku 201</w:t>
      </w:r>
      <w:r w:rsidR="00997145">
        <w:rPr>
          <w:rFonts w:asciiTheme="majorHAnsi" w:hAnsiTheme="majorHAnsi"/>
        </w:rPr>
        <w:t>5</w:t>
      </w:r>
      <w:r w:rsidR="00740890" w:rsidRPr="00263EBA">
        <w:rPr>
          <w:rFonts w:asciiTheme="majorHAnsi" w:hAnsiTheme="majorHAnsi"/>
        </w:rPr>
        <w:t xml:space="preserve"> o</w:t>
      </w:r>
      <w:r w:rsidR="00CC07ED">
        <w:rPr>
          <w:rFonts w:asciiTheme="majorHAnsi" w:hAnsiTheme="majorHAnsi"/>
        </w:rPr>
        <w:t> </w:t>
      </w:r>
      <w:r w:rsidR="00CC07ED">
        <w:rPr>
          <w:rFonts w:asciiTheme="majorHAnsi" w:eastAsia="Times New Roman" w:hAnsiTheme="majorHAnsi" w:cs="Times New Roman"/>
          <w:lang w:val="sk-SK" w:eastAsia="sk-SK"/>
        </w:rPr>
        <w:t>158 715</w:t>
      </w:r>
      <w:r w:rsidR="00740890" w:rsidRPr="00263EBA">
        <w:rPr>
          <w:rFonts w:asciiTheme="majorHAnsi" w:eastAsia="Times New Roman" w:hAnsiTheme="majorHAnsi" w:cs="Times New Roman"/>
          <w:lang w:val="sk-SK" w:eastAsia="sk-SK"/>
        </w:rPr>
        <w:t xml:space="preserve"> EUR) </w:t>
      </w:r>
      <w:r w:rsidRPr="00263EBA">
        <w:rPr>
          <w:rFonts w:asciiTheme="majorHAnsi" w:hAnsiTheme="majorHAnsi"/>
        </w:rPr>
        <w:t>v členení na jednotlivé položky:</w:t>
      </w:r>
    </w:p>
    <w:p w:rsidR="00D7793B" w:rsidRPr="00263EBA" w:rsidRDefault="00D7793B" w:rsidP="006B6D96">
      <w:pPr>
        <w:pStyle w:val="Odsekzoznamu"/>
        <w:numPr>
          <w:ilvl w:val="0"/>
          <w:numId w:val="11"/>
        </w:numPr>
        <w:ind w:left="1418" w:hanging="425"/>
        <w:jc w:val="both"/>
        <w:rPr>
          <w:rFonts w:asciiTheme="majorHAnsi" w:hAnsiTheme="majorHAnsi"/>
        </w:rPr>
      </w:pPr>
      <w:r w:rsidRPr="00263EBA">
        <w:rPr>
          <w:rFonts w:asciiTheme="majorHAnsi" w:hAnsiTheme="majorHAnsi"/>
        </w:rPr>
        <w:t xml:space="preserve">za prijímacie konanie vo výške </w:t>
      </w:r>
      <w:r w:rsidR="00CC07ED">
        <w:rPr>
          <w:rFonts w:asciiTheme="majorHAnsi" w:hAnsiTheme="majorHAnsi"/>
          <w:lang w:eastAsia="sk-SK"/>
        </w:rPr>
        <w:t>208 705</w:t>
      </w:r>
      <w:r w:rsidR="00D85900" w:rsidRPr="00263EBA">
        <w:rPr>
          <w:rFonts w:asciiTheme="majorHAnsi" w:hAnsiTheme="majorHAnsi"/>
          <w:lang w:eastAsia="sk-SK"/>
        </w:rPr>
        <w:t xml:space="preserve"> </w:t>
      </w:r>
      <w:r w:rsidRPr="00263EBA">
        <w:rPr>
          <w:rFonts w:asciiTheme="majorHAnsi" w:hAnsiTheme="majorHAnsi"/>
        </w:rPr>
        <w:t>EUR,</w:t>
      </w:r>
      <w:r w:rsidR="00F002A7" w:rsidRPr="00263EBA">
        <w:rPr>
          <w:rFonts w:asciiTheme="majorHAnsi" w:hAnsiTheme="majorHAnsi"/>
        </w:rPr>
        <w:t xml:space="preserve"> (pokles o</w:t>
      </w:r>
      <w:r w:rsidR="00CC07ED">
        <w:rPr>
          <w:rFonts w:asciiTheme="majorHAnsi" w:hAnsiTheme="majorHAnsi"/>
        </w:rPr>
        <w:t> 163 224</w:t>
      </w:r>
      <w:r w:rsidR="00F002A7" w:rsidRPr="00263EBA">
        <w:rPr>
          <w:rFonts w:asciiTheme="majorHAnsi" w:hAnsiTheme="majorHAnsi"/>
        </w:rPr>
        <w:t xml:space="preserve"> EUR)</w:t>
      </w:r>
    </w:p>
    <w:p w:rsidR="00D7793B" w:rsidRPr="00263EBA" w:rsidRDefault="00D7793B" w:rsidP="006B6D96">
      <w:pPr>
        <w:pStyle w:val="Odsekzoznamu"/>
        <w:numPr>
          <w:ilvl w:val="0"/>
          <w:numId w:val="11"/>
        </w:numPr>
        <w:ind w:left="1418" w:hanging="425"/>
        <w:jc w:val="both"/>
        <w:rPr>
          <w:rFonts w:asciiTheme="majorHAnsi" w:hAnsiTheme="majorHAnsi"/>
        </w:rPr>
      </w:pPr>
      <w:r w:rsidRPr="00263EBA">
        <w:rPr>
          <w:rFonts w:asciiTheme="majorHAnsi" w:hAnsiTheme="majorHAnsi"/>
        </w:rPr>
        <w:t xml:space="preserve">za vydanie dokladov o štúdiu a ich kópii vo výške </w:t>
      </w:r>
      <w:r w:rsidR="00CC07ED">
        <w:rPr>
          <w:rFonts w:asciiTheme="majorHAnsi" w:hAnsiTheme="majorHAnsi"/>
          <w:lang w:eastAsia="sk-SK"/>
        </w:rPr>
        <w:t xml:space="preserve">189 820 </w:t>
      </w:r>
      <w:r w:rsidRPr="00263EBA">
        <w:rPr>
          <w:rFonts w:asciiTheme="majorHAnsi" w:hAnsiTheme="majorHAnsi"/>
        </w:rPr>
        <w:t>EUR</w:t>
      </w:r>
      <w:r w:rsidR="00F002A7" w:rsidRPr="00263EBA">
        <w:rPr>
          <w:rFonts w:asciiTheme="majorHAnsi" w:hAnsiTheme="majorHAnsi"/>
        </w:rPr>
        <w:t xml:space="preserve"> (</w:t>
      </w:r>
      <w:r w:rsidR="00740890" w:rsidRPr="00263EBA">
        <w:rPr>
          <w:rFonts w:asciiTheme="majorHAnsi" w:hAnsiTheme="majorHAnsi"/>
        </w:rPr>
        <w:t xml:space="preserve">nárast  </w:t>
      </w:r>
      <w:r w:rsidR="00F002A7" w:rsidRPr="00263EBA">
        <w:rPr>
          <w:rFonts w:asciiTheme="majorHAnsi" w:hAnsiTheme="majorHAnsi"/>
        </w:rPr>
        <w:t>o</w:t>
      </w:r>
      <w:r w:rsidR="00CC07ED">
        <w:rPr>
          <w:rFonts w:asciiTheme="majorHAnsi" w:hAnsiTheme="majorHAnsi"/>
        </w:rPr>
        <w:t> </w:t>
      </w:r>
      <w:r w:rsidR="00CC07ED">
        <w:rPr>
          <w:rFonts w:asciiTheme="majorHAnsi" w:hAnsiTheme="majorHAnsi"/>
          <w:lang w:eastAsia="sk-SK"/>
        </w:rPr>
        <w:t>5 129</w:t>
      </w:r>
      <w:r w:rsidR="00F002A7" w:rsidRPr="00263EBA">
        <w:rPr>
          <w:rFonts w:asciiTheme="majorHAnsi" w:hAnsiTheme="majorHAnsi"/>
        </w:rPr>
        <w:t>EUR)</w:t>
      </w:r>
      <w:r w:rsidRPr="00263EBA">
        <w:rPr>
          <w:rFonts w:asciiTheme="majorHAnsi" w:hAnsiTheme="majorHAnsi"/>
        </w:rPr>
        <w:t>.</w:t>
      </w:r>
    </w:p>
    <w:p w:rsidR="00740890" w:rsidRPr="00263EBA" w:rsidRDefault="00740890" w:rsidP="006B6D96">
      <w:pPr>
        <w:pStyle w:val="Odsekzoznamu"/>
        <w:numPr>
          <w:ilvl w:val="0"/>
          <w:numId w:val="11"/>
        </w:numPr>
        <w:ind w:left="1418" w:hanging="425"/>
        <w:jc w:val="both"/>
        <w:rPr>
          <w:rFonts w:asciiTheme="majorHAnsi" w:hAnsiTheme="majorHAnsi"/>
          <w:lang w:eastAsia="sk-SK"/>
        </w:rPr>
      </w:pPr>
      <w:r w:rsidRPr="00263EBA">
        <w:rPr>
          <w:rFonts w:asciiTheme="majorHAnsi" w:hAnsiTheme="majorHAnsi"/>
          <w:lang w:eastAsia="sk-SK"/>
        </w:rPr>
        <w:t xml:space="preserve">za vydanie dokladov o absolvovaní štúdia v štátnom jazyku a v jazyku požadovanom študentom a ich kópií  vo výške </w:t>
      </w:r>
      <w:r w:rsidR="00CC07ED">
        <w:rPr>
          <w:rFonts w:asciiTheme="majorHAnsi" w:hAnsiTheme="majorHAnsi"/>
          <w:lang w:eastAsia="sk-SK"/>
        </w:rPr>
        <w:t>2 048</w:t>
      </w:r>
      <w:r w:rsidRPr="00263EBA">
        <w:rPr>
          <w:rFonts w:asciiTheme="majorHAnsi" w:hAnsiTheme="majorHAnsi"/>
          <w:lang w:eastAsia="sk-SK"/>
        </w:rPr>
        <w:t xml:space="preserve"> EUR</w:t>
      </w:r>
    </w:p>
    <w:p w:rsidR="00740890" w:rsidRPr="00263EBA" w:rsidRDefault="00740890" w:rsidP="006B6D96">
      <w:pPr>
        <w:pStyle w:val="Odsekzoznamu"/>
        <w:numPr>
          <w:ilvl w:val="0"/>
          <w:numId w:val="11"/>
        </w:numPr>
        <w:ind w:left="1418" w:hanging="425"/>
        <w:jc w:val="both"/>
        <w:rPr>
          <w:rFonts w:asciiTheme="majorHAnsi" w:hAnsiTheme="majorHAnsi"/>
          <w:lang w:eastAsia="sk-SK"/>
        </w:rPr>
      </w:pPr>
      <w:r w:rsidRPr="00263EBA">
        <w:rPr>
          <w:rFonts w:asciiTheme="majorHAnsi" w:hAnsiTheme="majorHAnsi"/>
          <w:lang w:eastAsia="sk-SK"/>
        </w:rPr>
        <w:t xml:space="preserve">za uznávanie rovnocennosti dokladov o štúdiu vo výške </w:t>
      </w:r>
      <w:r w:rsidR="00CC07ED">
        <w:rPr>
          <w:rFonts w:asciiTheme="majorHAnsi" w:hAnsiTheme="majorHAnsi"/>
          <w:lang w:eastAsia="sk-SK"/>
        </w:rPr>
        <w:t>1 311</w:t>
      </w:r>
      <w:r w:rsidRPr="00263EBA">
        <w:rPr>
          <w:rFonts w:asciiTheme="majorHAnsi" w:hAnsiTheme="majorHAnsi"/>
          <w:lang w:eastAsia="sk-SK"/>
        </w:rPr>
        <w:t xml:space="preserve"> EUR</w:t>
      </w:r>
    </w:p>
    <w:p w:rsidR="00CC07ED" w:rsidRPr="00CB2C99" w:rsidRDefault="00CC07ED" w:rsidP="00F002A7">
      <w:pPr>
        <w:ind w:left="1418"/>
        <w:jc w:val="both"/>
        <w:rPr>
          <w:rFonts w:asciiTheme="majorHAnsi" w:hAnsiTheme="majorHAnsi"/>
          <w:highlight w:val="yellow"/>
        </w:rPr>
      </w:pPr>
    </w:p>
    <w:p w:rsidR="00F002A7" w:rsidRPr="00AD6423" w:rsidRDefault="00F002A7" w:rsidP="006B6D96">
      <w:pPr>
        <w:pStyle w:val="Odsekzoznamu"/>
        <w:numPr>
          <w:ilvl w:val="0"/>
          <w:numId w:val="4"/>
        </w:numPr>
        <w:jc w:val="both"/>
        <w:rPr>
          <w:rFonts w:asciiTheme="majorHAnsi" w:hAnsiTheme="majorHAnsi"/>
          <w:u w:val="single"/>
        </w:rPr>
      </w:pPr>
      <w:r w:rsidRPr="008F23A5">
        <w:rPr>
          <w:rFonts w:asciiTheme="majorHAnsi" w:hAnsiTheme="majorHAnsi"/>
          <w:u w:val="single"/>
        </w:rPr>
        <w:t xml:space="preserve">Analýza štruktúry </w:t>
      </w:r>
      <w:r w:rsidRPr="00AD6423">
        <w:rPr>
          <w:rFonts w:asciiTheme="majorHAnsi" w:hAnsiTheme="majorHAnsi"/>
          <w:u w:val="single"/>
        </w:rPr>
        <w:t>účtu 384</w:t>
      </w:r>
    </w:p>
    <w:p w:rsidR="0076523C" w:rsidRPr="008F23A5" w:rsidRDefault="0076523C" w:rsidP="008F23A5">
      <w:pPr>
        <w:ind w:leftChars="277" w:left="708" w:hangingChars="18" w:hanging="43"/>
        <w:jc w:val="both"/>
        <w:rPr>
          <w:rFonts w:asciiTheme="majorHAnsi" w:hAnsiTheme="majorHAnsi"/>
        </w:rPr>
      </w:pPr>
      <w:r w:rsidRPr="008F23A5">
        <w:rPr>
          <w:rFonts w:asciiTheme="majorHAnsi" w:hAnsiTheme="majorHAnsi"/>
        </w:rPr>
        <w:t>K 31.12.201</w:t>
      </w:r>
      <w:r w:rsidR="00997145">
        <w:rPr>
          <w:rFonts w:asciiTheme="majorHAnsi" w:hAnsiTheme="majorHAnsi"/>
        </w:rPr>
        <w:t>6</w:t>
      </w:r>
      <w:r w:rsidRPr="008F23A5">
        <w:rPr>
          <w:rFonts w:asciiTheme="majorHAnsi" w:hAnsiTheme="majorHAnsi"/>
        </w:rPr>
        <w:t xml:space="preserve"> STU </w:t>
      </w:r>
      <w:proofErr w:type="gramStart"/>
      <w:r w:rsidRPr="008F23A5">
        <w:rPr>
          <w:rFonts w:asciiTheme="majorHAnsi" w:hAnsiTheme="majorHAnsi"/>
        </w:rPr>
        <w:t>na</w:t>
      </w:r>
      <w:proofErr w:type="gramEnd"/>
      <w:r w:rsidRPr="008F23A5">
        <w:rPr>
          <w:rFonts w:asciiTheme="majorHAnsi" w:hAnsiTheme="majorHAnsi"/>
        </w:rPr>
        <w:t xml:space="preserve"> účte výnosov budúcich období vykazovala stav</w:t>
      </w:r>
      <w:r w:rsidR="008D3ECB" w:rsidRPr="008F23A5">
        <w:rPr>
          <w:rFonts w:asciiTheme="majorHAnsi" w:hAnsiTheme="majorHAnsi"/>
        </w:rPr>
        <w:t xml:space="preserve">                                </w:t>
      </w:r>
      <w:r w:rsidRPr="008F23A5">
        <w:rPr>
          <w:rFonts w:asciiTheme="majorHAnsi" w:hAnsiTheme="majorHAnsi"/>
        </w:rPr>
        <w:t xml:space="preserve"> </w:t>
      </w:r>
      <w:r w:rsidR="00515610">
        <w:rPr>
          <w:rFonts w:asciiTheme="majorHAnsi" w:eastAsia="Times New Roman" w:hAnsiTheme="majorHAnsi" w:cs="Times New Roman"/>
          <w:bCs/>
          <w:lang w:val="sk-SK" w:eastAsia="sk-SK"/>
        </w:rPr>
        <w:t>149 962 993,09</w:t>
      </w:r>
      <w:r w:rsidRPr="008F23A5">
        <w:rPr>
          <w:rFonts w:asciiTheme="majorHAnsi" w:hAnsiTheme="majorHAnsi"/>
        </w:rPr>
        <w:t>EUR.</w:t>
      </w:r>
    </w:p>
    <w:p w:rsidR="00C54D4B" w:rsidRPr="008F23A5" w:rsidRDefault="00C54D4B" w:rsidP="0076523C">
      <w:pPr>
        <w:ind w:left="709"/>
        <w:jc w:val="both"/>
        <w:rPr>
          <w:rFonts w:asciiTheme="majorHAnsi" w:hAnsiTheme="majorHAnsi"/>
        </w:rPr>
      </w:pPr>
      <w:r w:rsidRPr="008F23A5">
        <w:rPr>
          <w:rFonts w:asciiTheme="majorHAnsi" w:hAnsiTheme="majorHAnsi"/>
        </w:rPr>
        <w:t>Z uvedeného stavu predstavuje:</w:t>
      </w:r>
    </w:p>
    <w:p w:rsidR="00C54D4B" w:rsidRPr="008F23A5" w:rsidRDefault="00C54D4B" w:rsidP="006B6D96">
      <w:pPr>
        <w:pStyle w:val="Odsekzoznamu"/>
        <w:numPr>
          <w:ilvl w:val="0"/>
          <w:numId w:val="12"/>
        </w:numPr>
        <w:ind w:left="1418" w:hanging="709"/>
        <w:jc w:val="both"/>
        <w:rPr>
          <w:rFonts w:asciiTheme="majorHAnsi" w:hAnsiTheme="majorHAnsi"/>
        </w:rPr>
      </w:pPr>
      <w:r w:rsidRPr="008F23A5">
        <w:rPr>
          <w:rFonts w:asciiTheme="majorHAnsi" w:hAnsiTheme="majorHAnsi"/>
        </w:rPr>
        <w:t xml:space="preserve">zostatok kapitálovej dotácie na krytie odpisov majetku nadobudnutého z nej vo výške </w:t>
      </w:r>
      <w:r w:rsidR="00515610">
        <w:rPr>
          <w:lang w:eastAsia="sk-SK"/>
        </w:rPr>
        <w:t>31 312 580,04€</w:t>
      </w:r>
    </w:p>
    <w:p w:rsidR="00C54D4B" w:rsidRPr="008F23A5" w:rsidRDefault="00C54D4B" w:rsidP="006B6D96">
      <w:pPr>
        <w:pStyle w:val="Odsekzoznamu"/>
        <w:numPr>
          <w:ilvl w:val="0"/>
          <w:numId w:val="12"/>
        </w:numPr>
        <w:ind w:left="1418" w:hanging="709"/>
        <w:jc w:val="both"/>
        <w:rPr>
          <w:rFonts w:asciiTheme="majorHAnsi" w:hAnsiTheme="majorHAnsi"/>
        </w:rPr>
      </w:pPr>
      <w:r w:rsidRPr="008F23A5">
        <w:rPr>
          <w:rFonts w:asciiTheme="majorHAnsi" w:hAnsiTheme="majorHAnsi"/>
        </w:rPr>
        <w:t xml:space="preserve">zostatok kapitálovej dotácie z prostriedkov EU na krytie odpisov majetku nadobudnutého z prostriedkov EU vo výške </w:t>
      </w:r>
      <w:r w:rsidR="001F3757">
        <w:rPr>
          <w:rFonts w:asciiTheme="majorHAnsi" w:hAnsiTheme="majorHAnsi"/>
          <w:lang w:eastAsia="sk-SK"/>
        </w:rPr>
        <w:t>102 355 446,88</w:t>
      </w:r>
      <w:r w:rsidR="004653F7">
        <w:rPr>
          <w:rFonts w:asciiTheme="majorHAnsi" w:hAnsiTheme="majorHAnsi"/>
          <w:lang w:eastAsia="sk-SK"/>
        </w:rPr>
        <w:t>€</w:t>
      </w:r>
      <w:r w:rsidR="00E967ED" w:rsidRPr="008F23A5">
        <w:rPr>
          <w:lang w:eastAsia="sk-SK"/>
        </w:rPr>
        <w:t xml:space="preserve"> </w:t>
      </w:r>
    </w:p>
    <w:p w:rsidR="00B059AA" w:rsidRPr="008F23A5" w:rsidRDefault="00C54D4B" w:rsidP="006B6D96">
      <w:pPr>
        <w:pStyle w:val="Odsekzoznamu"/>
        <w:numPr>
          <w:ilvl w:val="0"/>
          <w:numId w:val="12"/>
        </w:numPr>
        <w:ind w:left="1418" w:hanging="709"/>
        <w:jc w:val="both"/>
        <w:rPr>
          <w:rFonts w:asciiTheme="majorHAnsi" w:hAnsiTheme="majorHAnsi"/>
        </w:rPr>
      </w:pPr>
      <w:r w:rsidRPr="008F23A5">
        <w:rPr>
          <w:rFonts w:asciiTheme="majorHAnsi" w:hAnsiTheme="majorHAnsi"/>
        </w:rPr>
        <w:t xml:space="preserve">zostatok dotácie zo zahraničných projektov na krytie výdavkov v nasledujúcich obdobiach vo výške </w:t>
      </w:r>
      <w:r w:rsidR="00515610">
        <w:rPr>
          <w:lang w:eastAsia="sk-SK"/>
        </w:rPr>
        <w:t>3 980 867,64</w:t>
      </w:r>
      <w:r w:rsidR="00E967ED" w:rsidRPr="008F23A5">
        <w:rPr>
          <w:lang w:eastAsia="sk-SK"/>
        </w:rPr>
        <w:t xml:space="preserve"> </w:t>
      </w:r>
      <w:r w:rsidR="00B059AA" w:rsidRPr="008F23A5">
        <w:rPr>
          <w:rFonts w:asciiTheme="majorHAnsi" w:hAnsiTheme="majorHAnsi"/>
        </w:rPr>
        <w:t>EUR</w:t>
      </w:r>
    </w:p>
    <w:p w:rsidR="00B25753" w:rsidRDefault="00B059AA" w:rsidP="006B6D96">
      <w:pPr>
        <w:pStyle w:val="Odsekzoznamu"/>
        <w:numPr>
          <w:ilvl w:val="0"/>
          <w:numId w:val="12"/>
        </w:numPr>
        <w:ind w:left="1418" w:hanging="709"/>
        <w:jc w:val="both"/>
        <w:rPr>
          <w:rFonts w:asciiTheme="majorHAnsi" w:hAnsiTheme="majorHAnsi"/>
        </w:rPr>
      </w:pPr>
      <w:r w:rsidRPr="008F23A5">
        <w:rPr>
          <w:rFonts w:asciiTheme="majorHAnsi" w:hAnsiTheme="majorHAnsi"/>
        </w:rPr>
        <w:t xml:space="preserve">zostatok bežnej dotácie na krytie výdavkov v nasledujúcich obdobiach vo výške </w:t>
      </w:r>
      <w:r w:rsidR="00E967ED" w:rsidRPr="008F23A5">
        <w:rPr>
          <w:rFonts w:asciiTheme="majorHAnsi" w:hAnsiTheme="majorHAnsi"/>
        </w:rPr>
        <w:t xml:space="preserve">     </w:t>
      </w:r>
      <w:r w:rsidR="00515610">
        <w:rPr>
          <w:lang w:eastAsia="sk-SK"/>
        </w:rPr>
        <w:t>9 363 877,90</w:t>
      </w:r>
      <w:r w:rsidRPr="008F23A5">
        <w:rPr>
          <w:rFonts w:asciiTheme="majorHAnsi" w:hAnsiTheme="majorHAnsi"/>
        </w:rPr>
        <w:t>EUR</w:t>
      </w:r>
    </w:p>
    <w:p w:rsidR="00C54D4B" w:rsidRPr="008F23A5" w:rsidRDefault="00B25753" w:rsidP="006B6D96">
      <w:pPr>
        <w:pStyle w:val="Odsekzoznamu"/>
        <w:numPr>
          <w:ilvl w:val="0"/>
          <w:numId w:val="12"/>
        </w:numPr>
        <w:ind w:left="1418" w:hanging="709"/>
        <w:jc w:val="both"/>
        <w:rPr>
          <w:rFonts w:asciiTheme="majorHAnsi" w:hAnsiTheme="majorHAnsi"/>
        </w:rPr>
      </w:pPr>
      <w:r w:rsidRPr="008F23A5">
        <w:rPr>
          <w:rFonts w:asciiTheme="majorHAnsi" w:hAnsiTheme="majorHAnsi"/>
        </w:rPr>
        <w:t xml:space="preserve">ostatné vo výške </w:t>
      </w:r>
      <w:r w:rsidR="001F3757">
        <w:rPr>
          <w:rFonts w:asciiTheme="majorHAnsi" w:hAnsiTheme="majorHAnsi"/>
          <w:lang w:eastAsia="sk-SK"/>
        </w:rPr>
        <w:t>2 950 220,63</w:t>
      </w:r>
      <w:r w:rsidR="003526FA">
        <w:rPr>
          <w:rFonts w:asciiTheme="majorHAnsi" w:hAnsiTheme="majorHAnsi"/>
          <w:lang w:eastAsia="sk-SK"/>
        </w:rPr>
        <w:t xml:space="preserve"> </w:t>
      </w:r>
      <w:r w:rsidRPr="008F23A5">
        <w:rPr>
          <w:rFonts w:asciiTheme="majorHAnsi" w:hAnsiTheme="majorHAnsi"/>
        </w:rPr>
        <w:t>EUR (neminuté dotácie získané prostredníctvom projektov Nórskeho mechanizmu</w:t>
      </w:r>
      <w:r w:rsidR="00DB3DE8">
        <w:rPr>
          <w:rFonts w:asciiTheme="majorHAnsi" w:hAnsiTheme="majorHAnsi"/>
        </w:rPr>
        <w:t>,</w:t>
      </w:r>
      <w:r w:rsidR="00AD6423">
        <w:rPr>
          <w:rFonts w:asciiTheme="majorHAnsi" w:hAnsiTheme="majorHAnsi"/>
        </w:rPr>
        <w:t xml:space="preserve"> 2% zaplatenej dane</w:t>
      </w:r>
      <w:r w:rsidR="00DB3DE8">
        <w:rPr>
          <w:rFonts w:asciiTheme="majorHAnsi" w:hAnsiTheme="majorHAnsi"/>
        </w:rPr>
        <w:t xml:space="preserve"> </w:t>
      </w:r>
      <w:r w:rsidRPr="008F23A5">
        <w:rPr>
          <w:rFonts w:asciiTheme="majorHAnsi" w:hAnsiTheme="majorHAnsi"/>
        </w:rPr>
        <w:t xml:space="preserve"> a z darov)</w:t>
      </w:r>
      <w:r w:rsidR="00C54D4B" w:rsidRPr="008F23A5">
        <w:rPr>
          <w:rFonts w:asciiTheme="majorHAnsi" w:hAnsiTheme="majorHAnsi"/>
        </w:rPr>
        <w:t xml:space="preserve"> </w:t>
      </w:r>
    </w:p>
    <w:p w:rsidR="00D7793B" w:rsidRPr="008F23A5" w:rsidRDefault="00D7793B" w:rsidP="008F23A5">
      <w:pPr>
        <w:pStyle w:val="Nadpis2"/>
        <w:ind w:left="1418" w:hanging="709"/>
        <w:rPr>
          <w:rFonts w:asciiTheme="majorHAnsi" w:hAnsiTheme="majorHAnsi" w:cs="Times New Roman"/>
          <w:b w:val="0"/>
          <w:bCs w:val="0"/>
          <w:i w:val="0"/>
          <w:iCs w:val="0"/>
        </w:rPr>
      </w:pPr>
    </w:p>
    <w:p w:rsidR="00D7793B" w:rsidRPr="008F23A5" w:rsidRDefault="008F23A5" w:rsidP="008F23A5">
      <w:pPr>
        <w:pStyle w:val="Nadpis2"/>
        <w:rPr>
          <w:rFonts w:asciiTheme="majorHAnsi" w:hAnsiTheme="majorHAnsi" w:cs="Times New Roman"/>
          <w:b w:val="0"/>
          <w:bCs w:val="0"/>
          <w:i w:val="0"/>
          <w:iCs w:val="0"/>
        </w:rPr>
      </w:pPr>
      <w:r w:rsidRPr="008F23A5">
        <w:rPr>
          <w:rFonts w:asciiTheme="majorHAnsi" w:hAnsiTheme="majorHAnsi" w:cs="Times New Roman"/>
          <w:i w:val="0"/>
          <w:iCs w:val="0"/>
        </w:rPr>
        <w:t xml:space="preserve">4. </w:t>
      </w:r>
      <w:r w:rsidR="001337F1" w:rsidRPr="008F23A5">
        <w:rPr>
          <w:rFonts w:asciiTheme="majorHAnsi" w:hAnsiTheme="majorHAnsi" w:cs="Times New Roman"/>
          <w:i w:val="0"/>
          <w:iCs w:val="0"/>
        </w:rPr>
        <w:t>Analýza</w:t>
      </w:r>
      <w:r w:rsidR="00D7793B" w:rsidRPr="008F23A5">
        <w:rPr>
          <w:rFonts w:asciiTheme="majorHAnsi" w:hAnsiTheme="majorHAnsi" w:cs="Times New Roman"/>
          <w:i w:val="0"/>
          <w:iCs w:val="0"/>
        </w:rPr>
        <w:t xml:space="preserve"> </w:t>
      </w:r>
      <w:r w:rsidR="001337F1" w:rsidRPr="008F23A5">
        <w:rPr>
          <w:rFonts w:asciiTheme="majorHAnsi" w:hAnsiTheme="majorHAnsi" w:cs="Times New Roman"/>
          <w:i w:val="0"/>
          <w:iCs w:val="0"/>
        </w:rPr>
        <w:t>n</w:t>
      </w:r>
      <w:r w:rsidR="00D7793B" w:rsidRPr="008F23A5">
        <w:rPr>
          <w:rFonts w:asciiTheme="majorHAnsi" w:hAnsiTheme="majorHAnsi" w:cs="Times New Roman"/>
          <w:i w:val="0"/>
          <w:iCs w:val="0"/>
        </w:rPr>
        <w:t>áklad</w:t>
      </w:r>
      <w:r w:rsidR="001337F1" w:rsidRPr="008F23A5">
        <w:rPr>
          <w:rFonts w:asciiTheme="majorHAnsi" w:hAnsiTheme="majorHAnsi" w:cs="Times New Roman"/>
          <w:i w:val="0"/>
          <w:iCs w:val="0"/>
        </w:rPr>
        <w:t>ov</w:t>
      </w:r>
    </w:p>
    <w:p w:rsidR="00D7793B" w:rsidRPr="008F23A5" w:rsidRDefault="00D7793B" w:rsidP="008F23A5">
      <w:pPr>
        <w:jc w:val="both"/>
        <w:rPr>
          <w:rFonts w:asciiTheme="majorHAnsi" w:hAnsiTheme="majorHAnsi"/>
        </w:rPr>
      </w:pPr>
      <w:r w:rsidRPr="008F23A5">
        <w:rPr>
          <w:rFonts w:asciiTheme="majorHAnsi" w:hAnsiTheme="majorHAnsi"/>
        </w:rPr>
        <w:t>Celkové náklady STU v roku 201</w:t>
      </w:r>
      <w:r w:rsidR="00B535A7">
        <w:rPr>
          <w:rFonts w:asciiTheme="majorHAnsi" w:hAnsiTheme="majorHAnsi"/>
        </w:rPr>
        <w:t>6</w:t>
      </w:r>
      <w:r w:rsidRPr="008F23A5">
        <w:rPr>
          <w:rFonts w:asciiTheme="majorHAnsi" w:hAnsiTheme="majorHAnsi"/>
        </w:rPr>
        <w:t xml:space="preserve"> dosiahli výšku </w:t>
      </w:r>
      <w:r w:rsidR="00B535A7">
        <w:rPr>
          <w:rFonts w:asciiTheme="majorHAnsi" w:eastAsia="Times New Roman" w:hAnsiTheme="majorHAnsi" w:cs="Times New Roman"/>
          <w:lang w:val="sk-SK" w:eastAsia="sk-SK"/>
        </w:rPr>
        <w:t>102 056 248</w:t>
      </w:r>
      <w:proofErr w:type="gramStart"/>
      <w:r w:rsidR="00B535A7">
        <w:rPr>
          <w:rFonts w:asciiTheme="majorHAnsi" w:eastAsia="Times New Roman" w:hAnsiTheme="majorHAnsi" w:cs="Times New Roman"/>
          <w:lang w:val="sk-SK" w:eastAsia="sk-SK"/>
        </w:rPr>
        <w:t>,90</w:t>
      </w:r>
      <w:proofErr w:type="gramEnd"/>
      <w:r w:rsidR="008F23A5" w:rsidRPr="008F23A5">
        <w:rPr>
          <w:rFonts w:asciiTheme="majorHAnsi" w:eastAsia="Times New Roman" w:hAnsiTheme="majorHAnsi" w:cs="Times New Roman"/>
          <w:lang w:val="sk-SK" w:eastAsia="sk-SK"/>
        </w:rPr>
        <w:t xml:space="preserve"> </w:t>
      </w:r>
      <w:r w:rsidRPr="008F23A5">
        <w:rPr>
          <w:rFonts w:asciiTheme="majorHAnsi" w:hAnsiTheme="majorHAnsi"/>
        </w:rPr>
        <w:t>EUR</w:t>
      </w:r>
      <w:r w:rsidR="00FF7A75" w:rsidRPr="008F23A5">
        <w:rPr>
          <w:rFonts w:asciiTheme="majorHAnsi" w:hAnsiTheme="majorHAnsi"/>
        </w:rPr>
        <w:t xml:space="preserve"> (</w:t>
      </w:r>
      <w:r w:rsidR="008F23A5" w:rsidRPr="008F23A5">
        <w:rPr>
          <w:rFonts w:asciiTheme="majorHAnsi" w:hAnsiTheme="majorHAnsi"/>
        </w:rPr>
        <w:t>nárast</w:t>
      </w:r>
      <w:r w:rsidR="00FF7A75" w:rsidRPr="008F23A5">
        <w:rPr>
          <w:rFonts w:asciiTheme="majorHAnsi" w:hAnsiTheme="majorHAnsi"/>
        </w:rPr>
        <w:t xml:space="preserve"> oproti minulému roku o</w:t>
      </w:r>
      <w:r w:rsidR="00B535A7">
        <w:rPr>
          <w:rFonts w:asciiTheme="majorHAnsi" w:hAnsiTheme="majorHAnsi"/>
        </w:rPr>
        <w:t> </w:t>
      </w:r>
      <w:r w:rsidR="00B535A7">
        <w:rPr>
          <w:rFonts w:asciiTheme="majorHAnsi" w:eastAsia="Times New Roman" w:hAnsiTheme="majorHAnsi" w:cs="Times New Roman"/>
          <w:lang w:val="sk-SK" w:eastAsia="sk-SK"/>
        </w:rPr>
        <w:t>4 381 930,69</w:t>
      </w:r>
      <w:r w:rsidR="008F23A5" w:rsidRPr="008F23A5">
        <w:rPr>
          <w:rFonts w:asciiTheme="majorHAnsi" w:eastAsia="Times New Roman" w:hAnsiTheme="majorHAnsi" w:cs="Times New Roman"/>
          <w:lang w:val="sk-SK" w:eastAsia="sk-SK"/>
        </w:rPr>
        <w:t xml:space="preserve"> </w:t>
      </w:r>
      <w:r w:rsidR="00FF7A75" w:rsidRPr="008F23A5">
        <w:rPr>
          <w:rFonts w:asciiTheme="majorHAnsi" w:hAnsiTheme="majorHAnsi"/>
        </w:rPr>
        <w:t>EUR</w:t>
      </w:r>
      <w:r w:rsidRPr="008F23A5">
        <w:rPr>
          <w:rFonts w:asciiTheme="majorHAnsi" w:hAnsiTheme="majorHAnsi"/>
        </w:rPr>
        <w:t xml:space="preserve">, z toho v hlavnej </w:t>
      </w:r>
      <w:r w:rsidR="008904C5">
        <w:rPr>
          <w:rFonts w:asciiTheme="majorHAnsi" w:hAnsiTheme="majorHAnsi"/>
        </w:rPr>
        <w:t xml:space="preserve">nezdaňovanej </w:t>
      </w:r>
      <w:r w:rsidRPr="008F23A5">
        <w:rPr>
          <w:rFonts w:asciiTheme="majorHAnsi" w:hAnsiTheme="majorHAnsi"/>
        </w:rPr>
        <w:t xml:space="preserve">činnosti </w:t>
      </w:r>
      <w:r w:rsidR="008904C5">
        <w:rPr>
          <w:rFonts w:asciiTheme="majorHAnsi" w:hAnsiTheme="majorHAnsi"/>
        </w:rPr>
        <w:t xml:space="preserve">                  </w:t>
      </w:r>
      <w:r w:rsidR="00B535A7">
        <w:rPr>
          <w:rFonts w:asciiTheme="majorHAnsi" w:eastAsia="Times New Roman" w:hAnsiTheme="majorHAnsi" w:cs="Times New Roman"/>
          <w:bCs/>
          <w:lang w:val="sk-SK" w:eastAsia="sk-SK"/>
        </w:rPr>
        <w:t>95 325 433,20</w:t>
      </w:r>
      <w:r w:rsidR="008F23A5" w:rsidRPr="008F23A5">
        <w:rPr>
          <w:rFonts w:asciiTheme="majorHAnsi" w:eastAsia="Times New Roman" w:hAnsiTheme="majorHAnsi" w:cs="Times New Roman"/>
          <w:bCs/>
          <w:lang w:val="sk-SK" w:eastAsia="sk-SK"/>
        </w:rPr>
        <w:t xml:space="preserve"> </w:t>
      </w:r>
      <w:r w:rsidRPr="008F23A5">
        <w:rPr>
          <w:rFonts w:asciiTheme="majorHAnsi" w:hAnsiTheme="majorHAnsi"/>
        </w:rPr>
        <w:t>EUR</w:t>
      </w:r>
      <w:r w:rsidRPr="008F23A5">
        <w:rPr>
          <w:rFonts w:asciiTheme="majorHAnsi" w:hAnsiTheme="majorHAnsi"/>
          <w:iCs/>
        </w:rPr>
        <w:t xml:space="preserve">, </w:t>
      </w:r>
      <w:r w:rsidRPr="008F23A5">
        <w:rPr>
          <w:rFonts w:asciiTheme="majorHAnsi" w:hAnsiTheme="majorHAnsi"/>
        </w:rPr>
        <w:t xml:space="preserve">v </w:t>
      </w:r>
      <w:r w:rsidR="008904C5">
        <w:rPr>
          <w:rFonts w:asciiTheme="majorHAnsi" w:hAnsiTheme="majorHAnsi"/>
        </w:rPr>
        <w:t>zdaňovanej</w:t>
      </w:r>
      <w:r w:rsidRPr="008F23A5">
        <w:rPr>
          <w:rFonts w:asciiTheme="majorHAnsi" w:hAnsiTheme="majorHAnsi"/>
        </w:rPr>
        <w:t xml:space="preserve"> činnosti  </w:t>
      </w:r>
      <w:r w:rsidR="00D835CE">
        <w:rPr>
          <w:rFonts w:asciiTheme="majorHAnsi" w:eastAsia="Times New Roman" w:hAnsiTheme="majorHAnsi" w:cs="Times New Roman"/>
          <w:bCs/>
          <w:lang w:val="sk-SK" w:eastAsia="sk-SK"/>
        </w:rPr>
        <w:t>7 345 998</w:t>
      </w:r>
      <w:r w:rsidR="008F23A5" w:rsidRPr="008F23A5">
        <w:rPr>
          <w:rFonts w:asciiTheme="majorHAnsi" w:eastAsia="Times New Roman" w:hAnsiTheme="majorHAnsi" w:cs="Times New Roman"/>
          <w:bCs/>
          <w:lang w:val="sk-SK" w:eastAsia="sk-SK"/>
        </w:rPr>
        <w:t xml:space="preserve"> </w:t>
      </w:r>
      <w:r w:rsidRPr="008F23A5">
        <w:rPr>
          <w:rFonts w:asciiTheme="majorHAnsi" w:hAnsiTheme="majorHAnsi"/>
        </w:rPr>
        <w:t>EUR, v členení podľa položiek účtovej triedy 5 (tabuľka č. 5).</w:t>
      </w:r>
    </w:p>
    <w:p w:rsidR="00D7793B" w:rsidRPr="00CB2C99" w:rsidRDefault="00D7793B" w:rsidP="00D7793B">
      <w:pPr>
        <w:jc w:val="both"/>
        <w:rPr>
          <w:rFonts w:asciiTheme="majorHAnsi" w:hAnsiTheme="majorHAnsi"/>
          <w:highlight w:val="yellow"/>
        </w:rPr>
      </w:pPr>
    </w:p>
    <w:p w:rsidR="00D7793B" w:rsidRPr="00015211" w:rsidRDefault="00D7793B" w:rsidP="00D7793B">
      <w:pPr>
        <w:pStyle w:val="Zkladntext"/>
        <w:rPr>
          <w:rFonts w:asciiTheme="majorHAnsi" w:hAnsiTheme="majorHAnsi" w:cs="Times New Roman"/>
        </w:rPr>
      </w:pPr>
      <w:r w:rsidRPr="00015211">
        <w:rPr>
          <w:rFonts w:asciiTheme="majorHAnsi" w:hAnsiTheme="majorHAnsi" w:cs="Times New Roman"/>
        </w:rPr>
        <w:t xml:space="preserve">Najvyššie celkové náklady STU tvorili: </w:t>
      </w:r>
    </w:p>
    <w:p w:rsidR="00D7793B" w:rsidRPr="004653F7" w:rsidRDefault="00D7793B" w:rsidP="004653F7">
      <w:pPr>
        <w:pStyle w:val="Odsekzoznamu"/>
        <w:numPr>
          <w:ilvl w:val="0"/>
          <w:numId w:val="16"/>
        </w:numPr>
        <w:jc w:val="both"/>
        <w:rPr>
          <w:rFonts w:asciiTheme="majorHAnsi" w:hAnsiTheme="majorHAnsi"/>
        </w:rPr>
      </w:pPr>
      <w:r w:rsidRPr="004653F7">
        <w:rPr>
          <w:rFonts w:asciiTheme="majorHAnsi" w:hAnsiTheme="majorHAnsi"/>
        </w:rPr>
        <w:t xml:space="preserve">mzdové náklady vo výške </w:t>
      </w:r>
      <w:r w:rsidR="00B535A7">
        <w:rPr>
          <w:rFonts w:asciiTheme="majorHAnsi" w:hAnsiTheme="majorHAnsi"/>
          <w:lang w:eastAsia="sk-SK"/>
        </w:rPr>
        <w:t>3</w:t>
      </w:r>
      <w:r w:rsidR="009D14B7">
        <w:rPr>
          <w:rFonts w:asciiTheme="majorHAnsi" w:hAnsiTheme="majorHAnsi"/>
          <w:lang w:eastAsia="sk-SK"/>
        </w:rPr>
        <w:t>6</w:t>
      </w:r>
      <w:r w:rsidR="00B535A7">
        <w:rPr>
          <w:rFonts w:asciiTheme="majorHAnsi" w:hAnsiTheme="majorHAnsi"/>
          <w:lang w:eastAsia="sk-SK"/>
        </w:rPr>
        <w:t> </w:t>
      </w:r>
      <w:r w:rsidR="009D14B7">
        <w:rPr>
          <w:rFonts w:asciiTheme="majorHAnsi" w:hAnsiTheme="majorHAnsi"/>
          <w:lang w:eastAsia="sk-SK"/>
        </w:rPr>
        <w:t xml:space="preserve">143259,99 </w:t>
      </w:r>
      <w:r w:rsidRPr="004653F7">
        <w:rPr>
          <w:rFonts w:asciiTheme="majorHAnsi" w:hAnsiTheme="majorHAnsi"/>
        </w:rPr>
        <w:t>EUR (</w:t>
      </w:r>
      <w:r w:rsidR="008F23A5" w:rsidRPr="004653F7">
        <w:rPr>
          <w:rFonts w:asciiTheme="majorHAnsi" w:hAnsiTheme="majorHAnsi"/>
        </w:rPr>
        <w:t>nárast</w:t>
      </w:r>
      <w:r w:rsidRPr="004653F7">
        <w:rPr>
          <w:rFonts w:asciiTheme="majorHAnsi" w:hAnsiTheme="majorHAnsi"/>
        </w:rPr>
        <w:t xml:space="preserve"> oproti roku 201</w:t>
      </w:r>
      <w:r w:rsidR="00B535A7">
        <w:rPr>
          <w:rFonts w:asciiTheme="majorHAnsi" w:hAnsiTheme="majorHAnsi"/>
        </w:rPr>
        <w:t>5</w:t>
      </w:r>
      <w:r w:rsidRPr="004653F7">
        <w:rPr>
          <w:rFonts w:asciiTheme="majorHAnsi" w:hAnsiTheme="majorHAnsi"/>
        </w:rPr>
        <w:t xml:space="preserve"> o</w:t>
      </w:r>
      <w:r w:rsidR="00B535A7">
        <w:rPr>
          <w:rFonts w:asciiTheme="majorHAnsi" w:hAnsiTheme="majorHAnsi"/>
        </w:rPr>
        <w:t> </w:t>
      </w:r>
      <w:r w:rsidR="00B535A7">
        <w:rPr>
          <w:rFonts w:asciiTheme="majorHAnsi" w:hAnsiTheme="majorHAnsi"/>
          <w:lang w:eastAsia="sk-SK"/>
        </w:rPr>
        <w:t>1</w:t>
      </w:r>
      <w:r w:rsidR="009D14B7">
        <w:rPr>
          <w:rFonts w:asciiTheme="majorHAnsi" w:hAnsiTheme="majorHAnsi"/>
          <w:lang w:eastAsia="sk-SK"/>
        </w:rPr>
        <w:t> 255 290,68 €</w:t>
      </w:r>
      <w:r w:rsidRPr="004653F7">
        <w:rPr>
          <w:rFonts w:asciiTheme="majorHAnsi" w:hAnsiTheme="majorHAnsi"/>
        </w:rPr>
        <w:t>)</w:t>
      </w:r>
    </w:p>
    <w:p w:rsidR="00950670" w:rsidRPr="004653F7" w:rsidRDefault="00D7793B" w:rsidP="004653F7">
      <w:pPr>
        <w:pStyle w:val="Odsekzoznamu"/>
        <w:numPr>
          <w:ilvl w:val="0"/>
          <w:numId w:val="16"/>
        </w:numPr>
        <w:jc w:val="both"/>
        <w:rPr>
          <w:rFonts w:asciiTheme="majorHAnsi" w:hAnsiTheme="majorHAnsi"/>
        </w:rPr>
      </w:pPr>
      <w:r w:rsidRPr="004653F7">
        <w:rPr>
          <w:rFonts w:asciiTheme="majorHAnsi" w:hAnsiTheme="majorHAnsi"/>
        </w:rPr>
        <w:t xml:space="preserve">zákonné sociálne poistenie vo výške </w:t>
      </w:r>
      <w:r w:rsidR="00B535A7">
        <w:rPr>
          <w:rFonts w:asciiTheme="majorHAnsi" w:hAnsiTheme="majorHAnsi"/>
        </w:rPr>
        <w:t xml:space="preserve">12 533 266,56 </w:t>
      </w:r>
      <w:r w:rsidRPr="004653F7">
        <w:rPr>
          <w:rFonts w:asciiTheme="majorHAnsi" w:hAnsiTheme="majorHAnsi"/>
        </w:rPr>
        <w:t>EUR (</w:t>
      </w:r>
      <w:r w:rsidR="008F23A5" w:rsidRPr="004653F7">
        <w:rPr>
          <w:rFonts w:asciiTheme="majorHAnsi" w:hAnsiTheme="majorHAnsi"/>
        </w:rPr>
        <w:t>nárast</w:t>
      </w:r>
      <w:r w:rsidRPr="004653F7">
        <w:rPr>
          <w:rFonts w:asciiTheme="majorHAnsi" w:hAnsiTheme="majorHAnsi"/>
        </w:rPr>
        <w:t xml:space="preserve"> oproti roku 201</w:t>
      </w:r>
      <w:r w:rsidR="00B535A7">
        <w:rPr>
          <w:rFonts w:asciiTheme="majorHAnsi" w:hAnsiTheme="majorHAnsi"/>
        </w:rPr>
        <w:t>5</w:t>
      </w:r>
      <w:r w:rsidR="009D14B7">
        <w:rPr>
          <w:rFonts w:asciiTheme="majorHAnsi" w:hAnsiTheme="majorHAnsi"/>
        </w:rPr>
        <w:t xml:space="preserve"> </w:t>
      </w:r>
      <w:r w:rsidRPr="004653F7">
        <w:rPr>
          <w:rFonts w:asciiTheme="majorHAnsi" w:hAnsiTheme="majorHAnsi"/>
        </w:rPr>
        <w:t>o</w:t>
      </w:r>
      <w:r w:rsidR="00B535A7">
        <w:rPr>
          <w:rFonts w:asciiTheme="majorHAnsi" w:hAnsiTheme="majorHAnsi"/>
        </w:rPr>
        <w:t> </w:t>
      </w:r>
      <w:r w:rsidR="00B535A7">
        <w:rPr>
          <w:rFonts w:asciiTheme="majorHAnsi" w:hAnsiTheme="majorHAnsi"/>
          <w:lang w:eastAsia="sk-SK"/>
        </w:rPr>
        <w:t>252 439,64</w:t>
      </w:r>
      <w:r w:rsidR="00015211" w:rsidRPr="004653F7">
        <w:rPr>
          <w:rFonts w:asciiTheme="majorHAnsi" w:hAnsiTheme="majorHAnsi"/>
        </w:rPr>
        <w:t>EUR)</w:t>
      </w:r>
    </w:p>
    <w:p w:rsidR="00D7793B" w:rsidRPr="004653F7" w:rsidRDefault="00D7793B" w:rsidP="004653F7">
      <w:pPr>
        <w:pStyle w:val="Odsekzoznamu"/>
        <w:numPr>
          <w:ilvl w:val="0"/>
          <w:numId w:val="16"/>
        </w:numPr>
        <w:jc w:val="both"/>
        <w:rPr>
          <w:rFonts w:asciiTheme="majorHAnsi" w:hAnsiTheme="majorHAnsi"/>
        </w:rPr>
      </w:pPr>
      <w:r w:rsidRPr="004653F7">
        <w:rPr>
          <w:rFonts w:asciiTheme="majorHAnsi" w:hAnsiTheme="majorHAnsi"/>
        </w:rPr>
        <w:t xml:space="preserve">Odpisy dlhodobého nehmotného a dlhodobého hmotného majetku vo výške                  </w:t>
      </w:r>
      <w:r w:rsidR="00B535A7">
        <w:rPr>
          <w:rFonts w:asciiTheme="majorHAnsi" w:hAnsiTheme="majorHAnsi"/>
          <w:lang w:eastAsia="sk-SK"/>
        </w:rPr>
        <w:t>17 670 778,97</w:t>
      </w:r>
      <w:r w:rsidRPr="004653F7">
        <w:rPr>
          <w:rFonts w:asciiTheme="majorHAnsi" w:hAnsiTheme="majorHAnsi"/>
        </w:rPr>
        <w:t>EUR (</w:t>
      </w:r>
      <w:r w:rsidR="00015211" w:rsidRPr="004653F7">
        <w:rPr>
          <w:rFonts w:asciiTheme="majorHAnsi" w:hAnsiTheme="majorHAnsi"/>
        </w:rPr>
        <w:t>nárast</w:t>
      </w:r>
      <w:r w:rsidR="00950670" w:rsidRPr="004653F7">
        <w:rPr>
          <w:rFonts w:asciiTheme="majorHAnsi" w:hAnsiTheme="majorHAnsi"/>
        </w:rPr>
        <w:t xml:space="preserve"> </w:t>
      </w:r>
      <w:r w:rsidRPr="004653F7">
        <w:rPr>
          <w:rFonts w:asciiTheme="majorHAnsi" w:hAnsiTheme="majorHAnsi"/>
        </w:rPr>
        <w:t>oproti roku 201</w:t>
      </w:r>
      <w:r w:rsidR="00B535A7">
        <w:rPr>
          <w:rFonts w:asciiTheme="majorHAnsi" w:hAnsiTheme="majorHAnsi"/>
        </w:rPr>
        <w:t>5</w:t>
      </w:r>
      <w:r w:rsidRPr="004653F7">
        <w:rPr>
          <w:rFonts w:asciiTheme="majorHAnsi" w:hAnsiTheme="majorHAnsi"/>
        </w:rPr>
        <w:t xml:space="preserve"> o</w:t>
      </w:r>
      <w:r w:rsidR="00097B8C">
        <w:rPr>
          <w:rFonts w:asciiTheme="majorHAnsi" w:hAnsiTheme="majorHAnsi"/>
        </w:rPr>
        <w:t> </w:t>
      </w:r>
      <w:r w:rsidR="00097B8C">
        <w:rPr>
          <w:rFonts w:asciiTheme="majorHAnsi" w:hAnsiTheme="majorHAnsi"/>
          <w:lang w:eastAsia="sk-SK"/>
        </w:rPr>
        <w:t>5 447 660,01</w:t>
      </w:r>
      <w:r w:rsidRPr="004653F7">
        <w:rPr>
          <w:rFonts w:asciiTheme="majorHAnsi" w:hAnsiTheme="majorHAnsi"/>
        </w:rPr>
        <w:t xml:space="preserve">EUR). </w:t>
      </w:r>
      <w:r w:rsidR="00015211" w:rsidRPr="004653F7">
        <w:rPr>
          <w:rFonts w:asciiTheme="majorHAnsi" w:hAnsiTheme="majorHAnsi"/>
        </w:rPr>
        <w:t>Nárast</w:t>
      </w:r>
      <w:r w:rsidR="00950670" w:rsidRPr="004653F7">
        <w:rPr>
          <w:rFonts w:asciiTheme="majorHAnsi" w:hAnsiTheme="majorHAnsi"/>
        </w:rPr>
        <w:t xml:space="preserve"> bol spôsobený </w:t>
      </w:r>
      <w:r w:rsidR="00097B8C">
        <w:rPr>
          <w:rFonts w:asciiTheme="majorHAnsi" w:hAnsiTheme="majorHAnsi"/>
        </w:rPr>
        <w:t xml:space="preserve">hlavne </w:t>
      </w:r>
      <w:r w:rsidR="00015211" w:rsidRPr="004653F7">
        <w:rPr>
          <w:rFonts w:asciiTheme="majorHAnsi" w:hAnsiTheme="majorHAnsi"/>
        </w:rPr>
        <w:t>zaradením majetku končiacich projektov financovaných zo štrukturálnych fondov</w:t>
      </w:r>
      <w:r w:rsidR="00097B8C">
        <w:rPr>
          <w:rFonts w:asciiTheme="majorHAnsi" w:hAnsiTheme="majorHAnsi"/>
        </w:rPr>
        <w:t>, predovšetkým UVP II. fáza</w:t>
      </w:r>
      <w:r w:rsidR="00FF7A75" w:rsidRPr="004653F7">
        <w:rPr>
          <w:rFonts w:asciiTheme="majorHAnsi" w:hAnsiTheme="majorHAnsi"/>
        </w:rPr>
        <w:t>.</w:t>
      </w:r>
    </w:p>
    <w:p w:rsidR="00D7793B" w:rsidRPr="004653F7" w:rsidRDefault="00D7793B" w:rsidP="004653F7">
      <w:pPr>
        <w:pStyle w:val="Odsekzoznamu"/>
        <w:numPr>
          <w:ilvl w:val="0"/>
          <w:numId w:val="17"/>
        </w:numPr>
        <w:jc w:val="both"/>
        <w:rPr>
          <w:rFonts w:asciiTheme="majorHAnsi" w:hAnsiTheme="majorHAnsi"/>
        </w:rPr>
      </w:pPr>
      <w:r w:rsidRPr="004653F7">
        <w:rPr>
          <w:rFonts w:asciiTheme="majorHAnsi" w:hAnsiTheme="majorHAnsi"/>
        </w:rPr>
        <w:t xml:space="preserve">iné ostatné náklady vo výške </w:t>
      </w:r>
      <w:r w:rsidR="00097B8C">
        <w:rPr>
          <w:rFonts w:asciiTheme="majorHAnsi" w:hAnsiTheme="majorHAnsi"/>
          <w:lang w:eastAsia="sk-SK"/>
        </w:rPr>
        <w:t>6 261 430,43</w:t>
      </w:r>
      <w:r w:rsidR="00015211" w:rsidRPr="004653F7">
        <w:rPr>
          <w:rFonts w:asciiTheme="majorHAnsi" w:hAnsiTheme="majorHAnsi"/>
          <w:lang w:eastAsia="sk-SK"/>
        </w:rPr>
        <w:t xml:space="preserve"> </w:t>
      </w:r>
      <w:r w:rsidRPr="004653F7">
        <w:rPr>
          <w:rFonts w:asciiTheme="majorHAnsi" w:hAnsiTheme="majorHAnsi"/>
        </w:rPr>
        <w:t>EUR (</w:t>
      </w:r>
      <w:r w:rsidR="00FF7A75" w:rsidRPr="004653F7">
        <w:rPr>
          <w:rFonts w:asciiTheme="majorHAnsi" w:hAnsiTheme="majorHAnsi"/>
        </w:rPr>
        <w:t xml:space="preserve">pokles </w:t>
      </w:r>
      <w:r w:rsidRPr="004653F7">
        <w:rPr>
          <w:rFonts w:asciiTheme="majorHAnsi" w:hAnsiTheme="majorHAnsi"/>
        </w:rPr>
        <w:t xml:space="preserve"> o</w:t>
      </w:r>
      <w:r w:rsidR="00097B8C">
        <w:rPr>
          <w:rFonts w:asciiTheme="majorHAnsi" w:hAnsiTheme="majorHAnsi"/>
        </w:rPr>
        <w:t> </w:t>
      </w:r>
      <w:r w:rsidR="00097B8C">
        <w:rPr>
          <w:rFonts w:asciiTheme="majorHAnsi" w:hAnsiTheme="majorHAnsi"/>
          <w:lang w:eastAsia="sk-SK"/>
        </w:rPr>
        <w:t>477 645,31</w:t>
      </w:r>
      <w:r w:rsidRPr="004653F7">
        <w:rPr>
          <w:rFonts w:asciiTheme="majorHAnsi" w:hAnsiTheme="majorHAnsi"/>
        </w:rPr>
        <w:t xml:space="preserve">EUR). </w:t>
      </w:r>
    </w:p>
    <w:p w:rsidR="00FF7A75" w:rsidRPr="004653F7" w:rsidRDefault="00FF7A75" w:rsidP="004653F7">
      <w:pPr>
        <w:pStyle w:val="Odsekzoznamu"/>
        <w:numPr>
          <w:ilvl w:val="0"/>
          <w:numId w:val="17"/>
        </w:numPr>
        <w:jc w:val="both"/>
        <w:rPr>
          <w:rFonts w:asciiTheme="majorHAnsi" w:hAnsiTheme="majorHAnsi"/>
        </w:rPr>
      </w:pPr>
      <w:r w:rsidRPr="004653F7">
        <w:rPr>
          <w:rFonts w:asciiTheme="majorHAnsi" w:hAnsiTheme="majorHAnsi"/>
        </w:rPr>
        <w:t xml:space="preserve">ostatné služby vo výške </w:t>
      </w:r>
      <w:r w:rsidR="00097B8C">
        <w:rPr>
          <w:rFonts w:asciiTheme="majorHAnsi" w:hAnsiTheme="majorHAnsi"/>
          <w:lang w:eastAsia="sk-SK"/>
        </w:rPr>
        <w:t>5 415 009,65</w:t>
      </w:r>
      <w:r w:rsidRPr="004653F7">
        <w:rPr>
          <w:rFonts w:asciiTheme="majorHAnsi" w:hAnsiTheme="majorHAnsi"/>
        </w:rPr>
        <w:t xml:space="preserve"> EUR (</w:t>
      </w:r>
      <w:r w:rsidR="00097B8C">
        <w:rPr>
          <w:rFonts w:asciiTheme="majorHAnsi" w:hAnsiTheme="majorHAnsi"/>
        </w:rPr>
        <w:t>pokles</w:t>
      </w:r>
      <w:r w:rsidRPr="004653F7">
        <w:rPr>
          <w:rFonts w:asciiTheme="majorHAnsi" w:hAnsiTheme="majorHAnsi"/>
        </w:rPr>
        <w:t xml:space="preserve"> oproti roku 201</w:t>
      </w:r>
      <w:r w:rsidR="00097B8C">
        <w:rPr>
          <w:rFonts w:asciiTheme="majorHAnsi" w:hAnsiTheme="majorHAnsi"/>
        </w:rPr>
        <w:t>5</w:t>
      </w:r>
      <w:r w:rsidRPr="004653F7">
        <w:rPr>
          <w:rFonts w:asciiTheme="majorHAnsi" w:hAnsiTheme="majorHAnsi"/>
        </w:rPr>
        <w:t xml:space="preserve"> o</w:t>
      </w:r>
      <w:r w:rsidR="00097B8C">
        <w:rPr>
          <w:rFonts w:asciiTheme="majorHAnsi" w:hAnsiTheme="majorHAnsi"/>
        </w:rPr>
        <w:t> </w:t>
      </w:r>
      <w:r w:rsidR="00097B8C">
        <w:rPr>
          <w:rFonts w:asciiTheme="majorHAnsi" w:hAnsiTheme="majorHAnsi"/>
          <w:lang w:eastAsia="sk-SK"/>
        </w:rPr>
        <w:t xml:space="preserve">2 185 687,57 </w:t>
      </w:r>
      <w:r w:rsidRPr="004653F7">
        <w:rPr>
          <w:rFonts w:asciiTheme="majorHAnsi" w:hAnsiTheme="majorHAnsi"/>
        </w:rPr>
        <w:t xml:space="preserve">EUR) </w:t>
      </w:r>
    </w:p>
    <w:p w:rsidR="00D7793B" w:rsidRPr="004653F7" w:rsidRDefault="00D7793B" w:rsidP="004653F7">
      <w:pPr>
        <w:pStyle w:val="Odsekzoznamu"/>
        <w:numPr>
          <w:ilvl w:val="0"/>
          <w:numId w:val="17"/>
        </w:numPr>
        <w:jc w:val="both"/>
        <w:rPr>
          <w:rFonts w:asciiTheme="majorHAnsi" w:hAnsiTheme="majorHAnsi"/>
        </w:rPr>
      </w:pPr>
      <w:r w:rsidRPr="004653F7">
        <w:rPr>
          <w:rFonts w:asciiTheme="majorHAnsi" w:hAnsiTheme="majorHAnsi"/>
        </w:rPr>
        <w:t xml:space="preserve">spotreba energie vo výške </w:t>
      </w:r>
      <w:r w:rsidR="00097B8C">
        <w:rPr>
          <w:rFonts w:asciiTheme="majorHAnsi" w:hAnsiTheme="majorHAnsi"/>
          <w:lang w:eastAsia="sk-SK"/>
        </w:rPr>
        <w:t>5 </w:t>
      </w:r>
      <w:r w:rsidR="00A433C9">
        <w:rPr>
          <w:rFonts w:asciiTheme="majorHAnsi" w:hAnsiTheme="majorHAnsi"/>
          <w:lang w:eastAsia="sk-SK"/>
        </w:rPr>
        <w:t>8</w:t>
      </w:r>
      <w:r w:rsidR="00097B8C">
        <w:rPr>
          <w:rFonts w:asciiTheme="majorHAnsi" w:hAnsiTheme="majorHAnsi"/>
          <w:lang w:eastAsia="sk-SK"/>
        </w:rPr>
        <w:t>75 216,03</w:t>
      </w:r>
      <w:r w:rsidRPr="004653F7">
        <w:rPr>
          <w:rFonts w:asciiTheme="majorHAnsi" w:hAnsiTheme="majorHAnsi"/>
        </w:rPr>
        <w:t>EUR</w:t>
      </w:r>
      <w:r w:rsidR="00FF7A75" w:rsidRPr="004653F7">
        <w:rPr>
          <w:rFonts w:asciiTheme="majorHAnsi" w:hAnsiTheme="majorHAnsi"/>
        </w:rPr>
        <w:t xml:space="preserve"> (</w:t>
      </w:r>
      <w:r w:rsidR="00097B8C">
        <w:rPr>
          <w:rFonts w:asciiTheme="majorHAnsi" w:hAnsiTheme="majorHAnsi"/>
        </w:rPr>
        <w:t>nárast o 308 405,77E</w:t>
      </w:r>
      <w:r w:rsidR="00FF7A75" w:rsidRPr="004653F7">
        <w:rPr>
          <w:rFonts w:asciiTheme="majorHAnsi" w:hAnsiTheme="majorHAnsi"/>
        </w:rPr>
        <w:t>UR)</w:t>
      </w:r>
    </w:p>
    <w:p w:rsidR="00D7793B" w:rsidRPr="00CB2C99" w:rsidRDefault="00D7793B" w:rsidP="00D7793B">
      <w:pPr>
        <w:ind w:right="949"/>
        <w:jc w:val="both"/>
        <w:rPr>
          <w:rFonts w:asciiTheme="majorHAnsi" w:hAnsiTheme="majorHAnsi"/>
          <w:highlight w:val="yellow"/>
        </w:rPr>
      </w:pPr>
    </w:p>
    <w:p w:rsidR="00D7793B" w:rsidRPr="000F2058" w:rsidRDefault="00D7793B" w:rsidP="00D7793B">
      <w:pPr>
        <w:ind w:right="769"/>
        <w:jc w:val="both"/>
        <w:rPr>
          <w:rFonts w:asciiTheme="majorHAnsi" w:hAnsiTheme="majorHAnsi"/>
        </w:rPr>
      </w:pPr>
      <w:r w:rsidRPr="000F2058">
        <w:rPr>
          <w:rFonts w:asciiTheme="majorHAnsi" w:hAnsiTheme="majorHAnsi"/>
          <w:u w:val="single"/>
        </w:rPr>
        <w:t>Náklady vo vybraných oblastiach</w:t>
      </w:r>
    </w:p>
    <w:p w:rsidR="000F2058" w:rsidRPr="000F2058" w:rsidRDefault="00D7793B" w:rsidP="000F2058">
      <w:pPr>
        <w:jc w:val="both"/>
        <w:rPr>
          <w:rFonts w:asciiTheme="majorHAnsi" w:eastAsia="Times New Roman" w:hAnsiTheme="majorHAnsi" w:cs="Times New Roman"/>
          <w:bCs/>
          <w:lang w:val="sk-SK" w:eastAsia="sk-SK"/>
        </w:rPr>
      </w:pPr>
      <w:r w:rsidRPr="00D835CE">
        <w:rPr>
          <w:rFonts w:asciiTheme="majorHAnsi" w:hAnsiTheme="majorHAnsi"/>
          <w:u w:val="single"/>
        </w:rPr>
        <w:t>Tabuľka č. 6</w:t>
      </w:r>
      <w:r w:rsidR="00FF7A75" w:rsidRPr="00D835CE">
        <w:rPr>
          <w:rFonts w:asciiTheme="majorHAnsi" w:hAnsiTheme="majorHAnsi"/>
          <w:u w:val="single"/>
        </w:rPr>
        <w:t>, 6a</w:t>
      </w:r>
      <w:r w:rsidRPr="00D835CE">
        <w:rPr>
          <w:rFonts w:asciiTheme="majorHAnsi" w:hAnsiTheme="majorHAnsi"/>
          <w:u w:val="single"/>
        </w:rPr>
        <w:t xml:space="preserve"> – Zamestnanci a náklady na mzdy verejnej vysokej školy </w:t>
      </w:r>
      <w:r w:rsidRPr="00D835CE">
        <w:rPr>
          <w:rFonts w:asciiTheme="majorHAnsi" w:hAnsiTheme="majorHAnsi"/>
        </w:rPr>
        <w:t>V uveden</w:t>
      </w:r>
      <w:r w:rsidR="00FF7A75" w:rsidRPr="00D835CE">
        <w:rPr>
          <w:rFonts w:asciiTheme="majorHAnsi" w:hAnsiTheme="majorHAnsi"/>
        </w:rPr>
        <w:t xml:space="preserve">ých </w:t>
      </w:r>
      <w:r w:rsidRPr="00D835CE">
        <w:rPr>
          <w:rFonts w:asciiTheme="majorHAnsi" w:hAnsiTheme="majorHAnsi"/>
        </w:rPr>
        <w:t xml:space="preserve"> tabuľk</w:t>
      </w:r>
      <w:r w:rsidR="00FF7A75" w:rsidRPr="00D835CE">
        <w:rPr>
          <w:rFonts w:asciiTheme="majorHAnsi" w:hAnsiTheme="majorHAnsi"/>
        </w:rPr>
        <w:t>ách</w:t>
      </w:r>
      <w:r w:rsidRPr="00D835CE">
        <w:rPr>
          <w:rFonts w:asciiTheme="majorHAnsi" w:hAnsiTheme="majorHAnsi"/>
        </w:rPr>
        <w:t xml:space="preserve"> sú v súlade s požiadavkou Ministerstva školstva SR údaje o čerpaní mzdových prostriedkov podľa zdrojov financovania</w:t>
      </w:r>
      <w:r w:rsidR="00FF7A75" w:rsidRPr="00D835CE">
        <w:rPr>
          <w:rFonts w:asciiTheme="majorHAnsi" w:hAnsiTheme="majorHAnsi"/>
        </w:rPr>
        <w:t>,</w:t>
      </w:r>
      <w:r w:rsidRPr="00D835CE">
        <w:rPr>
          <w:rFonts w:asciiTheme="majorHAnsi" w:hAnsiTheme="majorHAnsi"/>
        </w:rPr>
        <w:t>  podľa jednotlivých kategórií</w:t>
      </w:r>
      <w:r w:rsidR="00FF7A75" w:rsidRPr="00D835CE">
        <w:rPr>
          <w:rFonts w:asciiTheme="majorHAnsi" w:hAnsiTheme="majorHAnsi"/>
        </w:rPr>
        <w:t xml:space="preserve"> a podľa pohlavia</w:t>
      </w:r>
      <w:r w:rsidRPr="00D835CE">
        <w:rPr>
          <w:rFonts w:asciiTheme="majorHAnsi" w:hAnsiTheme="majorHAnsi"/>
        </w:rPr>
        <w:t xml:space="preserve">  zamestnancov. Pri priemernom evidenčnom prepočítanom</w:t>
      </w:r>
      <w:r w:rsidR="00FF7A75" w:rsidRPr="00D835CE">
        <w:rPr>
          <w:rFonts w:asciiTheme="majorHAnsi" w:hAnsiTheme="majorHAnsi"/>
        </w:rPr>
        <w:t xml:space="preserve"> počte </w:t>
      </w:r>
      <w:proofErr w:type="gramStart"/>
      <w:r w:rsidR="00FF7A75" w:rsidRPr="00D835CE">
        <w:rPr>
          <w:rFonts w:asciiTheme="majorHAnsi" w:hAnsiTheme="majorHAnsi"/>
        </w:rPr>
        <w:t xml:space="preserve">zamestnancov  </w:t>
      </w:r>
      <w:r w:rsidR="00D835CE" w:rsidRPr="00D835CE">
        <w:rPr>
          <w:rFonts w:asciiTheme="majorHAnsi" w:eastAsia="Times New Roman" w:hAnsiTheme="majorHAnsi" w:cs="Times New Roman"/>
          <w:bCs/>
          <w:lang w:val="sk-SK" w:eastAsia="sk-SK"/>
        </w:rPr>
        <w:t>2</w:t>
      </w:r>
      <w:proofErr w:type="gramEnd"/>
      <w:r w:rsidR="00D835CE" w:rsidRPr="00D835CE">
        <w:rPr>
          <w:rFonts w:asciiTheme="majorHAnsi" w:eastAsia="Times New Roman" w:hAnsiTheme="majorHAnsi" w:cs="Times New Roman"/>
          <w:bCs/>
          <w:lang w:val="sk-SK" w:eastAsia="sk-SK"/>
        </w:rPr>
        <w:t> 406,4</w:t>
      </w:r>
      <w:r w:rsidR="000F2058" w:rsidRPr="00D835CE">
        <w:rPr>
          <w:rFonts w:asciiTheme="majorHAnsi" w:eastAsia="Times New Roman" w:hAnsiTheme="majorHAnsi" w:cs="Times New Roman"/>
          <w:bCs/>
          <w:lang w:val="sk-SK" w:eastAsia="sk-SK"/>
        </w:rPr>
        <w:t xml:space="preserve"> </w:t>
      </w:r>
      <w:r w:rsidRPr="00D835CE">
        <w:rPr>
          <w:rFonts w:asciiTheme="majorHAnsi" w:hAnsiTheme="majorHAnsi"/>
        </w:rPr>
        <w:t xml:space="preserve">osôb </w:t>
      </w:r>
      <w:r w:rsidR="00FF7A75" w:rsidRPr="00D835CE">
        <w:rPr>
          <w:rFonts w:asciiTheme="majorHAnsi" w:hAnsiTheme="majorHAnsi"/>
        </w:rPr>
        <w:t xml:space="preserve">(z toho </w:t>
      </w:r>
      <w:r w:rsidR="000F2058" w:rsidRPr="00D835CE">
        <w:rPr>
          <w:rFonts w:asciiTheme="majorHAnsi" w:eastAsia="Times New Roman" w:hAnsiTheme="majorHAnsi" w:cs="Times New Roman"/>
          <w:bCs/>
          <w:lang w:val="sk-SK" w:eastAsia="sk-SK"/>
        </w:rPr>
        <w:t>1</w:t>
      </w:r>
      <w:r w:rsidR="00D835CE" w:rsidRPr="00D835CE">
        <w:rPr>
          <w:rFonts w:asciiTheme="majorHAnsi" w:eastAsia="Times New Roman" w:hAnsiTheme="majorHAnsi" w:cs="Times New Roman"/>
          <w:bCs/>
          <w:lang w:val="sk-SK" w:eastAsia="sk-SK"/>
        </w:rPr>
        <w:t> 158,6</w:t>
      </w:r>
      <w:r w:rsidR="000F2058" w:rsidRPr="00D835CE">
        <w:rPr>
          <w:rFonts w:asciiTheme="majorHAnsi" w:eastAsia="Times New Roman" w:hAnsiTheme="majorHAnsi" w:cs="Times New Roman"/>
          <w:bCs/>
          <w:lang w:val="sk-SK" w:eastAsia="sk-SK"/>
        </w:rPr>
        <w:t xml:space="preserve"> </w:t>
      </w:r>
      <w:r w:rsidR="00FF7A75" w:rsidRPr="00D835CE">
        <w:rPr>
          <w:rFonts w:asciiTheme="majorHAnsi" w:hAnsiTheme="majorHAnsi"/>
        </w:rPr>
        <w:t xml:space="preserve">žien) </w:t>
      </w:r>
      <w:r w:rsidRPr="00D835CE">
        <w:rPr>
          <w:rFonts w:asciiTheme="majorHAnsi" w:hAnsiTheme="majorHAnsi"/>
        </w:rPr>
        <w:t>predstavuje celkový objem vyčerpaných mzdových prostriedkov</w:t>
      </w:r>
      <w:r w:rsidR="00D835CE">
        <w:rPr>
          <w:rFonts w:asciiTheme="majorHAnsi" w:hAnsiTheme="majorHAnsi"/>
        </w:rPr>
        <w:t xml:space="preserve"> (bez dohôd)</w:t>
      </w:r>
      <w:r w:rsidRPr="00D835CE">
        <w:rPr>
          <w:rFonts w:asciiTheme="majorHAnsi" w:hAnsiTheme="majorHAnsi"/>
        </w:rPr>
        <w:t xml:space="preserve"> sumu </w:t>
      </w:r>
      <w:r w:rsidR="00D835CE" w:rsidRPr="00D835CE">
        <w:rPr>
          <w:rFonts w:asciiTheme="majorHAnsi" w:eastAsia="Times New Roman" w:hAnsiTheme="majorHAnsi" w:cs="Times New Roman"/>
          <w:bCs/>
          <w:lang w:val="sk-SK" w:eastAsia="sk-SK"/>
        </w:rPr>
        <w:t>36 143 260</w:t>
      </w:r>
      <w:r w:rsidR="00082F5B" w:rsidRPr="00D835CE">
        <w:rPr>
          <w:rFonts w:asciiTheme="majorHAnsi" w:hAnsiTheme="majorHAnsi"/>
        </w:rPr>
        <w:t xml:space="preserve">  EUR</w:t>
      </w:r>
      <w:r w:rsidR="00D835CE" w:rsidRPr="00D835CE">
        <w:rPr>
          <w:rFonts w:asciiTheme="majorHAnsi" w:hAnsiTheme="majorHAnsi"/>
        </w:rPr>
        <w:t>.</w:t>
      </w:r>
      <w:r w:rsidRPr="00D835CE">
        <w:rPr>
          <w:rFonts w:asciiTheme="majorHAnsi" w:hAnsiTheme="majorHAnsi"/>
        </w:rPr>
        <w:t xml:space="preserve"> </w:t>
      </w:r>
      <w:r w:rsidR="000F2058" w:rsidRPr="00D835CE">
        <w:rPr>
          <w:rFonts w:asciiTheme="majorHAnsi" w:hAnsiTheme="majorHAnsi"/>
        </w:rPr>
        <w:t xml:space="preserve"> Priemerný plat na STU v roku 201</w:t>
      </w:r>
      <w:r w:rsidR="00D835CE" w:rsidRPr="00D835CE">
        <w:rPr>
          <w:rFonts w:asciiTheme="majorHAnsi" w:hAnsiTheme="majorHAnsi"/>
        </w:rPr>
        <w:t>6</w:t>
      </w:r>
      <w:r w:rsidR="000F2058" w:rsidRPr="00D835CE">
        <w:rPr>
          <w:rFonts w:asciiTheme="majorHAnsi" w:hAnsiTheme="majorHAnsi"/>
        </w:rPr>
        <w:t xml:space="preserve"> bol vo výške </w:t>
      </w:r>
      <w:r w:rsidR="000F2058" w:rsidRPr="00D835CE">
        <w:rPr>
          <w:rFonts w:asciiTheme="majorHAnsi" w:eastAsia="Times New Roman" w:hAnsiTheme="majorHAnsi" w:cs="Times New Roman"/>
          <w:bCs/>
          <w:lang w:val="sk-SK" w:eastAsia="sk-SK"/>
        </w:rPr>
        <w:t>1</w:t>
      </w:r>
      <w:r w:rsidR="00D835CE" w:rsidRPr="00D835CE">
        <w:rPr>
          <w:rFonts w:asciiTheme="majorHAnsi" w:eastAsia="Times New Roman" w:hAnsiTheme="majorHAnsi" w:cs="Times New Roman"/>
          <w:bCs/>
          <w:lang w:val="sk-SK" w:eastAsia="sk-SK"/>
        </w:rPr>
        <w:t> 169,91</w:t>
      </w:r>
      <w:r w:rsidR="000F2058" w:rsidRPr="00D835CE">
        <w:rPr>
          <w:rFonts w:asciiTheme="majorHAnsi" w:eastAsia="Times New Roman" w:hAnsiTheme="majorHAnsi" w:cs="Times New Roman"/>
          <w:bCs/>
          <w:lang w:val="sk-SK" w:eastAsia="sk-SK"/>
        </w:rPr>
        <w:t xml:space="preserve"> EUR, pričom priemerný plat žien bol </w:t>
      </w:r>
      <w:r w:rsidR="00D835CE" w:rsidRPr="00D835CE">
        <w:rPr>
          <w:rFonts w:asciiTheme="majorHAnsi" w:eastAsia="Times New Roman" w:hAnsiTheme="majorHAnsi" w:cs="Times New Roman"/>
          <w:bCs/>
          <w:lang w:val="sk-SK" w:eastAsia="sk-SK"/>
        </w:rPr>
        <w:t>1 002,04</w:t>
      </w:r>
      <w:r w:rsidR="000F2058" w:rsidRPr="00D835CE">
        <w:rPr>
          <w:rFonts w:asciiTheme="majorHAnsi" w:eastAsia="Times New Roman" w:hAnsiTheme="majorHAnsi" w:cs="Times New Roman"/>
          <w:bCs/>
          <w:lang w:val="sk-SK" w:eastAsia="sk-SK"/>
        </w:rPr>
        <w:t xml:space="preserve"> EUR a mužov 1</w:t>
      </w:r>
      <w:r w:rsidR="00D835CE" w:rsidRPr="00D835CE">
        <w:rPr>
          <w:rFonts w:asciiTheme="majorHAnsi" w:eastAsia="Times New Roman" w:hAnsiTheme="majorHAnsi" w:cs="Times New Roman"/>
          <w:bCs/>
          <w:lang w:val="sk-SK" w:eastAsia="sk-SK"/>
        </w:rPr>
        <w:t> 331,69</w:t>
      </w:r>
      <w:r w:rsidR="000F2058" w:rsidRPr="00D835CE">
        <w:rPr>
          <w:rFonts w:asciiTheme="majorHAnsi" w:eastAsia="Times New Roman" w:hAnsiTheme="majorHAnsi" w:cs="Times New Roman"/>
          <w:bCs/>
          <w:lang w:val="sk-SK" w:eastAsia="sk-SK"/>
        </w:rPr>
        <w:t xml:space="preserve"> EUR.</w:t>
      </w:r>
    </w:p>
    <w:p w:rsidR="000F2058" w:rsidRPr="000F2058" w:rsidRDefault="000F2058" w:rsidP="008557FC">
      <w:pPr>
        <w:ind w:firstLineChars="100" w:firstLine="241"/>
        <w:jc w:val="both"/>
        <w:rPr>
          <w:rFonts w:ascii="Times New Roman" w:eastAsia="Times New Roman" w:hAnsi="Times New Roman" w:cs="Times New Roman"/>
          <w:b/>
          <w:bCs/>
          <w:lang w:val="sk-SK" w:eastAsia="sk-SK"/>
        </w:rPr>
      </w:pPr>
    </w:p>
    <w:p w:rsidR="00D7793B" w:rsidRPr="0034341D" w:rsidRDefault="00D7793B" w:rsidP="00D7793B">
      <w:pPr>
        <w:suppressAutoHyphens/>
        <w:jc w:val="both"/>
        <w:rPr>
          <w:rFonts w:asciiTheme="majorHAnsi" w:hAnsiTheme="majorHAnsi"/>
          <w:u w:val="single"/>
        </w:rPr>
      </w:pPr>
      <w:r w:rsidRPr="0034341D">
        <w:rPr>
          <w:rFonts w:asciiTheme="majorHAnsi" w:hAnsiTheme="majorHAnsi"/>
          <w:u w:val="single"/>
        </w:rPr>
        <w:t xml:space="preserve">Tabuľka č. 7 – Náklady verejnej vysokej školy na štipendiá interných doktorandov </w:t>
      </w:r>
    </w:p>
    <w:p w:rsidR="0034341D" w:rsidRPr="0034341D" w:rsidRDefault="00D7793B" w:rsidP="0034341D">
      <w:pPr>
        <w:jc w:val="both"/>
        <w:rPr>
          <w:rFonts w:asciiTheme="majorHAnsi" w:eastAsia="Times New Roman" w:hAnsiTheme="majorHAnsi" w:cs="Times New Roman"/>
          <w:bCs/>
          <w:lang w:val="sk-SK" w:eastAsia="sk-SK"/>
        </w:rPr>
      </w:pPr>
      <w:r w:rsidRPr="0034341D">
        <w:rPr>
          <w:rFonts w:asciiTheme="majorHAnsi" w:hAnsiTheme="majorHAnsi"/>
        </w:rPr>
        <w:t>Náklady STU na štipendiá interných doktorandov v roku 201</w:t>
      </w:r>
      <w:r w:rsidR="00541DF4">
        <w:rPr>
          <w:rFonts w:asciiTheme="majorHAnsi" w:hAnsiTheme="majorHAnsi"/>
        </w:rPr>
        <w:t>6</w:t>
      </w:r>
      <w:r w:rsidRPr="0034341D">
        <w:rPr>
          <w:rFonts w:asciiTheme="majorHAnsi" w:hAnsiTheme="majorHAnsi"/>
        </w:rPr>
        <w:t xml:space="preserve"> boli vo výške                    </w:t>
      </w:r>
      <w:r w:rsidR="00D835CE">
        <w:rPr>
          <w:rFonts w:asciiTheme="majorHAnsi" w:eastAsia="Times New Roman" w:hAnsiTheme="majorHAnsi" w:cs="Times New Roman"/>
          <w:bCs/>
          <w:lang w:val="sk-SK" w:eastAsia="sk-SK"/>
        </w:rPr>
        <w:t>3 645 452,12</w:t>
      </w:r>
      <w:r w:rsidRPr="0034341D">
        <w:rPr>
          <w:rFonts w:asciiTheme="majorHAnsi" w:hAnsiTheme="majorHAnsi"/>
        </w:rPr>
        <w:t>EUR</w:t>
      </w:r>
      <w:r w:rsidR="0034341D" w:rsidRPr="0034341D">
        <w:rPr>
          <w:rFonts w:asciiTheme="majorHAnsi" w:hAnsiTheme="majorHAnsi"/>
        </w:rPr>
        <w:t xml:space="preserve">, z toho dotácia pridelená MŠ v rámci dotačnej zmluvy (účelová) je vo výške </w:t>
      </w:r>
      <w:r w:rsidR="00D835CE">
        <w:rPr>
          <w:rFonts w:asciiTheme="majorHAnsi" w:eastAsia="Times New Roman" w:hAnsiTheme="majorHAnsi" w:cs="Times New Roman"/>
          <w:bCs/>
          <w:lang w:val="sk-SK" w:eastAsia="sk-SK"/>
        </w:rPr>
        <w:t>62 367,91</w:t>
      </w:r>
      <w:r w:rsidR="0034341D" w:rsidRPr="0034341D">
        <w:rPr>
          <w:rFonts w:asciiTheme="majorHAnsi" w:eastAsia="Times New Roman" w:hAnsiTheme="majorHAnsi" w:cs="Times New Roman"/>
          <w:bCs/>
          <w:lang w:val="sk-SK" w:eastAsia="sk-SK"/>
        </w:rPr>
        <w:t xml:space="preserve"> EUR.</w:t>
      </w:r>
    </w:p>
    <w:p w:rsidR="00D7793B" w:rsidRPr="0034341D" w:rsidRDefault="00D7793B" w:rsidP="0034341D">
      <w:pPr>
        <w:jc w:val="both"/>
        <w:rPr>
          <w:rFonts w:asciiTheme="majorHAnsi" w:hAnsiTheme="majorHAnsi"/>
        </w:rPr>
      </w:pPr>
      <w:r w:rsidRPr="0034341D">
        <w:rPr>
          <w:rFonts w:asciiTheme="majorHAnsi" w:hAnsiTheme="majorHAnsi"/>
        </w:rPr>
        <w:t>Zostatok nevyčerpanej účelovej dotácie za rok 201</w:t>
      </w:r>
      <w:r w:rsidR="00541DF4">
        <w:rPr>
          <w:rFonts w:asciiTheme="majorHAnsi" w:hAnsiTheme="majorHAnsi"/>
        </w:rPr>
        <w:t>6</w:t>
      </w:r>
      <w:r w:rsidRPr="0034341D">
        <w:rPr>
          <w:rFonts w:asciiTheme="majorHAnsi" w:hAnsiTheme="majorHAnsi"/>
        </w:rPr>
        <w:t xml:space="preserve"> predstavuje </w:t>
      </w:r>
      <w:r w:rsidR="00D91712" w:rsidRPr="0034341D">
        <w:rPr>
          <w:rFonts w:asciiTheme="majorHAnsi" w:hAnsiTheme="majorHAnsi"/>
        </w:rPr>
        <w:t xml:space="preserve">  </w:t>
      </w:r>
      <w:r w:rsidR="00D835CE">
        <w:rPr>
          <w:rFonts w:asciiTheme="majorHAnsi" w:eastAsia="Times New Roman" w:hAnsiTheme="majorHAnsi" w:cs="Times New Roman"/>
          <w:bCs/>
          <w:lang w:val="sk-SK" w:eastAsia="sk-SK"/>
        </w:rPr>
        <w:t>5 088,09</w:t>
      </w:r>
      <w:r w:rsidRPr="0034341D">
        <w:rPr>
          <w:rFonts w:asciiTheme="majorHAnsi" w:hAnsiTheme="majorHAnsi"/>
        </w:rPr>
        <w:t>EUR.</w:t>
      </w:r>
    </w:p>
    <w:p w:rsidR="00D7793B" w:rsidRPr="0034341D" w:rsidRDefault="00D7793B" w:rsidP="00D7793B">
      <w:pPr>
        <w:suppressAutoHyphens/>
        <w:jc w:val="both"/>
        <w:rPr>
          <w:rFonts w:asciiTheme="majorHAnsi" w:hAnsiTheme="majorHAnsi"/>
          <w:b/>
          <w:highlight w:val="yellow"/>
        </w:rPr>
      </w:pPr>
    </w:p>
    <w:p w:rsidR="0034341D" w:rsidRPr="00737449" w:rsidRDefault="00D7793B" w:rsidP="00D7793B">
      <w:pPr>
        <w:suppressAutoHyphens/>
        <w:jc w:val="both"/>
        <w:rPr>
          <w:rFonts w:asciiTheme="majorHAnsi" w:hAnsiTheme="majorHAnsi"/>
          <w:u w:val="single"/>
        </w:rPr>
      </w:pPr>
      <w:r w:rsidRPr="00737449">
        <w:rPr>
          <w:rFonts w:asciiTheme="majorHAnsi" w:hAnsiTheme="majorHAnsi"/>
          <w:u w:val="single"/>
        </w:rPr>
        <w:t xml:space="preserve">Tabuľka č. 8 – Výdavky </w:t>
      </w:r>
      <w:proofErr w:type="gramStart"/>
      <w:r w:rsidRPr="00737449">
        <w:rPr>
          <w:rFonts w:asciiTheme="majorHAnsi" w:hAnsiTheme="majorHAnsi"/>
          <w:u w:val="single"/>
        </w:rPr>
        <w:t>na</w:t>
      </w:r>
      <w:proofErr w:type="gramEnd"/>
      <w:r w:rsidRPr="00737449">
        <w:rPr>
          <w:rFonts w:asciiTheme="majorHAnsi" w:hAnsiTheme="majorHAnsi"/>
          <w:u w:val="single"/>
        </w:rPr>
        <w:t xml:space="preserve"> sociálne štipendiá podľa § 96 zákona </w:t>
      </w:r>
    </w:p>
    <w:p w:rsidR="00737449" w:rsidRPr="00737449" w:rsidRDefault="00D7793B" w:rsidP="00737449">
      <w:pPr>
        <w:jc w:val="both"/>
        <w:rPr>
          <w:rFonts w:asciiTheme="majorHAnsi" w:eastAsia="Times New Roman" w:hAnsiTheme="majorHAnsi" w:cs="Times New Roman"/>
          <w:bCs/>
          <w:lang w:val="sk-SK" w:eastAsia="sk-SK"/>
        </w:rPr>
      </w:pPr>
      <w:r w:rsidRPr="00737449">
        <w:rPr>
          <w:rFonts w:asciiTheme="majorHAnsi" w:hAnsiTheme="majorHAnsi"/>
        </w:rPr>
        <w:t>V roku 201</w:t>
      </w:r>
      <w:r w:rsidR="00541DF4">
        <w:rPr>
          <w:rFonts w:asciiTheme="majorHAnsi" w:hAnsiTheme="majorHAnsi"/>
        </w:rPr>
        <w:t>6</w:t>
      </w:r>
      <w:r w:rsidRPr="00737449">
        <w:rPr>
          <w:rFonts w:asciiTheme="majorHAnsi" w:hAnsiTheme="majorHAnsi"/>
        </w:rPr>
        <w:t xml:space="preserve"> mala STU </w:t>
      </w:r>
      <w:r w:rsidR="00DF7658">
        <w:rPr>
          <w:rFonts w:asciiTheme="majorHAnsi" w:eastAsia="Times New Roman" w:hAnsiTheme="majorHAnsi" w:cs="Times New Roman"/>
          <w:bCs/>
          <w:lang w:val="sk-SK" w:eastAsia="sk-SK"/>
        </w:rPr>
        <w:t>1 252</w:t>
      </w:r>
      <w:r w:rsidR="0034341D" w:rsidRPr="00737449">
        <w:rPr>
          <w:rFonts w:asciiTheme="majorHAnsi" w:eastAsia="Times New Roman" w:hAnsiTheme="majorHAnsi" w:cs="Times New Roman"/>
          <w:bCs/>
          <w:lang w:val="sk-SK" w:eastAsia="sk-SK"/>
        </w:rPr>
        <w:t xml:space="preserve"> </w:t>
      </w:r>
      <w:r w:rsidRPr="00737449">
        <w:rPr>
          <w:rFonts w:asciiTheme="majorHAnsi" w:hAnsiTheme="majorHAnsi"/>
        </w:rPr>
        <w:t>študentov poberajúcich sociálne štipendiá. Dotácia zo ŠR na rok 201</w:t>
      </w:r>
      <w:r w:rsidR="00541DF4">
        <w:rPr>
          <w:rFonts w:asciiTheme="majorHAnsi" w:hAnsiTheme="majorHAnsi"/>
        </w:rPr>
        <w:t>6</w:t>
      </w:r>
      <w:r w:rsidRPr="00737449">
        <w:rPr>
          <w:rFonts w:asciiTheme="majorHAnsi" w:hAnsiTheme="majorHAnsi"/>
        </w:rPr>
        <w:t xml:space="preserve"> predstavovala </w:t>
      </w:r>
      <w:r w:rsidR="00DF7658">
        <w:rPr>
          <w:rFonts w:asciiTheme="majorHAnsi" w:eastAsia="Times New Roman" w:hAnsiTheme="majorHAnsi" w:cs="Times New Roman"/>
          <w:bCs/>
          <w:lang w:val="sk-SK" w:eastAsia="sk-SK"/>
        </w:rPr>
        <w:t>1 605 039</w:t>
      </w:r>
      <w:r w:rsidR="00737449" w:rsidRPr="00737449">
        <w:rPr>
          <w:rFonts w:asciiTheme="majorHAnsi" w:eastAsia="Times New Roman" w:hAnsiTheme="majorHAnsi" w:cs="Times New Roman"/>
          <w:bCs/>
          <w:lang w:val="sk-SK" w:eastAsia="sk-SK"/>
        </w:rPr>
        <w:t xml:space="preserve"> </w:t>
      </w:r>
      <w:r w:rsidRPr="00737449">
        <w:rPr>
          <w:rFonts w:asciiTheme="majorHAnsi" w:hAnsiTheme="majorHAnsi"/>
        </w:rPr>
        <w:t>EUR. Skutočné výdavky predstavovali</w:t>
      </w:r>
      <w:r w:rsidR="004653F7">
        <w:rPr>
          <w:rFonts w:asciiTheme="majorHAnsi" w:hAnsiTheme="majorHAnsi"/>
        </w:rPr>
        <w:t xml:space="preserve">     </w:t>
      </w:r>
      <w:r w:rsidRPr="00737449">
        <w:rPr>
          <w:rFonts w:asciiTheme="majorHAnsi" w:hAnsiTheme="majorHAnsi"/>
        </w:rPr>
        <w:t xml:space="preserve"> </w:t>
      </w:r>
      <w:r w:rsidR="00DF7658">
        <w:rPr>
          <w:rFonts w:asciiTheme="majorHAnsi" w:eastAsia="Times New Roman" w:hAnsiTheme="majorHAnsi" w:cs="Times New Roman"/>
          <w:bCs/>
          <w:lang w:val="sk-SK" w:eastAsia="sk-SK"/>
        </w:rPr>
        <w:t>1 391 680</w:t>
      </w:r>
      <w:r w:rsidR="00737449" w:rsidRPr="00737449">
        <w:rPr>
          <w:rFonts w:asciiTheme="majorHAnsi" w:eastAsia="Times New Roman" w:hAnsiTheme="majorHAnsi" w:cs="Times New Roman"/>
          <w:bCs/>
          <w:lang w:val="sk-SK" w:eastAsia="sk-SK"/>
        </w:rPr>
        <w:t xml:space="preserve"> EUR. Na výplatu sociálnych štipendií bol použitý zostatok z roku 201</w:t>
      </w:r>
      <w:r w:rsidR="00541DF4">
        <w:rPr>
          <w:rFonts w:asciiTheme="majorHAnsi" w:eastAsia="Times New Roman" w:hAnsiTheme="majorHAnsi" w:cs="Times New Roman"/>
          <w:bCs/>
          <w:lang w:val="sk-SK" w:eastAsia="sk-SK"/>
        </w:rPr>
        <w:t>5</w:t>
      </w:r>
      <w:r w:rsidR="00737449" w:rsidRPr="00737449">
        <w:rPr>
          <w:rFonts w:asciiTheme="majorHAnsi" w:eastAsia="Times New Roman" w:hAnsiTheme="majorHAnsi" w:cs="Times New Roman"/>
          <w:bCs/>
          <w:lang w:val="sk-SK" w:eastAsia="sk-SK"/>
        </w:rPr>
        <w:t xml:space="preserve"> vo výške </w:t>
      </w:r>
      <w:r w:rsidR="00DF7658">
        <w:rPr>
          <w:rFonts w:asciiTheme="majorHAnsi" w:eastAsia="Times New Roman" w:hAnsiTheme="majorHAnsi" w:cs="Times New Roman"/>
          <w:bCs/>
          <w:lang w:val="sk-SK" w:eastAsia="sk-SK"/>
        </w:rPr>
        <w:t>189 428,97</w:t>
      </w:r>
      <w:r w:rsidR="00737449" w:rsidRPr="00737449">
        <w:rPr>
          <w:rFonts w:asciiTheme="majorHAnsi" w:eastAsia="Times New Roman" w:hAnsiTheme="majorHAnsi" w:cs="Times New Roman"/>
          <w:bCs/>
          <w:lang w:val="sk-SK" w:eastAsia="sk-SK"/>
        </w:rPr>
        <w:t xml:space="preserve"> EUR a </w:t>
      </w:r>
      <w:r w:rsidR="00737449" w:rsidRPr="00DF7658">
        <w:rPr>
          <w:rFonts w:asciiTheme="majorHAnsi" w:eastAsia="Times New Roman" w:hAnsiTheme="majorHAnsi" w:cs="Times New Roman"/>
          <w:bCs/>
          <w:lang w:val="sk-SK" w:eastAsia="sk-SK"/>
        </w:rPr>
        <w:t>časť dotácie roku 201</w:t>
      </w:r>
      <w:r w:rsidR="00541DF4" w:rsidRPr="00DF7658">
        <w:rPr>
          <w:rFonts w:asciiTheme="majorHAnsi" w:eastAsia="Times New Roman" w:hAnsiTheme="majorHAnsi" w:cs="Times New Roman"/>
          <w:bCs/>
          <w:lang w:val="sk-SK" w:eastAsia="sk-SK"/>
        </w:rPr>
        <w:t>6</w:t>
      </w:r>
      <w:r w:rsidR="00737449" w:rsidRPr="00DF7658">
        <w:rPr>
          <w:rFonts w:asciiTheme="majorHAnsi" w:eastAsia="Times New Roman" w:hAnsiTheme="majorHAnsi" w:cs="Times New Roman"/>
          <w:bCs/>
          <w:lang w:val="sk-SK" w:eastAsia="sk-SK"/>
        </w:rPr>
        <w:t>.</w:t>
      </w:r>
    </w:p>
    <w:p w:rsidR="00D7793B" w:rsidRPr="00737449" w:rsidRDefault="00D7793B" w:rsidP="00737449">
      <w:pPr>
        <w:jc w:val="both"/>
        <w:rPr>
          <w:rFonts w:asciiTheme="majorHAnsi" w:hAnsiTheme="majorHAnsi"/>
        </w:rPr>
      </w:pPr>
      <w:r w:rsidRPr="00737449">
        <w:rPr>
          <w:rFonts w:asciiTheme="majorHAnsi" w:hAnsiTheme="majorHAnsi"/>
        </w:rPr>
        <w:t>Nevyčerpaná dotácia k </w:t>
      </w:r>
      <w:proofErr w:type="gramStart"/>
      <w:r w:rsidRPr="00737449">
        <w:rPr>
          <w:rFonts w:asciiTheme="majorHAnsi" w:hAnsiTheme="majorHAnsi"/>
        </w:rPr>
        <w:t>31.12.</w:t>
      </w:r>
      <w:r w:rsidR="00F9741F" w:rsidRPr="00737449">
        <w:rPr>
          <w:rFonts w:asciiTheme="majorHAnsi" w:hAnsiTheme="majorHAnsi"/>
        </w:rPr>
        <w:t>201</w:t>
      </w:r>
      <w:r w:rsidR="00541DF4">
        <w:rPr>
          <w:rFonts w:asciiTheme="majorHAnsi" w:hAnsiTheme="majorHAnsi"/>
        </w:rPr>
        <w:t>6</w:t>
      </w:r>
      <w:r w:rsidR="00737449" w:rsidRPr="00737449">
        <w:rPr>
          <w:rFonts w:asciiTheme="majorHAnsi" w:hAnsiTheme="majorHAnsi"/>
        </w:rPr>
        <w:t xml:space="preserve"> </w:t>
      </w:r>
      <w:r w:rsidRPr="00737449">
        <w:rPr>
          <w:rFonts w:asciiTheme="majorHAnsi" w:hAnsiTheme="majorHAnsi"/>
        </w:rPr>
        <w:t xml:space="preserve"> </w:t>
      </w:r>
      <w:r w:rsidR="00F9741F" w:rsidRPr="00737449">
        <w:rPr>
          <w:rFonts w:asciiTheme="majorHAnsi" w:hAnsiTheme="majorHAnsi"/>
        </w:rPr>
        <w:t>je</w:t>
      </w:r>
      <w:proofErr w:type="gramEnd"/>
      <w:r w:rsidR="00F9741F" w:rsidRPr="00737449">
        <w:rPr>
          <w:rFonts w:asciiTheme="majorHAnsi" w:hAnsiTheme="majorHAnsi"/>
        </w:rPr>
        <w:t xml:space="preserve"> vo výške</w:t>
      </w:r>
      <w:r w:rsidRPr="00737449">
        <w:rPr>
          <w:rFonts w:asciiTheme="majorHAnsi" w:hAnsiTheme="majorHAnsi"/>
        </w:rPr>
        <w:t xml:space="preserve"> </w:t>
      </w:r>
      <w:r w:rsidR="00DF7658">
        <w:rPr>
          <w:rFonts w:asciiTheme="majorHAnsi" w:eastAsia="Times New Roman" w:hAnsiTheme="majorHAnsi" w:cs="Times New Roman"/>
          <w:bCs/>
          <w:lang w:val="sk-SK" w:eastAsia="sk-SK"/>
        </w:rPr>
        <w:t>402 787,97</w:t>
      </w:r>
      <w:r w:rsidR="00737449" w:rsidRPr="00737449">
        <w:rPr>
          <w:rFonts w:asciiTheme="majorHAnsi" w:eastAsia="Times New Roman" w:hAnsiTheme="majorHAnsi" w:cs="Times New Roman"/>
          <w:bCs/>
          <w:lang w:val="sk-SK" w:eastAsia="sk-SK"/>
        </w:rPr>
        <w:t xml:space="preserve"> </w:t>
      </w:r>
      <w:r w:rsidRPr="00737449">
        <w:rPr>
          <w:rFonts w:asciiTheme="majorHAnsi" w:hAnsiTheme="majorHAnsi"/>
        </w:rPr>
        <w:t>EUR.</w:t>
      </w:r>
    </w:p>
    <w:p w:rsidR="00737449" w:rsidRPr="00CB2C99" w:rsidRDefault="00737449" w:rsidP="00D7793B">
      <w:pPr>
        <w:suppressAutoHyphens/>
        <w:jc w:val="both"/>
        <w:rPr>
          <w:rFonts w:asciiTheme="majorHAnsi" w:hAnsiTheme="majorHAnsi"/>
          <w:highlight w:val="yellow"/>
        </w:rPr>
      </w:pPr>
    </w:p>
    <w:p w:rsidR="00D7793B" w:rsidRPr="00C91FC8" w:rsidRDefault="00D7793B" w:rsidP="00D7793B">
      <w:pPr>
        <w:suppressAutoHyphens/>
        <w:jc w:val="both"/>
        <w:rPr>
          <w:rFonts w:asciiTheme="majorHAnsi" w:hAnsiTheme="majorHAnsi"/>
        </w:rPr>
      </w:pPr>
      <w:r w:rsidRPr="00C91FC8">
        <w:rPr>
          <w:rFonts w:asciiTheme="majorHAnsi" w:hAnsiTheme="majorHAnsi"/>
          <w:u w:val="single"/>
        </w:rPr>
        <w:t xml:space="preserve">Tabuľka č. 20 – Výdavky na motivačné štipendiá podľa § 96a </w:t>
      </w:r>
    </w:p>
    <w:p w:rsidR="00D7793B" w:rsidRPr="00C91FC8" w:rsidRDefault="00D7793B" w:rsidP="000F2058">
      <w:pPr>
        <w:jc w:val="both"/>
        <w:rPr>
          <w:rFonts w:asciiTheme="majorHAnsi" w:hAnsiTheme="majorHAnsi"/>
        </w:rPr>
      </w:pPr>
      <w:r w:rsidRPr="00C91FC8">
        <w:rPr>
          <w:rFonts w:asciiTheme="majorHAnsi" w:hAnsiTheme="majorHAnsi"/>
        </w:rPr>
        <w:t>V roku 201</w:t>
      </w:r>
      <w:r w:rsidR="00F26CE9">
        <w:rPr>
          <w:rFonts w:asciiTheme="majorHAnsi" w:hAnsiTheme="majorHAnsi"/>
        </w:rPr>
        <w:t>6</w:t>
      </w:r>
      <w:r w:rsidRPr="00C91FC8">
        <w:rPr>
          <w:rFonts w:asciiTheme="majorHAnsi" w:hAnsiTheme="majorHAnsi"/>
        </w:rPr>
        <w:t xml:space="preserve"> STU priznala motivačné štipendiá celkovo </w:t>
      </w:r>
      <w:r w:rsidR="00DF7658">
        <w:rPr>
          <w:rFonts w:asciiTheme="majorHAnsi" w:eastAsia="Times New Roman" w:hAnsiTheme="majorHAnsi" w:cs="Times New Roman"/>
          <w:lang w:val="sk-SK" w:eastAsia="sk-SK"/>
        </w:rPr>
        <w:t>5 159</w:t>
      </w:r>
      <w:r w:rsidR="0049032B">
        <w:rPr>
          <w:rFonts w:asciiTheme="majorHAnsi" w:eastAsia="Times New Roman" w:hAnsiTheme="majorHAnsi" w:cs="Times New Roman"/>
          <w:lang w:val="sk-SK" w:eastAsia="sk-SK"/>
        </w:rPr>
        <w:t xml:space="preserve"> študentom</w:t>
      </w:r>
      <w:r w:rsidR="00F9741F" w:rsidRPr="00C91FC8">
        <w:rPr>
          <w:rFonts w:asciiTheme="majorHAnsi" w:hAnsiTheme="majorHAnsi"/>
        </w:rPr>
        <w:t xml:space="preserve">, z toho </w:t>
      </w:r>
      <w:proofErr w:type="gramStart"/>
      <w:r w:rsidR="00F9741F" w:rsidRPr="00C91FC8">
        <w:rPr>
          <w:rFonts w:asciiTheme="majorHAnsi" w:hAnsiTheme="majorHAnsi"/>
        </w:rPr>
        <w:t>na</w:t>
      </w:r>
      <w:proofErr w:type="gramEnd"/>
      <w:r w:rsidR="00F9741F" w:rsidRPr="00C91FC8">
        <w:rPr>
          <w:rFonts w:asciiTheme="majorHAnsi" w:hAnsiTheme="majorHAnsi"/>
        </w:rPr>
        <w:t xml:space="preserve"> odoborové štipendiá </w:t>
      </w:r>
      <w:r w:rsidR="00DF7658">
        <w:rPr>
          <w:rFonts w:asciiTheme="majorHAnsi" w:eastAsia="Times New Roman" w:hAnsiTheme="majorHAnsi" w:cs="Times New Roman"/>
          <w:lang w:val="sk-SK" w:eastAsia="sk-SK"/>
        </w:rPr>
        <w:t>3 450</w:t>
      </w:r>
      <w:r w:rsidR="00C91FC8" w:rsidRPr="00C91FC8">
        <w:rPr>
          <w:rFonts w:asciiTheme="majorHAnsi" w:eastAsia="Times New Roman" w:hAnsiTheme="majorHAnsi" w:cs="Times New Roman"/>
          <w:lang w:val="sk-SK" w:eastAsia="sk-SK"/>
        </w:rPr>
        <w:t xml:space="preserve"> </w:t>
      </w:r>
      <w:r w:rsidR="00F9741F" w:rsidRPr="00C91FC8">
        <w:rPr>
          <w:rFonts w:asciiTheme="majorHAnsi" w:hAnsiTheme="majorHAnsi"/>
        </w:rPr>
        <w:t xml:space="preserve">študentom a na štipendiá v zmysle §96a ods.1, písm.b </w:t>
      </w:r>
      <w:r w:rsidR="00DF7658">
        <w:rPr>
          <w:rFonts w:asciiTheme="majorHAnsi" w:eastAsia="Times New Roman" w:hAnsiTheme="majorHAnsi" w:cs="Times New Roman"/>
          <w:lang w:val="sk-SK" w:eastAsia="sk-SK"/>
        </w:rPr>
        <w:t>1</w:t>
      </w:r>
      <w:r w:rsidR="00A433C9">
        <w:rPr>
          <w:rFonts w:asciiTheme="majorHAnsi" w:eastAsia="Times New Roman" w:hAnsiTheme="majorHAnsi" w:cs="Times New Roman"/>
          <w:lang w:val="sk-SK" w:eastAsia="sk-SK"/>
        </w:rPr>
        <w:t> </w:t>
      </w:r>
      <w:r w:rsidR="00DF7658">
        <w:rPr>
          <w:rFonts w:asciiTheme="majorHAnsi" w:eastAsia="Times New Roman" w:hAnsiTheme="majorHAnsi" w:cs="Times New Roman"/>
          <w:lang w:val="sk-SK" w:eastAsia="sk-SK"/>
        </w:rPr>
        <w:t>709</w:t>
      </w:r>
      <w:r w:rsidR="005B1668">
        <w:rPr>
          <w:rFonts w:asciiTheme="majorHAnsi" w:eastAsia="Times New Roman" w:hAnsiTheme="majorHAnsi" w:cs="Times New Roman"/>
          <w:lang w:val="sk-SK" w:eastAsia="sk-SK"/>
        </w:rPr>
        <w:t xml:space="preserve"> </w:t>
      </w:r>
      <w:r w:rsidRPr="00C91FC8">
        <w:rPr>
          <w:rFonts w:asciiTheme="majorHAnsi" w:hAnsiTheme="majorHAnsi"/>
        </w:rPr>
        <w:t>študentom. Na tento účel prijala STU v roku 201</w:t>
      </w:r>
      <w:r w:rsidR="00F26CE9">
        <w:rPr>
          <w:rFonts w:asciiTheme="majorHAnsi" w:hAnsiTheme="majorHAnsi"/>
        </w:rPr>
        <w:t>6</w:t>
      </w:r>
      <w:r w:rsidRPr="00C91FC8">
        <w:rPr>
          <w:rFonts w:asciiTheme="majorHAnsi" w:hAnsiTheme="majorHAnsi"/>
        </w:rPr>
        <w:t xml:space="preserve"> finančné prostriedky z dotácie vo výške </w:t>
      </w:r>
      <w:r w:rsidR="00DF7658">
        <w:rPr>
          <w:rFonts w:asciiTheme="majorHAnsi" w:eastAsia="Times New Roman" w:hAnsiTheme="majorHAnsi" w:cs="Times New Roman"/>
          <w:lang w:val="sk-SK" w:eastAsia="sk-SK"/>
        </w:rPr>
        <w:t>2 000</w:t>
      </w:r>
      <w:r w:rsidR="003C0131">
        <w:rPr>
          <w:rFonts w:asciiTheme="majorHAnsi" w:eastAsia="Times New Roman" w:hAnsiTheme="majorHAnsi" w:cs="Times New Roman"/>
          <w:lang w:val="sk-SK" w:eastAsia="sk-SK"/>
        </w:rPr>
        <w:t> </w:t>
      </w:r>
      <w:r w:rsidR="00DF7658">
        <w:rPr>
          <w:rFonts w:asciiTheme="majorHAnsi" w:eastAsia="Times New Roman" w:hAnsiTheme="majorHAnsi" w:cs="Times New Roman"/>
          <w:lang w:val="sk-SK" w:eastAsia="sk-SK"/>
        </w:rPr>
        <w:t>448</w:t>
      </w:r>
      <w:r w:rsidR="003C0131">
        <w:rPr>
          <w:rFonts w:asciiTheme="majorHAnsi" w:eastAsia="Times New Roman" w:hAnsiTheme="majorHAnsi" w:cs="Times New Roman"/>
          <w:lang w:val="sk-SK" w:eastAsia="sk-SK"/>
        </w:rPr>
        <w:t xml:space="preserve"> </w:t>
      </w:r>
      <w:r w:rsidRPr="00C91FC8">
        <w:rPr>
          <w:rFonts w:asciiTheme="majorHAnsi" w:hAnsiTheme="majorHAnsi"/>
        </w:rPr>
        <w:t xml:space="preserve">EUR, zostatok z predchádzajúceho roka bol vo </w:t>
      </w:r>
      <w:proofErr w:type="gramStart"/>
      <w:r w:rsidRPr="00C91FC8">
        <w:rPr>
          <w:rFonts w:asciiTheme="majorHAnsi" w:hAnsiTheme="majorHAnsi"/>
        </w:rPr>
        <w:t xml:space="preserve">výške </w:t>
      </w:r>
      <w:r w:rsidR="00DF7658">
        <w:rPr>
          <w:rFonts w:asciiTheme="majorHAnsi" w:eastAsia="Times New Roman" w:hAnsiTheme="majorHAnsi" w:cs="Times New Roman"/>
          <w:bCs/>
          <w:highlight w:val="yellow"/>
          <w:lang w:val="sk-SK" w:eastAsia="sk-SK"/>
        </w:rPr>
        <w:t xml:space="preserve"> </w:t>
      </w:r>
      <w:r w:rsidR="00DF7658" w:rsidRPr="00DF7658">
        <w:rPr>
          <w:rFonts w:asciiTheme="majorHAnsi" w:eastAsia="Times New Roman" w:hAnsiTheme="majorHAnsi" w:cs="Times New Roman"/>
          <w:bCs/>
          <w:lang w:val="sk-SK" w:eastAsia="sk-SK"/>
        </w:rPr>
        <w:t>57</w:t>
      </w:r>
      <w:proofErr w:type="gramEnd"/>
      <w:r w:rsidR="00DF7658" w:rsidRPr="00DF7658">
        <w:rPr>
          <w:rFonts w:asciiTheme="majorHAnsi" w:eastAsia="Times New Roman" w:hAnsiTheme="majorHAnsi" w:cs="Times New Roman"/>
          <w:bCs/>
          <w:lang w:val="sk-SK" w:eastAsia="sk-SK"/>
        </w:rPr>
        <w:t> 419,65</w:t>
      </w:r>
      <w:r w:rsidRPr="00DF7658">
        <w:rPr>
          <w:rFonts w:asciiTheme="majorHAnsi" w:hAnsiTheme="majorHAnsi"/>
        </w:rPr>
        <w:t>EUR</w:t>
      </w:r>
      <w:r w:rsidRPr="00C91FC8">
        <w:rPr>
          <w:rFonts w:asciiTheme="majorHAnsi" w:hAnsiTheme="majorHAnsi"/>
        </w:rPr>
        <w:t>. V roku 201</w:t>
      </w:r>
      <w:r w:rsidR="00F26CE9">
        <w:rPr>
          <w:rFonts w:asciiTheme="majorHAnsi" w:hAnsiTheme="majorHAnsi"/>
        </w:rPr>
        <w:t>6</w:t>
      </w:r>
      <w:r w:rsidRPr="00C91FC8">
        <w:rPr>
          <w:rFonts w:asciiTheme="majorHAnsi" w:hAnsiTheme="majorHAnsi"/>
        </w:rPr>
        <w:t xml:space="preserve"> boli motivačné štipendiá vyplatené v celkovom objeme</w:t>
      </w:r>
      <w:r w:rsidR="00C91FC8" w:rsidRPr="00C91FC8">
        <w:rPr>
          <w:rFonts w:asciiTheme="majorHAnsi" w:hAnsiTheme="majorHAnsi"/>
        </w:rPr>
        <w:t xml:space="preserve">  </w:t>
      </w:r>
      <w:r w:rsidR="00DF7658">
        <w:rPr>
          <w:rFonts w:asciiTheme="majorHAnsi" w:eastAsia="Times New Roman" w:hAnsiTheme="majorHAnsi" w:cs="Times New Roman"/>
          <w:lang w:val="sk-SK" w:eastAsia="sk-SK"/>
        </w:rPr>
        <w:t>1 984 946,75</w:t>
      </w:r>
      <w:r w:rsidR="007838DF" w:rsidRPr="00C91FC8">
        <w:rPr>
          <w:rFonts w:asciiTheme="majorHAnsi" w:hAnsiTheme="majorHAnsi"/>
        </w:rPr>
        <w:t xml:space="preserve">EUR., z toho výdavky na odoborové štipendiá vo výške </w:t>
      </w:r>
      <w:r w:rsidR="00DF7658">
        <w:rPr>
          <w:rFonts w:asciiTheme="majorHAnsi" w:eastAsia="Times New Roman" w:hAnsiTheme="majorHAnsi" w:cs="Times New Roman"/>
          <w:lang w:val="sk-SK" w:eastAsia="sk-SK"/>
        </w:rPr>
        <w:t>1 376 020</w:t>
      </w:r>
      <w:r w:rsidR="007838DF" w:rsidRPr="00C91FC8">
        <w:rPr>
          <w:rFonts w:asciiTheme="majorHAnsi" w:hAnsiTheme="majorHAnsi"/>
        </w:rPr>
        <w:t xml:space="preserve">EUR a na štipendiá v zmysle §96a ods.1, písm.b vo výške </w:t>
      </w:r>
      <w:r w:rsidR="00DF7658">
        <w:rPr>
          <w:rFonts w:asciiTheme="majorHAnsi" w:eastAsia="Times New Roman" w:hAnsiTheme="majorHAnsi" w:cs="Times New Roman"/>
          <w:lang w:val="sk-SK" w:eastAsia="sk-SK"/>
        </w:rPr>
        <w:t>608 926,75</w:t>
      </w:r>
      <w:r w:rsidR="007838DF" w:rsidRPr="00C91FC8">
        <w:rPr>
          <w:rFonts w:asciiTheme="majorHAnsi" w:hAnsiTheme="majorHAnsi"/>
        </w:rPr>
        <w:t>EUR. Zostatok dotácie do roka 201</w:t>
      </w:r>
      <w:r w:rsidR="00F26CE9">
        <w:rPr>
          <w:rFonts w:asciiTheme="majorHAnsi" w:hAnsiTheme="majorHAnsi"/>
        </w:rPr>
        <w:t>7</w:t>
      </w:r>
      <w:r w:rsidR="00C91FC8" w:rsidRPr="00C91FC8">
        <w:rPr>
          <w:rFonts w:asciiTheme="majorHAnsi" w:hAnsiTheme="majorHAnsi"/>
        </w:rPr>
        <w:t xml:space="preserve"> </w:t>
      </w:r>
      <w:r w:rsidR="007838DF" w:rsidRPr="00C91FC8">
        <w:rPr>
          <w:rFonts w:asciiTheme="majorHAnsi" w:hAnsiTheme="majorHAnsi"/>
        </w:rPr>
        <w:t xml:space="preserve">je vo výške </w:t>
      </w:r>
      <w:r w:rsidR="00DF7658">
        <w:rPr>
          <w:rFonts w:asciiTheme="majorHAnsi" w:eastAsia="Times New Roman" w:hAnsiTheme="majorHAnsi" w:cs="Times New Roman"/>
          <w:lang w:val="sk-SK" w:eastAsia="sk-SK"/>
        </w:rPr>
        <w:t>43 590,90</w:t>
      </w:r>
      <w:r w:rsidR="00727933">
        <w:rPr>
          <w:rFonts w:asciiTheme="majorHAnsi" w:eastAsia="Times New Roman" w:hAnsiTheme="majorHAnsi" w:cs="Times New Roman"/>
          <w:lang w:val="sk-SK" w:eastAsia="sk-SK"/>
        </w:rPr>
        <w:t xml:space="preserve"> </w:t>
      </w:r>
      <w:r w:rsidR="007838DF" w:rsidRPr="00C91FC8">
        <w:rPr>
          <w:rFonts w:asciiTheme="majorHAnsi" w:hAnsiTheme="majorHAnsi"/>
        </w:rPr>
        <w:t>EUR.</w:t>
      </w:r>
    </w:p>
    <w:p w:rsidR="00D7793B" w:rsidRPr="00CB2C99" w:rsidRDefault="00D7793B" w:rsidP="00D7793B">
      <w:pPr>
        <w:suppressAutoHyphens/>
        <w:jc w:val="both"/>
        <w:rPr>
          <w:rFonts w:asciiTheme="majorHAnsi" w:hAnsiTheme="majorHAnsi"/>
          <w:highlight w:val="yellow"/>
        </w:rPr>
      </w:pPr>
    </w:p>
    <w:p w:rsidR="00D7793B" w:rsidRPr="00FD779E" w:rsidRDefault="00D7793B" w:rsidP="00D7793B">
      <w:pPr>
        <w:suppressAutoHyphens/>
        <w:jc w:val="both"/>
        <w:rPr>
          <w:rFonts w:asciiTheme="majorHAnsi" w:hAnsiTheme="majorHAnsi"/>
        </w:rPr>
      </w:pPr>
      <w:r w:rsidRPr="00FD779E">
        <w:rPr>
          <w:rFonts w:asciiTheme="majorHAnsi" w:hAnsiTheme="majorHAnsi"/>
          <w:u w:val="single"/>
        </w:rPr>
        <w:t>Tabuľka č. 19 – Štipendiá vyplatené z vlastných zdrojov podľa § 97 zákona</w:t>
      </w:r>
      <w:r w:rsidRPr="00FD779E">
        <w:rPr>
          <w:rFonts w:asciiTheme="majorHAnsi" w:hAnsiTheme="majorHAnsi"/>
        </w:rPr>
        <w:t xml:space="preserve"> </w:t>
      </w:r>
    </w:p>
    <w:p w:rsidR="00D7793B" w:rsidRPr="00FD779E" w:rsidRDefault="00D7793B" w:rsidP="00ED7FE3">
      <w:pPr>
        <w:jc w:val="both"/>
        <w:rPr>
          <w:rFonts w:asciiTheme="majorHAnsi" w:hAnsiTheme="majorHAnsi"/>
        </w:rPr>
      </w:pPr>
      <w:r w:rsidRPr="00FD779E">
        <w:rPr>
          <w:rFonts w:asciiTheme="majorHAnsi" w:hAnsiTheme="majorHAnsi"/>
        </w:rPr>
        <w:t>Z vlastných zdrojov STU poberalo v roku 201</w:t>
      </w:r>
      <w:r w:rsidR="00F26CE9">
        <w:rPr>
          <w:rFonts w:asciiTheme="majorHAnsi" w:hAnsiTheme="majorHAnsi"/>
        </w:rPr>
        <w:t>6</w:t>
      </w:r>
      <w:r w:rsidRPr="00FD779E">
        <w:rPr>
          <w:rFonts w:asciiTheme="majorHAnsi" w:hAnsiTheme="majorHAnsi"/>
        </w:rPr>
        <w:t xml:space="preserve"> štipendium </w:t>
      </w:r>
      <w:r w:rsidR="003C207C">
        <w:rPr>
          <w:rFonts w:asciiTheme="majorHAnsi" w:eastAsia="Times New Roman" w:hAnsiTheme="majorHAnsi" w:cs="Times New Roman"/>
          <w:lang w:val="sk-SK" w:eastAsia="sk-SK"/>
        </w:rPr>
        <w:t>1 009</w:t>
      </w:r>
      <w:r w:rsidR="001F71B5">
        <w:rPr>
          <w:rFonts w:asciiTheme="majorHAnsi" w:eastAsia="Times New Roman" w:hAnsiTheme="majorHAnsi" w:cs="Times New Roman"/>
          <w:lang w:val="sk-SK" w:eastAsia="sk-SK"/>
        </w:rPr>
        <w:t xml:space="preserve"> </w:t>
      </w:r>
      <w:r w:rsidRPr="00FD779E">
        <w:rPr>
          <w:rFonts w:asciiTheme="majorHAnsi" w:hAnsiTheme="majorHAnsi"/>
        </w:rPr>
        <w:t>študentov. Celkovo boli v roku 201</w:t>
      </w:r>
      <w:r w:rsidR="00F26CE9">
        <w:rPr>
          <w:rFonts w:asciiTheme="majorHAnsi" w:hAnsiTheme="majorHAnsi"/>
        </w:rPr>
        <w:t>6</w:t>
      </w:r>
      <w:r w:rsidRPr="00FD779E">
        <w:rPr>
          <w:rFonts w:asciiTheme="majorHAnsi" w:hAnsiTheme="majorHAnsi"/>
        </w:rPr>
        <w:t xml:space="preserve"> vyplatené štipendiá z vlastných zdrojov vo výške </w:t>
      </w:r>
      <w:r w:rsidR="003C207C">
        <w:rPr>
          <w:rFonts w:asciiTheme="majorHAnsi" w:eastAsia="Times New Roman" w:hAnsiTheme="majorHAnsi" w:cs="Times New Roman"/>
          <w:bCs/>
          <w:lang w:val="sk-SK" w:eastAsia="sk-SK"/>
        </w:rPr>
        <w:t>2</w:t>
      </w:r>
      <w:r w:rsidR="00A50A21">
        <w:rPr>
          <w:rFonts w:asciiTheme="majorHAnsi" w:eastAsia="Times New Roman" w:hAnsiTheme="majorHAnsi" w:cs="Times New Roman"/>
          <w:bCs/>
          <w:lang w:val="sk-SK" w:eastAsia="sk-SK"/>
        </w:rPr>
        <w:t>08 549,27</w:t>
      </w:r>
      <w:r w:rsidR="00C91FC8" w:rsidRPr="00FD779E">
        <w:rPr>
          <w:rFonts w:asciiTheme="majorHAnsi" w:eastAsia="Times New Roman" w:hAnsiTheme="majorHAnsi" w:cs="Times New Roman"/>
          <w:bCs/>
          <w:lang w:val="sk-SK" w:eastAsia="sk-SK"/>
        </w:rPr>
        <w:t xml:space="preserve"> </w:t>
      </w:r>
      <w:r w:rsidRPr="00FD779E">
        <w:rPr>
          <w:rFonts w:asciiTheme="majorHAnsi" w:hAnsiTheme="majorHAnsi"/>
        </w:rPr>
        <w:t>EUR,</w:t>
      </w:r>
      <w:r w:rsidR="00DD1C29" w:rsidRPr="00FD779E">
        <w:rPr>
          <w:rFonts w:asciiTheme="majorHAnsi" w:hAnsiTheme="majorHAnsi"/>
        </w:rPr>
        <w:t xml:space="preserve"> </w:t>
      </w:r>
      <w:r w:rsidRPr="00FD779E">
        <w:rPr>
          <w:rFonts w:asciiTheme="majorHAnsi" w:hAnsiTheme="majorHAnsi"/>
        </w:rPr>
        <w:t xml:space="preserve">čo je </w:t>
      </w:r>
      <w:r w:rsidR="003C207C" w:rsidRPr="003C207C">
        <w:rPr>
          <w:rFonts w:asciiTheme="majorHAnsi" w:hAnsiTheme="majorHAnsi"/>
        </w:rPr>
        <w:t>nárast</w:t>
      </w:r>
      <w:r w:rsidRPr="003C207C">
        <w:rPr>
          <w:rFonts w:asciiTheme="majorHAnsi" w:hAnsiTheme="majorHAnsi"/>
        </w:rPr>
        <w:t xml:space="preserve"> </w:t>
      </w:r>
      <w:r w:rsidR="00C91FC8" w:rsidRPr="003C207C">
        <w:rPr>
          <w:rFonts w:asciiTheme="majorHAnsi" w:hAnsiTheme="majorHAnsi"/>
        </w:rPr>
        <w:t xml:space="preserve">oproti </w:t>
      </w:r>
      <w:r w:rsidRPr="003C207C">
        <w:rPr>
          <w:rFonts w:asciiTheme="majorHAnsi" w:hAnsiTheme="majorHAnsi"/>
        </w:rPr>
        <w:t>roku 201</w:t>
      </w:r>
      <w:r w:rsidR="00F26CE9" w:rsidRPr="003C207C">
        <w:rPr>
          <w:rFonts w:asciiTheme="majorHAnsi" w:hAnsiTheme="majorHAnsi"/>
        </w:rPr>
        <w:t>5</w:t>
      </w:r>
      <w:r w:rsidRPr="003C207C">
        <w:rPr>
          <w:rFonts w:asciiTheme="majorHAnsi" w:hAnsiTheme="majorHAnsi"/>
        </w:rPr>
        <w:t xml:space="preserve"> o</w:t>
      </w:r>
      <w:r w:rsidR="003C207C" w:rsidRPr="003C207C">
        <w:rPr>
          <w:rFonts w:asciiTheme="majorHAnsi" w:hAnsiTheme="majorHAnsi"/>
        </w:rPr>
        <w:t> </w:t>
      </w:r>
      <w:r w:rsidR="00A50A21">
        <w:rPr>
          <w:rFonts w:asciiTheme="majorHAnsi" w:hAnsiTheme="majorHAnsi"/>
        </w:rPr>
        <w:t>28</w:t>
      </w:r>
      <w:r w:rsidR="003C207C" w:rsidRPr="003C207C">
        <w:rPr>
          <w:rFonts w:asciiTheme="majorHAnsi" w:eastAsia="Times New Roman" w:hAnsiTheme="majorHAnsi" w:cs="Times New Roman"/>
          <w:lang w:val="sk-SK" w:eastAsia="sk-SK"/>
        </w:rPr>
        <w:t> </w:t>
      </w:r>
      <w:r w:rsidR="00A50A21">
        <w:rPr>
          <w:rFonts w:asciiTheme="majorHAnsi" w:eastAsia="Times New Roman" w:hAnsiTheme="majorHAnsi" w:cs="Times New Roman"/>
          <w:lang w:val="sk-SK" w:eastAsia="sk-SK"/>
        </w:rPr>
        <w:t>328</w:t>
      </w:r>
      <w:r w:rsidR="003C207C" w:rsidRPr="003C207C">
        <w:rPr>
          <w:rFonts w:asciiTheme="majorHAnsi" w:eastAsia="Times New Roman" w:hAnsiTheme="majorHAnsi" w:cs="Times New Roman"/>
          <w:lang w:val="sk-SK" w:eastAsia="sk-SK"/>
        </w:rPr>
        <w:t>,81</w:t>
      </w:r>
      <w:r w:rsidR="00C91FC8" w:rsidRPr="003C207C">
        <w:rPr>
          <w:rFonts w:asciiTheme="majorHAnsi" w:eastAsia="Times New Roman" w:hAnsiTheme="majorHAnsi" w:cs="Times New Roman"/>
          <w:lang w:val="sk-SK" w:eastAsia="sk-SK"/>
        </w:rPr>
        <w:t xml:space="preserve"> </w:t>
      </w:r>
      <w:r w:rsidRPr="003C207C">
        <w:rPr>
          <w:rFonts w:asciiTheme="majorHAnsi" w:hAnsiTheme="majorHAnsi"/>
        </w:rPr>
        <w:t xml:space="preserve">EUR pri súčasnom </w:t>
      </w:r>
      <w:r w:rsidR="00C91FC8" w:rsidRPr="003C207C">
        <w:rPr>
          <w:rFonts w:asciiTheme="majorHAnsi" w:hAnsiTheme="majorHAnsi"/>
        </w:rPr>
        <w:t>náraste</w:t>
      </w:r>
      <w:r w:rsidRPr="003C207C">
        <w:rPr>
          <w:rFonts w:asciiTheme="majorHAnsi" w:hAnsiTheme="majorHAnsi"/>
        </w:rPr>
        <w:t xml:space="preserve"> študentov o </w:t>
      </w:r>
      <w:r w:rsidR="003C207C" w:rsidRPr="003C207C">
        <w:rPr>
          <w:rFonts w:asciiTheme="majorHAnsi" w:hAnsiTheme="majorHAnsi"/>
        </w:rPr>
        <w:t>127</w:t>
      </w:r>
      <w:r w:rsidRPr="003C207C">
        <w:rPr>
          <w:rFonts w:asciiTheme="majorHAnsi" w:hAnsiTheme="majorHAnsi"/>
        </w:rPr>
        <w:t>.</w:t>
      </w:r>
      <w:r w:rsidRPr="00FD779E">
        <w:rPr>
          <w:rFonts w:asciiTheme="majorHAnsi" w:hAnsiTheme="majorHAnsi"/>
        </w:rPr>
        <w:t xml:space="preserve"> </w:t>
      </w:r>
      <w:r w:rsidR="007838DF" w:rsidRPr="00FD779E">
        <w:rPr>
          <w:rFonts w:asciiTheme="majorHAnsi" w:hAnsiTheme="majorHAnsi"/>
        </w:rPr>
        <w:t xml:space="preserve"> </w:t>
      </w:r>
      <w:proofErr w:type="gramStart"/>
      <w:r w:rsidRPr="00FD779E">
        <w:rPr>
          <w:rFonts w:asciiTheme="majorHAnsi" w:hAnsiTheme="majorHAnsi"/>
        </w:rPr>
        <w:t xml:space="preserve">Z toho prospechové štipendiá boli vyplatené vo výške </w:t>
      </w:r>
      <w:r w:rsidR="003C207C">
        <w:rPr>
          <w:rFonts w:asciiTheme="majorHAnsi" w:eastAsia="Times New Roman" w:hAnsiTheme="majorHAnsi" w:cs="Times New Roman"/>
          <w:bCs/>
          <w:lang w:val="sk-SK" w:eastAsia="sk-SK"/>
        </w:rPr>
        <w:t>12</w:t>
      </w:r>
      <w:r w:rsidR="00A50A21">
        <w:rPr>
          <w:rFonts w:asciiTheme="majorHAnsi" w:eastAsia="Times New Roman" w:hAnsiTheme="majorHAnsi" w:cs="Times New Roman"/>
          <w:bCs/>
          <w:lang w:val="sk-SK" w:eastAsia="sk-SK"/>
        </w:rPr>
        <w:t>5 041</w:t>
      </w:r>
      <w:r w:rsidR="00C91FC8" w:rsidRPr="00FD779E">
        <w:rPr>
          <w:rFonts w:asciiTheme="majorHAnsi" w:eastAsia="Times New Roman" w:hAnsiTheme="majorHAnsi" w:cs="Times New Roman"/>
          <w:bCs/>
          <w:lang w:val="sk-SK" w:eastAsia="sk-SK"/>
        </w:rPr>
        <w:t xml:space="preserve"> </w:t>
      </w:r>
      <w:r w:rsidRPr="00FD779E">
        <w:rPr>
          <w:rFonts w:asciiTheme="majorHAnsi" w:hAnsiTheme="majorHAnsi"/>
        </w:rPr>
        <w:t xml:space="preserve">EUR </w:t>
      </w:r>
      <w:r w:rsidR="00B55744">
        <w:rPr>
          <w:rFonts w:asciiTheme="majorHAnsi" w:hAnsiTheme="majorHAnsi"/>
        </w:rPr>
        <w:t xml:space="preserve">  </w:t>
      </w:r>
      <w:r w:rsidRPr="00FD779E">
        <w:rPr>
          <w:rFonts w:asciiTheme="majorHAnsi" w:hAnsiTheme="majorHAnsi"/>
        </w:rPr>
        <w:t>( o</w:t>
      </w:r>
      <w:r w:rsidR="003C207C">
        <w:rPr>
          <w:rFonts w:asciiTheme="majorHAnsi" w:hAnsiTheme="majorHAnsi"/>
        </w:rPr>
        <w:t> </w:t>
      </w:r>
      <w:r w:rsidR="003C207C" w:rsidRPr="003C207C">
        <w:rPr>
          <w:rFonts w:asciiTheme="majorHAnsi" w:eastAsia="Times New Roman" w:hAnsiTheme="majorHAnsi" w:cs="Times New Roman"/>
          <w:lang w:val="sk-SK" w:eastAsia="sk-SK"/>
        </w:rPr>
        <w:t>8</w:t>
      </w:r>
      <w:r w:rsidR="00A50A21">
        <w:rPr>
          <w:rFonts w:asciiTheme="majorHAnsi" w:eastAsia="Times New Roman" w:hAnsiTheme="majorHAnsi" w:cs="Times New Roman"/>
          <w:lang w:val="sk-SK" w:eastAsia="sk-SK"/>
        </w:rPr>
        <w:t>6</w:t>
      </w:r>
      <w:r w:rsidR="003C207C" w:rsidRPr="003C207C">
        <w:rPr>
          <w:rFonts w:asciiTheme="majorHAnsi" w:eastAsia="Times New Roman" w:hAnsiTheme="majorHAnsi" w:cs="Times New Roman"/>
          <w:lang w:val="sk-SK" w:eastAsia="sk-SK"/>
        </w:rPr>
        <w:t> </w:t>
      </w:r>
      <w:r w:rsidR="00A50A21">
        <w:rPr>
          <w:rFonts w:asciiTheme="majorHAnsi" w:eastAsia="Times New Roman" w:hAnsiTheme="majorHAnsi" w:cs="Times New Roman"/>
          <w:lang w:val="sk-SK" w:eastAsia="sk-SK"/>
        </w:rPr>
        <w:t>817</w:t>
      </w:r>
      <w:r w:rsidR="003C207C" w:rsidRPr="003C207C">
        <w:rPr>
          <w:rFonts w:asciiTheme="majorHAnsi" w:eastAsia="Times New Roman" w:hAnsiTheme="majorHAnsi" w:cs="Times New Roman"/>
          <w:lang w:val="sk-SK" w:eastAsia="sk-SK"/>
        </w:rPr>
        <w:t xml:space="preserve">,54 </w:t>
      </w:r>
      <w:r w:rsidRPr="003C207C">
        <w:rPr>
          <w:rFonts w:asciiTheme="majorHAnsi" w:hAnsiTheme="majorHAnsi"/>
        </w:rPr>
        <w:t xml:space="preserve">EUR </w:t>
      </w:r>
      <w:r w:rsidR="00C91FC8" w:rsidRPr="003C207C">
        <w:rPr>
          <w:rFonts w:asciiTheme="majorHAnsi" w:hAnsiTheme="majorHAnsi"/>
        </w:rPr>
        <w:t>viac</w:t>
      </w:r>
      <w:r w:rsidRPr="00FD779E">
        <w:rPr>
          <w:rFonts w:asciiTheme="majorHAnsi" w:hAnsiTheme="majorHAnsi"/>
        </w:rPr>
        <w:t xml:space="preserve"> ako v roku 201</w:t>
      </w:r>
      <w:r w:rsidR="00F26CE9">
        <w:rPr>
          <w:rFonts w:asciiTheme="majorHAnsi" w:hAnsiTheme="majorHAnsi"/>
        </w:rPr>
        <w:t>5</w:t>
      </w:r>
      <w:r w:rsidR="00C91FC8" w:rsidRPr="00FD779E">
        <w:rPr>
          <w:rFonts w:asciiTheme="majorHAnsi" w:hAnsiTheme="majorHAnsi"/>
        </w:rPr>
        <w:t xml:space="preserve">, pri súčasnom </w:t>
      </w:r>
      <w:r w:rsidR="00EC56A8" w:rsidRPr="00EC56A8">
        <w:rPr>
          <w:rFonts w:asciiTheme="majorHAnsi" w:hAnsiTheme="majorHAnsi"/>
        </w:rPr>
        <w:t>náraste</w:t>
      </w:r>
      <w:r w:rsidR="00C91FC8" w:rsidRPr="00EC56A8">
        <w:rPr>
          <w:rFonts w:asciiTheme="majorHAnsi" w:hAnsiTheme="majorHAnsi"/>
        </w:rPr>
        <w:t xml:space="preserve"> študentov o </w:t>
      </w:r>
      <w:r w:rsidR="00EC56A8">
        <w:rPr>
          <w:rFonts w:asciiTheme="majorHAnsi" w:hAnsiTheme="majorHAnsi"/>
        </w:rPr>
        <w:t>537</w:t>
      </w:r>
      <w:r w:rsidRPr="00FD779E">
        <w:rPr>
          <w:rFonts w:asciiTheme="majorHAnsi" w:hAnsiTheme="majorHAnsi"/>
        </w:rPr>
        <w:t xml:space="preserve">), štipendiá za dosiahnutie vynikajúceho výsledku v oblasti štúdia </w:t>
      </w:r>
      <w:r w:rsidR="007838DF" w:rsidRPr="00FD779E">
        <w:rPr>
          <w:rFonts w:asciiTheme="majorHAnsi" w:hAnsiTheme="majorHAnsi"/>
        </w:rPr>
        <w:t> </w:t>
      </w:r>
      <w:r w:rsidR="00EC56A8">
        <w:rPr>
          <w:rFonts w:asciiTheme="majorHAnsi" w:eastAsia="Times New Roman" w:hAnsiTheme="majorHAnsi" w:cs="Times New Roman"/>
          <w:bCs/>
          <w:lang w:val="sk-SK" w:eastAsia="sk-SK"/>
        </w:rPr>
        <w:t>46 998,45</w:t>
      </w:r>
      <w:r w:rsidR="00C91FC8" w:rsidRPr="00FD779E">
        <w:rPr>
          <w:rFonts w:asciiTheme="majorHAnsi" w:eastAsia="Times New Roman" w:hAnsiTheme="majorHAnsi" w:cs="Times New Roman"/>
          <w:bCs/>
          <w:lang w:val="sk-SK" w:eastAsia="sk-SK"/>
        </w:rPr>
        <w:t xml:space="preserve"> </w:t>
      </w:r>
      <w:r w:rsidRPr="00FD779E">
        <w:rPr>
          <w:rFonts w:asciiTheme="majorHAnsi" w:hAnsiTheme="majorHAnsi"/>
        </w:rPr>
        <w:t xml:space="preserve">EUR </w:t>
      </w:r>
      <w:r w:rsidR="00143E67">
        <w:rPr>
          <w:rFonts w:asciiTheme="majorHAnsi" w:hAnsiTheme="majorHAnsi"/>
        </w:rPr>
        <w:t xml:space="preserve">  </w:t>
      </w:r>
      <w:r w:rsidRPr="00FD779E">
        <w:rPr>
          <w:rFonts w:asciiTheme="majorHAnsi" w:hAnsiTheme="majorHAnsi"/>
        </w:rPr>
        <w:t>( oproti roku 201</w:t>
      </w:r>
      <w:r w:rsidR="00F26CE9">
        <w:rPr>
          <w:rFonts w:asciiTheme="majorHAnsi" w:hAnsiTheme="majorHAnsi"/>
        </w:rPr>
        <w:t xml:space="preserve">5 </w:t>
      </w:r>
      <w:r w:rsidR="00EC56A8" w:rsidRPr="00EC56A8">
        <w:rPr>
          <w:rFonts w:asciiTheme="majorHAnsi" w:hAnsiTheme="majorHAnsi"/>
        </w:rPr>
        <w:t>pokles</w:t>
      </w:r>
      <w:r w:rsidRPr="00EC56A8">
        <w:rPr>
          <w:rFonts w:asciiTheme="majorHAnsi" w:hAnsiTheme="majorHAnsi"/>
        </w:rPr>
        <w:t xml:space="preserve"> o</w:t>
      </w:r>
      <w:r w:rsidR="00EC56A8">
        <w:rPr>
          <w:rFonts w:asciiTheme="majorHAnsi" w:hAnsiTheme="majorHAnsi"/>
        </w:rPr>
        <w:t> </w:t>
      </w:r>
      <w:r w:rsidR="00EC56A8">
        <w:rPr>
          <w:rFonts w:asciiTheme="majorHAnsi" w:eastAsia="Times New Roman" w:hAnsiTheme="majorHAnsi" w:cs="Times New Roman"/>
          <w:lang w:val="sk-SK" w:eastAsia="sk-SK"/>
        </w:rPr>
        <w:t xml:space="preserve">79 311,55 </w:t>
      </w:r>
      <w:r w:rsidRPr="00FD779E">
        <w:rPr>
          <w:rFonts w:asciiTheme="majorHAnsi" w:hAnsiTheme="majorHAnsi"/>
        </w:rPr>
        <w:t xml:space="preserve">EUR), </w:t>
      </w:r>
      <w:r w:rsidR="00EC56A8">
        <w:rPr>
          <w:rFonts w:asciiTheme="majorHAnsi" w:hAnsiTheme="majorHAnsi"/>
        </w:rPr>
        <w:t xml:space="preserve">za dosiahnutie vynikajúceho výsledku vo výskume a vývoji 6 955 EUR, </w:t>
      </w:r>
      <w:r w:rsidRPr="00FD779E">
        <w:rPr>
          <w:rFonts w:asciiTheme="majorHAnsi" w:hAnsiTheme="majorHAnsi"/>
        </w:rPr>
        <w:t xml:space="preserve">za umeleckú alebo športovú činnosť </w:t>
      </w:r>
      <w:r w:rsidR="00143E67">
        <w:rPr>
          <w:rFonts w:asciiTheme="majorHAnsi" w:hAnsiTheme="majorHAnsi"/>
        </w:rPr>
        <w:t xml:space="preserve">  </w:t>
      </w:r>
      <w:r w:rsidR="00EC56A8">
        <w:rPr>
          <w:rFonts w:asciiTheme="majorHAnsi" w:eastAsia="Times New Roman" w:hAnsiTheme="majorHAnsi" w:cs="Times New Roman"/>
          <w:bCs/>
          <w:lang w:val="sk-SK" w:eastAsia="sk-SK"/>
        </w:rPr>
        <w:t xml:space="preserve">1 195 </w:t>
      </w:r>
      <w:r w:rsidRPr="00FD779E">
        <w:rPr>
          <w:rFonts w:asciiTheme="majorHAnsi" w:hAnsiTheme="majorHAnsi"/>
        </w:rPr>
        <w:t>EUR (</w:t>
      </w:r>
      <w:r w:rsidR="00FD779E" w:rsidRPr="00EC56A8">
        <w:rPr>
          <w:rFonts w:asciiTheme="majorHAnsi" w:hAnsiTheme="majorHAnsi"/>
        </w:rPr>
        <w:t>pokles</w:t>
      </w:r>
      <w:r w:rsidRPr="00EC56A8">
        <w:rPr>
          <w:rFonts w:asciiTheme="majorHAnsi" w:hAnsiTheme="majorHAnsi"/>
        </w:rPr>
        <w:t xml:space="preserve"> o</w:t>
      </w:r>
      <w:r w:rsidR="00FD779E" w:rsidRPr="00EC56A8">
        <w:rPr>
          <w:rFonts w:asciiTheme="majorHAnsi" w:hAnsiTheme="majorHAnsi"/>
        </w:rPr>
        <w:t xml:space="preserve"> </w:t>
      </w:r>
      <w:r w:rsidR="00EC56A8" w:rsidRPr="00EC56A8">
        <w:rPr>
          <w:rFonts w:asciiTheme="majorHAnsi" w:hAnsiTheme="majorHAnsi"/>
        </w:rPr>
        <w:t>7</w:t>
      </w:r>
      <w:r w:rsidR="00EC56A8">
        <w:rPr>
          <w:rFonts w:asciiTheme="majorHAnsi" w:hAnsiTheme="majorHAnsi"/>
        </w:rPr>
        <w:t xml:space="preserve"> 505</w:t>
      </w:r>
      <w:r w:rsidR="001F71B5">
        <w:rPr>
          <w:rFonts w:asciiTheme="majorHAnsi" w:hAnsiTheme="majorHAnsi"/>
        </w:rPr>
        <w:t xml:space="preserve"> </w:t>
      </w:r>
      <w:r w:rsidRPr="00FD779E">
        <w:rPr>
          <w:rFonts w:asciiTheme="majorHAnsi" w:hAnsiTheme="majorHAnsi"/>
        </w:rPr>
        <w:t>EUR),na sociálnu podporu</w:t>
      </w:r>
      <w:r w:rsidR="007838DF" w:rsidRPr="00FD779E">
        <w:rPr>
          <w:rFonts w:asciiTheme="majorHAnsi" w:hAnsiTheme="majorHAnsi"/>
        </w:rPr>
        <w:t> </w:t>
      </w:r>
      <w:r w:rsidR="00FD779E" w:rsidRPr="00FD779E">
        <w:rPr>
          <w:rFonts w:asciiTheme="majorHAnsi" w:hAnsiTheme="majorHAnsi"/>
        </w:rPr>
        <w:t xml:space="preserve">  </w:t>
      </w:r>
      <w:r w:rsidR="007838DF" w:rsidRPr="00FD779E">
        <w:rPr>
          <w:rFonts w:asciiTheme="majorHAnsi" w:hAnsiTheme="majorHAnsi"/>
        </w:rPr>
        <w:t xml:space="preserve"> </w:t>
      </w:r>
      <w:r w:rsidR="00EC56A8">
        <w:rPr>
          <w:rFonts w:asciiTheme="majorHAnsi" w:eastAsia="Times New Roman" w:hAnsiTheme="majorHAnsi" w:cs="Times New Roman"/>
          <w:bCs/>
          <w:lang w:val="sk-SK" w:eastAsia="sk-SK"/>
        </w:rPr>
        <w:t>28 359,82</w:t>
      </w:r>
      <w:r w:rsidRPr="00FD779E">
        <w:rPr>
          <w:rFonts w:asciiTheme="majorHAnsi" w:hAnsiTheme="majorHAnsi"/>
        </w:rPr>
        <w:t>EUR  (</w:t>
      </w:r>
      <w:r w:rsidR="00EC56A8">
        <w:rPr>
          <w:rFonts w:asciiTheme="majorHAnsi" w:hAnsiTheme="majorHAnsi"/>
        </w:rPr>
        <w:t>nárast</w:t>
      </w:r>
      <w:r w:rsidRPr="00FD779E">
        <w:rPr>
          <w:rFonts w:asciiTheme="majorHAnsi" w:hAnsiTheme="majorHAnsi"/>
        </w:rPr>
        <w:t xml:space="preserve"> o</w:t>
      </w:r>
      <w:r w:rsidR="00EC56A8">
        <w:rPr>
          <w:rFonts w:asciiTheme="majorHAnsi" w:hAnsiTheme="majorHAnsi"/>
        </w:rPr>
        <w:t> </w:t>
      </w:r>
      <w:r w:rsidR="00EC56A8" w:rsidRPr="00EC56A8">
        <w:rPr>
          <w:rFonts w:asciiTheme="majorHAnsi" w:eastAsia="Times New Roman" w:hAnsiTheme="majorHAnsi" w:cs="Times New Roman"/>
          <w:lang w:val="sk-SK" w:eastAsia="sk-SK"/>
        </w:rPr>
        <w:t>21 372,82</w:t>
      </w:r>
      <w:r w:rsidRPr="00EC56A8">
        <w:rPr>
          <w:rFonts w:asciiTheme="majorHAnsi" w:hAnsiTheme="majorHAnsi"/>
        </w:rPr>
        <w:t>EUR</w:t>
      </w:r>
      <w:r w:rsidRPr="00FD779E">
        <w:rPr>
          <w:rFonts w:asciiTheme="majorHAnsi" w:hAnsiTheme="majorHAnsi"/>
        </w:rPr>
        <w:t>).</w:t>
      </w:r>
      <w:proofErr w:type="gramEnd"/>
    </w:p>
    <w:p w:rsidR="00D7793B" w:rsidRPr="00CB2C99" w:rsidRDefault="00D7793B" w:rsidP="00D7793B">
      <w:pPr>
        <w:suppressAutoHyphens/>
        <w:jc w:val="both"/>
        <w:rPr>
          <w:rFonts w:asciiTheme="majorHAnsi" w:hAnsiTheme="majorHAnsi"/>
          <w:highlight w:val="yellow"/>
        </w:rPr>
      </w:pPr>
    </w:p>
    <w:p w:rsidR="00D7793B" w:rsidRPr="00F2631B" w:rsidRDefault="00D7793B" w:rsidP="00D7793B">
      <w:pPr>
        <w:suppressAutoHyphens/>
        <w:jc w:val="both"/>
        <w:rPr>
          <w:rFonts w:asciiTheme="majorHAnsi" w:hAnsiTheme="majorHAnsi"/>
        </w:rPr>
      </w:pPr>
      <w:r w:rsidRPr="00F2631B">
        <w:rPr>
          <w:rFonts w:asciiTheme="majorHAnsi" w:hAnsiTheme="majorHAnsi"/>
          <w:u w:val="single"/>
        </w:rPr>
        <w:t>Tabuľka č. 9 – Údaje o systéme sociálnej podpory – časť výnosy a náklady študentských domovov</w:t>
      </w:r>
      <w:r w:rsidRPr="00F2631B">
        <w:rPr>
          <w:rFonts w:asciiTheme="majorHAnsi" w:hAnsiTheme="majorHAnsi"/>
        </w:rPr>
        <w:t xml:space="preserve"> </w:t>
      </w:r>
    </w:p>
    <w:p w:rsidR="00D7793B" w:rsidRDefault="00D7793B" w:rsidP="00F2631B">
      <w:pPr>
        <w:jc w:val="both"/>
        <w:rPr>
          <w:rFonts w:asciiTheme="majorHAnsi" w:hAnsiTheme="majorHAnsi"/>
        </w:rPr>
      </w:pPr>
      <w:r w:rsidRPr="00F2631B">
        <w:rPr>
          <w:rFonts w:asciiTheme="majorHAnsi" w:hAnsiTheme="majorHAnsi"/>
        </w:rPr>
        <w:t>V tabuľke sú podrobne uvedené všetky požadované údaje o   hospodárení študentských domovov. Celkové výnosy v roku 201</w:t>
      </w:r>
      <w:r w:rsidR="00F26CE9">
        <w:rPr>
          <w:rFonts w:asciiTheme="majorHAnsi" w:hAnsiTheme="majorHAnsi"/>
        </w:rPr>
        <w:t>6</w:t>
      </w:r>
      <w:r w:rsidRPr="00F2631B">
        <w:rPr>
          <w:rFonts w:asciiTheme="majorHAnsi" w:hAnsiTheme="majorHAnsi"/>
        </w:rPr>
        <w:t xml:space="preserve"> predstavovali výšku </w:t>
      </w:r>
      <w:r w:rsidR="005B1668" w:rsidRPr="00F2631B">
        <w:rPr>
          <w:rFonts w:asciiTheme="majorHAnsi" w:hAnsiTheme="majorHAnsi"/>
        </w:rPr>
        <w:t xml:space="preserve">                                   </w:t>
      </w:r>
      <w:r w:rsidR="00EC56A8" w:rsidRPr="00B44EFE">
        <w:rPr>
          <w:rFonts w:asciiTheme="majorHAnsi" w:eastAsia="Times New Roman" w:hAnsiTheme="majorHAnsi" w:cs="Times New Roman"/>
          <w:bCs/>
          <w:lang w:val="sk-SK" w:eastAsia="sk-SK"/>
        </w:rPr>
        <w:t>6 770 432,80</w:t>
      </w:r>
      <w:r w:rsidR="00B44EFE">
        <w:rPr>
          <w:rFonts w:asciiTheme="majorHAnsi" w:eastAsia="Times New Roman" w:hAnsiTheme="majorHAnsi" w:cs="Times New Roman"/>
          <w:bCs/>
          <w:lang w:val="sk-SK" w:eastAsia="sk-SK"/>
        </w:rPr>
        <w:t xml:space="preserve"> </w:t>
      </w:r>
      <w:r w:rsidRPr="00B44EFE">
        <w:rPr>
          <w:rFonts w:asciiTheme="majorHAnsi" w:hAnsiTheme="majorHAnsi"/>
        </w:rPr>
        <w:t>EUR</w:t>
      </w:r>
      <w:r w:rsidRPr="00F2631B">
        <w:rPr>
          <w:rFonts w:asciiTheme="majorHAnsi" w:hAnsiTheme="majorHAnsi"/>
        </w:rPr>
        <w:t xml:space="preserve"> a celkové náklady </w:t>
      </w:r>
      <w:r w:rsidR="00EC56A8" w:rsidRPr="00B44EFE">
        <w:rPr>
          <w:rFonts w:asciiTheme="majorHAnsi" w:eastAsia="Times New Roman" w:hAnsiTheme="majorHAnsi" w:cs="Times New Roman"/>
          <w:bCs/>
          <w:lang w:val="sk-SK" w:eastAsia="sk-SK"/>
        </w:rPr>
        <w:t>6 415 681,37</w:t>
      </w:r>
      <w:r w:rsidR="00B44EFE">
        <w:rPr>
          <w:rFonts w:asciiTheme="majorHAnsi" w:eastAsia="Times New Roman" w:hAnsiTheme="majorHAnsi" w:cs="Times New Roman"/>
          <w:bCs/>
          <w:lang w:val="sk-SK" w:eastAsia="sk-SK"/>
        </w:rPr>
        <w:t xml:space="preserve"> </w:t>
      </w:r>
      <w:r w:rsidRPr="00B44EFE">
        <w:rPr>
          <w:rFonts w:asciiTheme="majorHAnsi" w:hAnsiTheme="majorHAnsi"/>
        </w:rPr>
        <w:t>EUR.</w:t>
      </w:r>
    </w:p>
    <w:p w:rsidR="00F2631B" w:rsidRPr="00F2631B" w:rsidRDefault="00F2631B" w:rsidP="005B1668">
      <w:pPr>
        <w:ind w:firstLineChars="100" w:firstLine="240"/>
        <w:jc w:val="both"/>
        <w:rPr>
          <w:rFonts w:asciiTheme="majorHAnsi" w:hAnsiTheme="majorHAnsi"/>
        </w:rPr>
      </w:pPr>
    </w:p>
    <w:p w:rsidR="00D7793B" w:rsidRPr="00F2631B" w:rsidRDefault="00332832" w:rsidP="00F2631B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Študentské domovy</w:t>
      </w:r>
      <w:r w:rsidR="00D7793B" w:rsidRPr="00F2631B">
        <w:rPr>
          <w:rFonts w:asciiTheme="majorHAnsi" w:hAnsiTheme="majorHAnsi"/>
        </w:rPr>
        <w:t xml:space="preserve"> v roku 201</w:t>
      </w:r>
      <w:r w:rsidR="00F26CE9">
        <w:rPr>
          <w:rFonts w:asciiTheme="majorHAnsi" w:hAnsiTheme="majorHAnsi"/>
        </w:rPr>
        <w:t>6</w:t>
      </w:r>
      <w:r w:rsidR="00D7793B" w:rsidRPr="00F2631B">
        <w:rPr>
          <w:rFonts w:asciiTheme="majorHAnsi" w:hAnsiTheme="majorHAnsi"/>
        </w:rPr>
        <w:t xml:space="preserve"> </w:t>
      </w:r>
      <w:r w:rsidR="00DE5DD9">
        <w:rPr>
          <w:rFonts w:asciiTheme="majorHAnsi" w:hAnsiTheme="majorHAnsi"/>
        </w:rPr>
        <w:t>ho</w:t>
      </w:r>
      <w:r>
        <w:rPr>
          <w:rFonts w:asciiTheme="majorHAnsi" w:hAnsiTheme="majorHAnsi"/>
        </w:rPr>
        <w:t xml:space="preserve">spodárili s kladným </w:t>
      </w:r>
      <w:proofErr w:type="gramStart"/>
      <w:r>
        <w:rPr>
          <w:rFonts w:asciiTheme="majorHAnsi" w:hAnsiTheme="majorHAnsi"/>
        </w:rPr>
        <w:t>výsledkom</w:t>
      </w:r>
      <w:r w:rsidR="00D7793B" w:rsidRPr="00F2631B">
        <w:rPr>
          <w:rFonts w:asciiTheme="majorHAnsi" w:hAnsiTheme="majorHAnsi"/>
        </w:rPr>
        <w:t xml:space="preserve">  vo</w:t>
      </w:r>
      <w:proofErr w:type="gramEnd"/>
      <w:r w:rsidR="00D7793B" w:rsidRPr="00F2631B">
        <w:rPr>
          <w:rFonts w:asciiTheme="majorHAnsi" w:hAnsiTheme="majorHAnsi"/>
        </w:rPr>
        <w:t xml:space="preserve"> výške</w:t>
      </w:r>
      <w:r>
        <w:rPr>
          <w:rFonts w:asciiTheme="majorHAnsi" w:hAnsiTheme="majorHAnsi"/>
        </w:rPr>
        <w:t xml:space="preserve">                  </w:t>
      </w:r>
      <w:r w:rsidR="00EC56A8">
        <w:rPr>
          <w:rFonts w:asciiTheme="majorHAnsi" w:eastAsia="Times New Roman" w:hAnsiTheme="majorHAnsi" w:cs="Times New Roman"/>
          <w:bCs/>
          <w:lang w:val="sk-SK" w:eastAsia="sk-SK"/>
        </w:rPr>
        <w:t>354 751,43</w:t>
      </w:r>
      <w:r w:rsidR="005B1668" w:rsidRPr="00F2631B">
        <w:rPr>
          <w:rFonts w:ascii="Times New Roman" w:eastAsia="Times New Roman" w:hAnsi="Times New Roman" w:cs="Times New Roman"/>
          <w:b/>
          <w:bCs/>
          <w:lang w:val="sk-SK" w:eastAsia="sk-SK"/>
        </w:rPr>
        <w:t xml:space="preserve"> </w:t>
      </w:r>
      <w:r w:rsidR="00D7793B" w:rsidRPr="00F2631B">
        <w:rPr>
          <w:rFonts w:asciiTheme="majorHAnsi" w:hAnsiTheme="majorHAnsi"/>
        </w:rPr>
        <w:t xml:space="preserve">EUR. Priemerné náklady na jedného ubytovaného študenta predstavovali </w:t>
      </w:r>
      <w:r w:rsidR="00EC56A8">
        <w:rPr>
          <w:rFonts w:asciiTheme="majorHAnsi" w:hAnsiTheme="majorHAnsi"/>
        </w:rPr>
        <w:t>1 163,79</w:t>
      </w:r>
      <w:r w:rsidR="00D7793B" w:rsidRPr="00F2631B">
        <w:rPr>
          <w:rFonts w:asciiTheme="majorHAnsi" w:hAnsiTheme="majorHAnsi"/>
        </w:rPr>
        <w:t xml:space="preserve"> EUR, pri priemernom</w:t>
      </w:r>
      <w:r w:rsidR="008F50BE" w:rsidRPr="00F2631B">
        <w:rPr>
          <w:rFonts w:asciiTheme="majorHAnsi" w:hAnsiTheme="majorHAnsi"/>
        </w:rPr>
        <w:t xml:space="preserve"> prepočítanom</w:t>
      </w:r>
      <w:r w:rsidR="00D7793B" w:rsidRPr="00F2631B">
        <w:rPr>
          <w:rFonts w:asciiTheme="majorHAnsi" w:hAnsiTheme="majorHAnsi"/>
        </w:rPr>
        <w:t xml:space="preserve"> počte ubytovaných študentov </w:t>
      </w:r>
      <w:r w:rsidR="00EC56A8">
        <w:rPr>
          <w:rFonts w:asciiTheme="majorHAnsi" w:hAnsiTheme="majorHAnsi"/>
        </w:rPr>
        <w:t>5 512,75</w:t>
      </w:r>
      <w:r w:rsidR="00F2631B" w:rsidRPr="00F2631B">
        <w:rPr>
          <w:rFonts w:asciiTheme="majorHAnsi" w:hAnsiTheme="majorHAnsi"/>
        </w:rPr>
        <w:t>.</w:t>
      </w:r>
      <w:r w:rsidR="00D7793B" w:rsidRPr="00F2631B">
        <w:rPr>
          <w:rFonts w:asciiTheme="majorHAnsi" w:hAnsiTheme="majorHAnsi"/>
        </w:rPr>
        <w:t xml:space="preserve"> </w:t>
      </w:r>
    </w:p>
    <w:p w:rsidR="00F2631B" w:rsidRPr="00CB2C99" w:rsidRDefault="00F2631B" w:rsidP="005B1668">
      <w:pPr>
        <w:ind w:firstLineChars="100" w:firstLine="240"/>
        <w:jc w:val="both"/>
        <w:rPr>
          <w:rFonts w:asciiTheme="majorHAnsi" w:hAnsiTheme="majorHAnsi"/>
          <w:highlight w:val="yellow"/>
        </w:rPr>
      </w:pPr>
    </w:p>
    <w:p w:rsidR="00D7793B" w:rsidRPr="00F2631B" w:rsidRDefault="00D7793B" w:rsidP="00D7793B">
      <w:pPr>
        <w:suppressAutoHyphens/>
        <w:jc w:val="both"/>
        <w:rPr>
          <w:rFonts w:asciiTheme="majorHAnsi" w:hAnsiTheme="majorHAnsi"/>
        </w:rPr>
      </w:pPr>
      <w:r w:rsidRPr="00F2631B">
        <w:rPr>
          <w:rFonts w:asciiTheme="majorHAnsi" w:hAnsiTheme="majorHAnsi"/>
          <w:u w:val="single"/>
        </w:rPr>
        <w:t>Tabuľka č. 10 – Údaje o systéme sociálnej podpory – časť výnosy a náklady študentských jedální</w:t>
      </w:r>
      <w:r w:rsidRPr="00F2631B">
        <w:rPr>
          <w:rFonts w:asciiTheme="majorHAnsi" w:hAnsiTheme="majorHAnsi"/>
        </w:rPr>
        <w:t xml:space="preserve"> </w:t>
      </w:r>
    </w:p>
    <w:p w:rsidR="00D7793B" w:rsidRPr="00F2631B" w:rsidRDefault="00D7793B" w:rsidP="00F2631B">
      <w:pPr>
        <w:jc w:val="both"/>
        <w:rPr>
          <w:rFonts w:asciiTheme="majorHAnsi" w:hAnsiTheme="majorHAnsi"/>
        </w:rPr>
      </w:pPr>
      <w:r w:rsidRPr="00F2631B">
        <w:rPr>
          <w:rFonts w:asciiTheme="majorHAnsi" w:hAnsiTheme="majorHAnsi"/>
        </w:rPr>
        <w:t>V roku 201</w:t>
      </w:r>
      <w:r w:rsidR="00F26CE9">
        <w:rPr>
          <w:rFonts w:asciiTheme="majorHAnsi" w:hAnsiTheme="majorHAnsi"/>
        </w:rPr>
        <w:t>6</w:t>
      </w:r>
      <w:r w:rsidRPr="00F2631B">
        <w:rPr>
          <w:rFonts w:asciiTheme="majorHAnsi" w:hAnsiTheme="majorHAnsi"/>
        </w:rPr>
        <w:t xml:space="preserve"> celkové výnosy študentských jedální STU predstavovali </w:t>
      </w:r>
      <w:r w:rsidR="00F2631B" w:rsidRPr="00F2631B">
        <w:rPr>
          <w:rFonts w:asciiTheme="majorHAnsi" w:hAnsiTheme="majorHAnsi"/>
        </w:rPr>
        <w:t xml:space="preserve">                                      </w:t>
      </w:r>
      <w:r w:rsidR="00F837EC">
        <w:rPr>
          <w:rFonts w:asciiTheme="majorHAnsi" w:eastAsia="Times New Roman" w:hAnsiTheme="majorHAnsi" w:cs="Times New Roman"/>
          <w:bCs/>
          <w:lang w:val="sk-SK" w:eastAsia="sk-SK"/>
        </w:rPr>
        <w:t>1 063 718</w:t>
      </w:r>
      <w:proofErr w:type="gramStart"/>
      <w:r w:rsidR="00F837EC">
        <w:rPr>
          <w:rFonts w:asciiTheme="majorHAnsi" w:eastAsia="Times New Roman" w:hAnsiTheme="majorHAnsi" w:cs="Times New Roman"/>
          <w:bCs/>
          <w:lang w:val="sk-SK" w:eastAsia="sk-SK"/>
        </w:rPr>
        <w:t>,11</w:t>
      </w:r>
      <w:proofErr w:type="gramEnd"/>
      <w:r w:rsidR="00F2631B" w:rsidRPr="00F2631B">
        <w:rPr>
          <w:rFonts w:asciiTheme="majorHAnsi" w:eastAsia="Times New Roman" w:hAnsiTheme="majorHAnsi" w:cs="Times New Roman"/>
          <w:bCs/>
          <w:lang w:val="sk-SK" w:eastAsia="sk-SK"/>
        </w:rPr>
        <w:t xml:space="preserve"> </w:t>
      </w:r>
      <w:r w:rsidRPr="00F2631B">
        <w:rPr>
          <w:rFonts w:asciiTheme="majorHAnsi" w:hAnsiTheme="majorHAnsi"/>
        </w:rPr>
        <w:t>EUR (oproti roku 201</w:t>
      </w:r>
      <w:r w:rsidR="00F26CE9">
        <w:rPr>
          <w:rFonts w:asciiTheme="majorHAnsi" w:hAnsiTheme="majorHAnsi"/>
        </w:rPr>
        <w:t>5</w:t>
      </w:r>
      <w:r w:rsidRPr="00F2631B">
        <w:rPr>
          <w:rFonts w:asciiTheme="majorHAnsi" w:hAnsiTheme="majorHAnsi"/>
        </w:rPr>
        <w:t xml:space="preserve"> </w:t>
      </w:r>
      <w:r w:rsidR="00F837EC">
        <w:rPr>
          <w:rFonts w:asciiTheme="majorHAnsi" w:hAnsiTheme="majorHAnsi"/>
        </w:rPr>
        <w:t>pokles</w:t>
      </w:r>
      <w:r w:rsidRPr="00F2631B">
        <w:rPr>
          <w:rFonts w:asciiTheme="majorHAnsi" w:hAnsiTheme="majorHAnsi"/>
        </w:rPr>
        <w:t xml:space="preserve"> o</w:t>
      </w:r>
      <w:r w:rsidR="00F837EC">
        <w:rPr>
          <w:rFonts w:asciiTheme="majorHAnsi" w:hAnsiTheme="majorHAnsi"/>
        </w:rPr>
        <w:t> </w:t>
      </w:r>
      <w:r w:rsidR="00F837EC">
        <w:rPr>
          <w:rFonts w:asciiTheme="majorHAnsi" w:eastAsia="Times New Roman" w:hAnsiTheme="majorHAnsi" w:cs="Times New Roman"/>
          <w:lang w:val="sk-SK" w:eastAsia="sk-SK"/>
        </w:rPr>
        <w:t>36 136,41</w:t>
      </w:r>
      <w:r w:rsidR="00F2631B" w:rsidRPr="00F2631B">
        <w:rPr>
          <w:rFonts w:ascii="Times New Roman" w:eastAsia="Times New Roman" w:hAnsi="Times New Roman" w:cs="Times New Roman"/>
          <w:lang w:val="sk-SK" w:eastAsia="sk-SK"/>
        </w:rPr>
        <w:t xml:space="preserve"> </w:t>
      </w:r>
      <w:r w:rsidRPr="00F2631B">
        <w:rPr>
          <w:rFonts w:asciiTheme="majorHAnsi" w:hAnsiTheme="majorHAnsi"/>
        </w:rPr>
        <w:t xml:space="preserve"> EUR) a celkové náklady</w:t>
      </w:r>
      <w:r w:rsidR="00F2631B" w:rsidRPr="00F2631B">
        <w:rPr>
          <w:rFonts w:asciiTheme="majorHAnsi" w:hAnsiTheme="majorHAnsi"/>
        </w:rPr>
        <w:t xml:space="preserve">                 </w:t>
      </w:r>
      <w:r w:rsidRPr="00F2631B">
        <w:rPr>
          <w:rFonts w:asciiTheme="majorHAnsi" w:hAnsiTheme="majorHAnsi"/>
        </w:rPr>
        <w:t xml:space="preserve"> </w:t>
      </w:r>
      <w:r w:rsidR="00F837EC">
        <w:rPr>
          <w:rFonts w:asciiTheme="majorHAnsi" w:eastAsia="Times New Roman" w:hAnsiTheme="majorHAnsi" w:cs="Times New Roman"/>
          <w:bCs/>
          <w:lang w:val="sk-SK" w:eastAsia="sk-SK"/>
        </w:rPr>
        <w:t>1 054 702,88</w:t>
      </w:r>
      <w:r w:rsidR="00F2631B" w:rsidRPr="00F2631B">
        <w:rPr>
          <w:rFonts w:ascii="Times New Roman" w:eastAsia="Times New Roman" w:hAnsi="Times New Roman" w:cs="Times New Roman"/>
          <w:b/>
          <w:bCs/>
          <w:lang w:val="sk-SK" w:eastAsia="sk-SK"/>
        </w:rPr>
        <w:t xml:space="preserve"> </w:t>
      </w:r>
      <w:r w:rsidRPr="00F2631B">
        <w:rPr>
          <w:rFonts w:asciiTheme="majorHAnsi" w:hAnsiTheme="majorHAnsi"/>
        </w:rPr>
        <w:t xml:space="preserve">EUR </w:t>
      </w:r>
      <w:r w:rsidRPr="00F837EC">
        <w:rPr>
          <w:rFonts w:asciiTheme="majorHAnsi" w:hAnsiTheme="majorHAnsi"/>
        </w:rPr>
        <w:t>(</w:t>
      </w:r>
      <w:r w:rsidR="00F837EC" w:rsidRPr="00F837EC">
        <w:rPr>
          <w:rFonts w:asciiTheme="majorHAnsi" w:hAnsiTheme="majorHAnsi"/>
        </w:rPr>
        <w:t xml:space="preserve">pokles </w:t>
      </w:r>
      <w:r w:rsidRPr="00F837EC">
        <w:rPr>
          <w:rFonts w:asciiTheme="majorHAnsi" w:hAnsiTheme="majorHAnsi"/>
        </w:rPr>
        <w:t>oproti roku 201</w:t>
      </w:r>
      <w:r w:rsidR="00F26CE9" w:rsidRPr="00F837EC">
        <w:rPr>
          <w:rFonts w:asciiTheme="majorHAnsi" w:hAnsiTheme="majorHAnsi"/>
        </w:rPr>
        <w:t>5</w:t>
      </w:r>
      <w:r w:rsidRPr="00F837EC">
        <w:rPr>
          <w:rFonts w:asciiTheme="majorHAnsi" w:hAnsiTheme="majorHAnsi"/>
        </w:rPr>
        <w:t xml:space="preserve"> o</w:t>
      </w:r>
      <w:r w:rsidR="00F837EC" w:rsidRPr="00F837EC">
        <w:rPr>
          <w:rFonts w:asciiTheme="majorHAnsi" w:hAnsiTheme="majorHAnsi"/>
        </w:rPr>
        <w:t> </w:t>
      </w:r>
      <w:r w:rsidR="00F837EC" w:rsidRPr="00F837EC">
        <w:rPr>
          <w:rFonts w:asciiTheme="majorHAnsi" w:eastAsia="Times New Roman" w:hAnsiTheme="majorHAnsi" w:cs="Times New Roman"/>
          <w:lang w:val="sk-SK" w:eastAsia="sk-SK"/>
        </w:rPr>
        <w:t>12 973,96</w:t>
      </w:r>
      <w:r w:rsidR="00F2631B" w:rsidRPr="00F837EC">
        <w:rPr>
          <w:rFonts w:asciiTheme="majorHAnsi" w:eastAsia="Times New Roman" w:hAnsiTheme="majorHAnsi" w:cs="Times New Roman"/>
          <w:lang w:val="sk-SK" w:eastAsia="sk-SK"/>
        </w:rPr>
        <w:t xml:space="preserve"> </w:t>
      </w:r>
      <w:r w:rsidRPr="00F837EC">
        <w:rPr>
          <w:rFonts w:asciiTheme="majorHAnsi" w:hAnsiTheme="majorHAnsi"/>
        </w:rPr>
        <w:t xml:space="preserve"> EUR).</w:t>
      </w:r>
    </w:p>
    <w:p w:rsidR="00D7793B" w:rsidRPr="00F2631B" w:rsidRDefault="00D7793B" w:rsidP="00D7793B">
      <w:pPr>
        <w:suppressAutoHyphens/>
        <w:jc w:val="both"/>
        <w:rPr>
          <w:rFonts w:asciiTheme="majorHAnsi" w:hAnsiTheme="majorHAnsi"/>
        </w:rPr>
      </w:pPr>
    </w:p>
    <w:p w:rsidR="00D7793B" w:rsidRPr="00F2631B" w:rsidRDefault="00332832" w:rsidP="005F712C">
      <w:pPr>
        <w:jc w:val="both"/>
        <w:rPr>
          <w:rFonts w:asciiTheme="majorHAnsi" w:hAnsiTheme="majorHAnsi"/>
        </w:rPr>
      </w:pPr>
      <w:r w:rsidRPr="00F837EC">
        <w:rPr>
          <w:rFonts w:asciiTheme="majorHAnsi" w:hAnsiTheme="majorHAnsi"/>
        </w:rPr>
        <w:t>Kladný r</w:t>
      </w:r>
      <w:r w:rsidR="00D7793B" w:rsidRPr="00F2631B">
        <w:rPr>
          <w:rFonts w:asciiTheme="majorHAnsi" w:hAnsiTheme="majorHAnsi"/>
        </w:rPr>
        <w:t xml:space="preserve">ozdiel výnosov a nákladov na úseku činnosti študentských jedální </w:t>
      </w:r>
      <w:proofErr w:type="gramStart"/>
      <w:r w:rsidR="00D7793B" w:rsidRPr="00F2631B">
        <w:rPr>
          <w:rFonts w:asciiTheme="majorHAnsi" w:hAnsiTheme="majorHAnsi"/>
        </w:rPr>
        <w:t>súvisiacich  so</w:t>
      </w:r>
      <w:proofErr w:type="gramEnd"/>
      <w:r w:rsidR="00D7793B" w:rsidRPr="00F2631B">
        <w:rPr>
          <w:rFonts w:asciiTheme="majorHAnsi" w:hAnsiTheme="majorHAnsi"/>
        </w:rPr>
        <w:t xml:space="preserve"> stravovaním študentov za kalendárny rok 201</w:t>
      </w:r>
      <w:r w:rsidR="00F26CE9">
        <w:rPr>
          <w:rFonts w:asciiTheme="majorHAnsi" w:hAnsiTheme="majorHAnsi"/>
        </w:rPr>
        <w:t>6</w:t>
      </w:r>
      <w:r w:rsidR="008F50BE" w:rsidRPr="00F2631B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bol </w:t>
      </w:r>
      <w:r w:rsidR="008F50BE" w:rsidRPr="00F2631B">
        <w:rPr>
          <w:rFonts w:asciiTheme="majorHAnsi" w:hAnsiTheme="majorHAnsi"/>
        </w:rPr>
        <w:t xml:space="preserve"> </w:t>
      </w:r>
      <w:r w:rsidR="00D7793B" w:rsidRPr="00F2631B">
        <w:rPr>
          <w:rFonts w:asciiTheme="majorHAnsi" w:hAnsiTheme="majorHAnsi"/>
        </w:rPr>
        <w:t xml:space="preserve"> vo výške </w:t>
      </w:r>
      <w:r w:rsidR="00F2631B" w:rsidRPr="00F2631B">
        <w:rPr>
          <w:rFonts w:asciiTheme="majorHAnsi" w:hAnsiTheme="majorHAnsi"/>
        </w:rPr>
        <w:t xml:space="preserve">    </w:t>
      </w:r>
      <w:r w:rsidR="00B02942">
        <w:rPr>
          <w:rFonts w:asciiTheme="majorHAnsi" w:eastAsia="Times New Roman" w:hAnsiTheme="majorHAnsi" w:cs="Times New Roman"/>
          <w:bCs/>
          <w:lang w:val="sk-SK" w:eastAsia="sk-SK"/>
        </w:rPr>
        <w:t>9 015,23</w:t>
      </w:r>
      <w:r w:rsidR="00F2631B" w:rsidRPr="00F2631B">
        <w:rPr>
          <w:rFonts w:asciiTheme="majorHAnsi" w:eastAsia="Times New Roman" w:hAnsiTheme="majorHAnsi" w:cs="Times New Roman"/>
          <w:bCs/>
          <w:lang w:val="sk-SK" w:eastAsia="sk-SK"/>
        </w:rPr>
        <w:t xml:space="preserve"> </w:t>
      </w:r>
      <w:r w:rsidR="00D7793B" w:rsidRPr="00F2631B">
        <w:rPr>
          <w:rFonts w:asciiTheme="majorHAnsi" w:hAnsiTheme="majorHAnsi"/>
        </w:rPr>
        <w:t xml:space="preserve">EUR. Priemerné náklady na jedlo študenta predstavovali </w:t>
      </w:r>
      <w:r w:rsidR="00B02942" w:rsidRPr="00B02942">
        <w:rPr>
          <w:rFonts w:asciiTheme="majorHAnsi" w:hAnsiTheme="majorHAnsi"/>
        </w:rPr>
        <w:t>2,64</w:t>
      </w:r>
      <w:r w:rsidR="00D7793B" w:rsidRPr="00B02942">
        <w:rPr>
          <w:rFonts w:asciiTheme="majorHAnsi" w:hAnsiTheme="majorHAnsi"/>
        </w:rPr>
        <w:t xml:space="preserve"> EUR (</w:t>
      </w:r>
      <w:r w:rsidR="00F2631B" w:rsidRPr="00B02942">
        <w:rPr>
          <w:rFonts w:asciiTheme="majorHAnsi" w:hAnsiTheme="majorHAnsi"/>
        </w:rPr>
        <w:t>nára</w:t>
      </w:r>
      <w:r w:rsidR="00D7793B" w:rsidRPr="00B02942">
        <w:rPr>
          <w:rFonts w:asciiTheme="majorHAnsi" w:hAnsiTheme="majorHAnsi"/>
        </w:rPr>
        <w:t>s</w:t>
      </w:r>
      <w:r w:rsidR="00F2631B" w:rsidRPr="00B02942">
        <w:rPr>
          <w:rFonts w:asciiTheme="majorHAnsi" w:hAnsiTheme="majorHAnsi"/>
        </w:rPr>
        <w:t>t</w:t>
      </w:r>
      <w:r w:rsidR="00D7793B" w:rsidRPr="00B02942">
        <w:rPr>
          <w:rFonts w:asciiTheme="majorHAnsi" w:hAnsiTheme="majorHAnsi"/>
        </w:rPr>
        <w:t xml:space="preserve"> o 0,</w:t>
      </w:r>
      <w:r w:rsidR="00F2631B" w:rsidRPr="00B02942">
        <w:rPr>
          <w:rFonts w:asciiTheme="majorHAnsi" w:hAnsiTheme="majorHAnsi"/>
        </w:rPr>
        <w:t>0</w:t>
      </w:r>
      <w:r w:rsidR="00B02942" w:rsidRPr="00B02942">
        <w:rPr>
          <w:rFonts w:asciiTheme="majorHAnsi" w:hAnsiTheme="majorHAnsi"/>
        </w:rPr>
        <w:t>9</w:t>
      </w:r>
      <w:r w:rsidR="00D7793B" w:rsidRPr="00B02942">
        <w:rPr>
          <w:rFonts w:asciiTheme="majorHAnsi" w:hAnsiTheme="majorHAnsi"/>
        </w:rPr>
        <w:t>EUR oproti roku 201</w:t>
      </w:r>
      <w:r w:rsidR="00F26CE9" w:rsidRPr="00B02942">
        <w:rPr>
          <w:rFonts w:asciiTheme="majorHAnsi" w:hAnsiTheme="majorHAnsi"/>
        </w:rPr>
        <w:t>5</w:t>
      </w:r>
      <w:r w:rsidR="00D7793B" w:rsidRPr="00B02942">
        <w:rPr>
          <w:rFonts w:asciiTheme="majorHAnsi" w:hAnsiTheme="majorHAnsi"/>
        </w:rPr>
        <w:t>)</w:t>
      </w:r>
      <w:r w:rsidR="008F50BE" w:rsidRPr="00B02942">
        <w:rPr>
          <w:rFonts w:asciiTheme="majorHAnsi" w:hAnsiTheme="majorHAnsi"/>
        </w:rPr>
        <w:t>.</w:t>
      </w:r>
    </w:p>
    <w:p w:rsidR="00D7793B" w:rsidRPr="00CB2C99" w:rsidRDefault="00D7793B" w:rsidP="00D7793B">
      <w:pPr>
        <w:suppressAutoHyphens/>
        <w:jc w:val="both"/>
        <w:rPr>
          <w:rFonts w:asciiTheme="majorHAnsi" w:hAnsiTheme="majorHAnsi"/>
          <w:b/>
          <w:highlight w:val="yellow"/>
        </w:rPr>
      </w:pPr>
    </w:p>
    <w:p w:rsidR="00D7793B" w:rsidRPr="00365D0F" w:rsidRDefault="00A97FE6" w:rsidP="00D7793B">
      <w:pPr>
        <w:suppressAutoHyphens/>
        <w:jc w:val="both"/>
        <w:rPr>
          <w:rFonts w:asciiTheme="majorHAnsi" w:hAnsiTheme="majorHAnsi"/>
          <w:b/>
          <w:sz w:val="28"/>
          <w:szCs w:val="28"/>
        </w:rPr>
      </w:pPr>
      <w:r w:rsidRPr="00365D0F">
        <w:rPr>
          <w:rFonts w:asciiTheme="majorHAnsi" w:hAnsiTheme="majorHAnsi"/>
          <w:b/>
          <w:sz w:val="28"/>
          <w:szCs w:val="28"/>
        </w:rPr>
        <w:lastRenderedPageBreak/>
        <w:t>5.</w:t>
      </w:r>
      <w:r w:rsidR="00D7793B" w:rsidRPr="00365D0F">
        <w:rPr>
          <w:rFonts w:asciiTheme="majorHAnsi" w:hAnsiTheme="majorHAnsi"/>
          <w:b/>
          <w:sz w:val="28"/>
          <w:szCs w:val="28"/>
        </w:rPr>
        <w:t xml:space="preserve"> Kapitálové výdavky</w:t>
      </w:r>
    </w:p>
    <w:p w:rsidR="00D7793B" w:rsidRDefault="00D7793B" w:rsidP="00B16987">
      <w:pPr>
        <w:jc w:val="both"/>
        <w:rPr>
          <w:rFonts w:asciiTheme="majorHAnsi" w:hAnsiTheme="majorHAnsi"/>
        </w:rPr>
      </w:pPr>
      <w:r w:rsidRPr="00B16987">
        <w:rPr>
          <w:rFonts w:asciiTheme="majorHAnsi" w:hAnsiTheme="majorHAnsi"/>
        </w:rPr>
        <w:t>STU v roku 201</w:t>
      </w:r>
      <w:r w:rsidR="00F26CE9">
        <w:rPr>
          <w:rFonts w:asciiTheme="majorHAnsi" w:hAnsiTheme="majorHAnsi"/>
        </w:rPr>
        <w:t>6</w:t>
      </w:r>
      <w:r w:rsidRPr="00B16987">
        <w:rPr>
          <w:rFonts w:asciiTheme="majorHAnsi" w:hAnsiTheme="majorHAnsi"/>
        </w:rPr>
        <w:t xml:space="preserve"> vynaložila na kapitálové výdavky zo všetkých zdrojov financovania </w:t>
      </w:r>
      <w:r w:rsidR="008C2C47">
        <w:rPr>
          <w:rFonts w:asciiTheme="majorHAnsi" w:eastAsia="Times New Roman" w:hAnsiTheme="majorHAnsi" w:cs="Times New Roman"/>
          <w:bCs/>
          <w:lang w:val="sk-SK" w:eastAsia="sk-SK"/>
        </w:rPr>
        <w:t>8 945 469</w:t>
      </w:r>
      <w:proofErr w:type="gramStart"/>
      <w:r w:rsidR="008C2C47">
        <w:rPr>
          <w:rFonts w:asciiTheme="majorHAnsi" w:eastAsia="Times New Roman" w:hAnsiTheme="majorHAnsi" w:cs="Times New Roman"/>
          <w:bCs/>
          <w:lang w:val="sk-SK" w:eastAsia="sk-SK"/>
        </w:rPr>
        <w:t>,54</w:t>
      </w:r>
      <w:proofErr w:type="gramEnd"/>
      <w:r w:rsidR="008C2C47">
        <w:rPr>
          <w:rFonts w:asciiTheme="majorHAnsi" w:eastAsia="Times New Roman" w:hAnsiTheme="majorHAnsi" w:cs="Times New Roman"/>
          <w:bCs/>
          <w:lang w:val="sk-SK" w:eastAsia="sk-SK"/>
        </w:rPr>
        <w:t xml:space="preserve"> EUR. </w:t>
      </w:r>
      <w:r w:rsidRPr="00B16987">
        <w:rPr>
          <w:rFonts w:asciiTheme="majorHAnsi" w:hAnsiTheme="majorHAnsi"/>
        </w:rPr>
        <w:t xml:space="preserve"> Najväčšiu časť </w:t>
      </w:r>
      <w:r w:rsidR="008C2C47">
        <w:rPr>
          <w:rFonts w:asciiTheme="majorHAnsi" w:hAnsiTheme="majorHAnsi"/>
        </w:rPr>
        <w:t>5 264 319,90</w:t>
      </w:r>
      <w:r w:rsidR="00851A54">
        <w:rPr>
          <w:rFonts w:asciiTheme="majorHAnsi" w:hAnsiTheme="majorHAnsi"/>
        </w:rPr>
        <w:t xml:space="preserve"> tvorili vlastné zdroje STU.</w:t>
      </w:r>
      <w:r w:rsidRPr="00B16987">
        <w:rPr>
          <w:rFonts w:asciiTheme="majorHAnsi" w:hAnsiTheme="majorHAnsi"/>
        </w:rPr>
        <w:t xml:space="preserve"> Kapitálov</w:t>
      </w:r>
      <w:r w:rsidR="00A97FE6" w:rsidRPr="00B16987">
        <w:rPr>
          <w:rFonts w:asciiTheme="majorHAnsi" w:hAnsiTheme="majorHAnsi"/>
        </w:rPr>
        <w:t>ú</w:t>
      </w:r>
      <w:r w:rsidRPr="00B16987">
        <w:rPr>
          <w:rFonts w:asciiTheme="majorHAnsi" w:hAnsiTheme="majorHAnsi"/>
        </w:rPr>
        <w:t xml:space="preserve"> dotáci</w:t>
      </w:r>
      <w:r w:rsidR="00A97FE6" w:rsidRPr="00B16987">
        <w:rPr>
          <w:rFonts w:asciiTheme="majorHAnsi" w:hAnsiTheme="majorHAnsi"/>
        </w:rPr>
        <w:t>u</w:t>
      </w:r>
      <w:r w:rsidRPr="00B16987">
        <w:rPr>
          <w:rFonts w:asciiTheme="majorHAnsi" w:hAnsiTheme="majorHAnsi"/>
        </w:rPr>
        <w:t xml:space="preserve"> zo štátneho </w:t>
      </w:r>
      <w:proofErr w:type="gramStart"/>
      <w:r w:rsidRPr="00B16987">
        <w:rPr>
          <w:rFonts w:asciiTheme="majorHAnsi" w:hAnsiTheme="majorHAnsi"/>
        </w:rPr>
        <w:t xml:space="preserve">rozpočtu </w:t>
      </w:r>
      <w:r w:rsidR="00A97FE6" w:rsidRPr="00B16987">
        <w:rPr>
          <w:rFonts w:asciiTheme="majorHAnsi" w:hAnsiTheme="majorHAnsi"/>
        </w:rPr>
        <w:t xml:space="preserve"> STU</w:t>
      </w:r>
      <w:proofErr w:type="gramEnd"/>
      <w:r w:rsidR="00A97FE6" w:rsidRPr="00B16987">
        <w:rPr>
          <w:rFonts w:asciiTheme="majorHAnsi" w:hAnsiTheme="majorHAnsi"/>
        </w:rPr>
        <w:t xml:space="preserve"> čerpala vo výške</w:t>
      </w:r>
      <w:r w:rsidRPr="00B16987">
        <w:rPr>
          <w:rFonts w:asciiTheme="majorHAnsi" w:hAnsiTheme="majorHAnsi"/>
        </w:rPr>
        <w:t xml:space="preserve"> </w:t>
      </w:r>
      <w:r w:rsidR="008C2C47">
        <w:rPr>
          <w:rFonts w:asciiTheme="majorHAnsi" w:eastAsia="Times New Roman" w:hAnsiTheme="majorHAnsi" w:cs="Times New Roman"/>
          <w:bCs/>
          <w:lang w:val="sk-SK" w:eastAsia="sk-SK"/>
        </w:rPr>
        <w:t>1 135 563,55</w:t>
      </w:r>
      <w:r w:rsidRPr="00B16987">
        <w:rPr>
          <w:rFonts w:asciiTheme="majorHAnsi" w:hAnsiTheme="majorHAnsi"/>
        </w:rPr>
        <w:t>EUR.</w:t>
      </w:r>
    </w:p>
    <w:p w:rsidR="008C2C47" w:rsidRPr="00B16987" w:rsidRDefault="008C2C47" w:rsidP="00B16987">
      <w:pPr>
        <w:jc w:val="both"/>
        <w:rPr>
          <w:rFonts w:asciiTheme="majorHAnsi" w:hAnsiTheme="majorHAnsi"/>
        </w:rPr>
      </w:pPr>
    </w:p>
    <w:p w:rsidR="008C2C47" w:rsidRDefault="00D7793B" w:rsidP="00B16987">
      <w:pPr>
        <w:jc w:val="both"/>
        <w:rPr>
          <w:rFonts w:asciiTheme="majorHAnsi" w:hAnsiTheme="majorHAnsi"/>
        </w:rPr>
      </w:pPr>
      <w:r w:rsidRPr="00B16987">
        <w:rPr>
          <w:rFonts w:asciiTheme="majorHAnsi" w:hAnsiTheme="majorHAnsi"/>
        </w:rPr>
        <w:t>Najväčší podiel na kapitálových výdavkoch mal</w:t>
      </w:r>
      <w:r w:rsidR="008C2C47">
        <w:rPr>
          <w:rFonts w:asciiTheme="majorHAnsi" w:hAnsiTheme="majorHAnsi"/>
        </w:rPr>
        <w:t>o obstaranie strojov, prístrojov a zariadení v celkovej výške 4 648 569</w:t>
      </w:r>
      <w:proofErr w:type="gramStart"/>
      <w:r w:rsidR="008C2C47">
        <w:rPr>
          <w:rFonts w:asciiTheme="majorHAnsi" w:hAnsiTheme="majorHAnsi"/>
        </w:rPr>
        <w:t>,01</w:t>
      </w:r>
      <w:proofErr w:type="gramEnd"/>
      <w:r w:rsidR="008C2C47">
        <w:rPr>
          <w:rFonts w:asciiTheme="majorHAnsi" w:hAnsiTheme="majorHAnsi"/>
        </w:rPr>
        <w:t xml:space="preserve"> EUR v nasledovnej štruktúre: 154 218,13 EUR  - kapitálová dotácia, 1 088 960,35 EUR z prostriedkov EU</w:t>
      </w:r>
      <w:r w:rsidR="004A7B0D">
        <w:rPr>
          <w:rFonts w:asciiTheme="majorHAnsi" w:hAnsiTheme="majorHAnsi"/>
        </w:rPr>
        <w:t>, 77 401,39EUR  z bežnej dotácie na kapitálové výdavky, 3 327 989,14 z vlastných zdrojov STU.</w:t>
      </w:r>
    </w:p>
    <w:p w:rsidR="008C2C47" w:rsidRDefault="008C2C47" w:rsidP="00B16987">
      <w:pPr>
        <w:jc w:val="both"/>
        <w:rPr>
          <w:rFonts w:asciiTheme="majorHAnsi" w:hAnsiTheme="majorHAnsi"/>
        </w:rPr>
      </w:pPr>
    </w:p>
    <w:p w:rsidR="00AE3982" w:rsidRDefault="004A7B0D" w:rsidP="00AE398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</w:t>
      </w:r>
      <w:r w:rsidR="00851A54">
        <w:rPr>
          <w:rFonts w:asciiTheme="majorHAnsi" w:hAnsiTheme="majorHAnsi"/>
        </w:rPr>
        <w:t>tavby</w:t>
      </w:r>
      <w:r w:rsidR="008C2C47">
        <w:rPr>
          <w:rFonts w:asciiTheme="majorHAnsi" w:hAnsiTheme="majorHAnsi"/>
        </w:rPr>
        <w:t xml:space="preserve"> a ich technické zhodnotenie </w:t>
      </w:r>
      <w:r>
        <w:rPr>
          <w:rFonts w:asciiTheme="majorHAnsi" w:hAnsiTheme="majorHAnsi"/>
        </w:rPr>
        <w:t xml:space="preserve">boli realizované </w:t>
      </w:r>
      <w:r w:rsidR="00D7793B" w:rsidRPr="00B16987">
        <w:rPr>
          <w:rFonts w:asciiTheme="majorHAnsi" w:hAnsiTheme="majorHAnsi"/>
        </w:rPr>
        <w:t xml:space="preserve"> v celkovej výške</w:t>
      </w:r>
      <w:r w:rsidR="003C0131">
        <w:rPr>
          <w:rFonts w:asciiTheme="majorHAnsi" w:hAnsiTheme="majorHAnsi"/>
        </w:rPr>
        <w:t xml:space="preserve"> 3 714 483,54 </w:t>
      </w:r>
      <w:r>
        <w:rPr>
          <w:rFonts w:asciiTheme="majorHAnsi" w:hAnsiTheme="majorHAnsi"/>
        </w:rPr>
        <w:t>EUR, v tom dotácia</w:t>
      </w:r>
      <w:r w:rsidR="00D7793B" w:rsidRPr="00B16987">
        <w:rPr>
          <w:rFonts w:asciiTheme="majorHAnsi" w:hAnsiTheme="majorHAnsi"/>
        </w:rPr>
        <w:t xml:space="preserve"> </w:t>
      </w:r>
      <w:r w:rsidR="00AE3982">
        <w:rPr>
          <w:rFonts w:asciiTheme="majorHAnsi" w:eastAsia="Times New Roman" w:hAnsiTheme="majorHAnsi" w:cs="Times New Roman"/>
          <w:bCs/>
          <w:lang w:val="sk-SK" w:eastAsia="sk-SK"/>
        </w:rPr>
        <w:t>931 263,69</w:t>
      </w:r>
      <w:r w:rsidR="00851A54">
        <w:rPr>
          <w:rFonts w:asciiTheme="majorHAnsi" w:eastAsia="Times New Roman" w:hAnsiTheme="majorHAnsi" w:cs="Times New Roman"/>
          <w:bCs/>
          <w:lang w:val="sk-SK" w:eastAsia="sk-SK"/>
        </w:rPr>
        <w:t xml:space="preserve"> </w:t>
      </w:r>
      <w:r w:rsidR="00D7793B" w:rsidRPr="00B16987">
        <w:rPr>
          <w:rFonts w:asciiTheme="majorHAnsi" w:hAnsiTheme="majorHAnsi"/>
        </w:rPr>
        <w:t>EUR</w:t>
      </w:r>
      <w:r>
        <w:rPr>
          <w:rFonts w:asciiTheme="majorHAnsi" w:hAnsiTheme="majorHAnsi"/>
        </w:rPr>
        <w:t>,</w:t>
      </w:r>
      <w:r w:rsidR="008C2C47">
        <w:rPr>
          <w:rFonts w:asciiTheme="majorHAnsi" w:hAnsiTheme="majorHAnsi"/>
        </w:rPr>
        <w:t xml:space="preserve"> z prostriedkov EU vo výške 173 982,86 EUR, z bežnej dotácie </w:t>
      </w:r>
      <w:r w:rsidR="00AE3982">
        <w:rPr>
          <w:rFonts w:asciiTheme="majorHAnsi" w:hAnsiTheme="majorHAnsi"/>
        </w:rPr>
        <w:t>na kapitálové výdavky vo výške 804 103</w:t>
      </w:r>
      <w:r w:rsidR="008C2C47">
        <w:rPr>
          <w:rFonts w:asciiTheme="majorHAnsi" w:hAnsiTheme="majorHAnsi"/>
        </w:rPr>
        <w:t>,</w:t>
      </w:r>
      <w:r w:rsidR="00AE3982">
        <w:rPr>
          <w:rFonts w:asciiTheme="majorHAnsi" w:hAnsiTheme="majorHAnsi"/>
        </w:rPr>
        <w:t>47</w:t>
      </w:r>
      <w:r w:rsidR="008C2C47">
        <w:rPr>
          <w:rFonts w:asciiTheme="majorHAnsi" w:hAnsiTheme="majorHAnsi"/>
        </w:rPr>
        <w:t xml:space="preserve"> EUR a z vlastných zdrojov vo výške 1 805 133,52 EUR.</w:t>
      </w:r>
    </w:p>
    <w:p w:rsidR="00AE3982" w:rsidRDefault="00AE3982" w:rsidP="00AE3982">
      <w:pPr>
        <w:jc w:val="both"/>
        <w:rPr>
          <w:rFonts w:asciiTheme="majorHAnsi" w:hAnsiTheme="majorHAnsi"/>
        </w:rPr>
      </w:pPr>
    </w:p>
    <w:p w:rsidR="00D7793B" w:rsidRPr="00AA1D22" w:rsidRDefault="00D7793B" w:rsidP="00D7793B">
      <w:pPr>
        <w:suppressAutoHyphens/>
        <w:jc w:val="both"/>
        <w:rPr>
          <w:rFonts w:asciiTheme="majorHAnsi" w:hAnsiTheme="majorHAnsi"/>
          <w:u w:val="single"/>
        </w:rPr>
      </w:pPr>
      <w:r w:rsidRPr="00AA1D22">
        <w:rPr>
          <w:rFonts w:asciiTheme="majorHAnsi" w:hAnsiTheme="majorHAnsi"/>
          <w:u w:val="single"/>
        </w:rPr>
        <w:t>Tabuľka č. 11 – Zdroje verejnej vysokej školy na obstaranie a technické zhodnotenie dlhodobého majetku</w:t>
      </w:r>
    </w:p>
    <w:p w:rsidR="00D7793B" w:rsidRPr="00AA1D22" w:rsidRDefault="00D7793B" w:rsidP="00D7793B">
      <w:pPr>
        <w:suppressAutoHyphens/>
        <w:jc w:val="both"/>
        <w:rPr>
          <w:rFonts w:asciiTheme="majorHAnsi" w:hAnsiTheme="majorHAnsi"/>
          <w:u w:val="single"/>
        </w:rPr>
      </w:pPr>
    </w:p>
    <w:p w:rsidR="00D7793B" w:rsidRPr="00AA1D22" w:rsidRDefault="00D7793B" w:rsidP="00DE5DD9">
      <w:pPr>
        <w:jc w:val="both"/>
        <w:rPr>
          <w:rFonts w:asciiTheme="majorHAnsi" w:hAnsiTheme="majorHAnsi"/>
        </w:rPr>
      </w:pPr>
      <w:r w:rsidRPr="00AA1D22">
        <w:rPr>
          <w:rFonts w:asciiTheme="majorHAnsi" w:hAnsiTheme="majorHAnsi"/>
        </w:rPr>
        <w:t>STU v roku 201</w:t>
      </w:r>
      <w:r w:rsidR="003D0ED1">
        <w:rPr>
          <w:rFonts w:asciiTheme="majorHAnsi" w:hAnsiTheme="majorHAnsi"/>
        </w:rPr>
        <w:t>6</w:t>
      </w:r>
      <w:r w:rsidRPr="00AA1D22">
        <w:rPr>
          <w:rFonts w:asciiTheme="majorHAnsi" w:hAnsiTheme="majorHAnsi"/>
        </w:rPr>
        <w:t xml:space="preserve"> na obstaranie a technické zhodnotenie dlhodobého majetku disponovala zdrojmi vo výške </w:t>
      </w:r>
      <w:r w:rsidR="004A7B0D">
        <w:rPr>
          <w:rFonts w:asciiTheme="majorHAnsi" w:eastAsia="Times New Roman" w:hAnsiTheme="majorHAnsi" w:cs="Times New Roman"/>
          <w:bCs/>
          <w:lang w:val="sk-SK" w:eastAsia="sk-SK"/>
        </w:rPr>
        <w:t xml:space="preserve">23 306 644,92 </w:t>
      </w:r>
      <w:r w:rsidRPr="00AA1D22">
        <w:rPr>
          <w:rFonts w:asciiTheme="majorHAnsi" w:hAnsiTheme="majorHAnsi"/>
        </w:rPr>
        <w:t>EUR s nasledovnou štruktúrou:</w:t>
      </w:r>
    </w:p>
    <w:p w:rsidR="00D7793B" w:rsidRPr="00AA1D22" w:rsidRDefault="00D7793B" w:rsidP="00D7793B">
      <w:pPr>
        <w:suppressAutoHyphens/>
        <w:jc w:val="both"/>
        <w:rPr>
          <w:rFonts w:asciiTheme="majorHAnsi" w:hAnsiTheme="majorHAnsi"/>
        </w:rPr>
      </w:pPr>
    </w:p>
    <w:p w:rsidR="00D7793B" w:rsidRPr="00AA1D22" w:rsidRDefault="00D7793B" w:rsidP="006B6D96">
      <w:pPr>
        <w:pStyle w:val="Odsekzoznamu"/>
        <w:numPr>
          <w:ilvl w:val="0"/>
          <w:numId w:val="13"/>
        </w:numPr>
        <w:jc w:val="both"/>
        <w:rPr>
          <w:rFonts w:asciiTheme="majorHAnsi" w:hAnsiTheme="majorHAnsi"/>
        </w:rPr>
      </w:pPr>
      <w:r w:rsidRPr="00AA1D22">
        <w:rPr>
          <w:rFonts w:asciiTheme="majorHAnsi" w:hAnsiTheme="majorHAnsi"/>
        </w:rPr>
        <w:t>fond reprodukcie</w:t>
      </w:r>
      <w:r w:rsidR="003C0131">
        <w:rPr>
          <w:rFonts w:asciiTheme="majorHAnsi" w:hAnsiTheme="majorHAnsi"/>
        </w:rPr>
        <w:t xml:space="preserve"> </w:t>
      </w:r>
      <w:r w:rsidRPr="00AA1D22">
        <w:rPr>
          <w:rFonts w:asciiTheme="majorHAnsi" w:hAnsiTheme="majorHAnsi"/>
        </w:rPr>
        <w:t xml:space="preserve"> – </w:t>
      </w:r>
      <w:r w:rsidR="004A7B0D">
        <w:rPr>
          <w:rFonts w:asciiTheme="majorHAnsi" w:hAnsiTheme="majorHAnsi"/>
          <w:bCs/>
          <w:lang w:eastAsia="sk-SK"/>
        </w:rPr>
        <w:t>20 212 135,16 EUR</w:t>
      </w:r>
    </w:p>
    <w:p w:rsidR="00AA1D22" w:rsidRPr="00AA1D22" w:rsidRDefault="00D7793B" w:rsidP="006B6D96">
      <w:pPr>
        <w:pStyle w:val="Odsekzoznamu"/>
        <w:numPr>
          <w:ilvl w:val="0"/>
          <w:numId w:val="13"/>
        </w:numPr>
        <w:jc w:val="both"/>
        <w:rPr>
          <w:rFonts w:asciiTheme="majorHAnsi" w:hAnsiTheme="majorHAnsi"/>
        </w:rPr>
      </w:pPr>
      <w:r w:rsidRPr="00AA1D22">
        <w:rPr>
          <w:rFonts w:asciiTheme="majorHAnsi" w:hAnsiTheme="majorHAnsi"/>
        </w:rPr>
        <w:t xml:space="preserve">dotácia na kapitálové výdavky– </w:t>
      </w:r>
      <w:r w:rsidR="004A7B0D">
        <w:rPr>
          <w:rFonts w:asciiTheme="majorHAnsi" w:hAnsiTheme="majorHAnsi"/>
          <w:bCs/>
          <w:lang w:eastAsia="sk-SK"/>
        </w:rPr>
        <w:t>766 500 EUR</w:t>
      </w:r>
      <w:r w:rsidRPr="00AA1D22">
        <w:rPr>
          <w:rFonts w:asciiTheme="majorHAnsi" w:hAnsiTheme="majorHAnsi"/>
        </w:rPr>
        <w:t xml:space="preserve"> </w:t>
      </w:r>
    </w:p>
    <w:p w:rsidR="00D7793B" w:rsidRPr="004A7B0D" w:rsidRDefault="00D7793B" w:rsidP="006B6D96">
      <w:pPr>
        <w:pStyle w:val="Odsekzoznamu"/>
        <w:numPr>
          <w:ilvl w:val="0"/>
          <w:numId w:val="13"/>
        </w:numPr>
        <w:jc w:val="both"/>
        <w:rPr>
          <w:rFonts w:asciiTheme="majorHAnsi" w:hAnsiTheme="majorHAnsi"/>
        </w:rPr>
      </w:pPr>
      <w:r w:rsidRPr="00AA1D22">
        <w:rPr>
          <w:rFonts w:asciiTheme="majorHAnsi" w:hAnsiTheme="majorHAnsi"/>
        </w:rPr>
        <w:t xml:space="preserve">dotácie na kapitálové výdavky z prostriedkov EÚ </w:t>
      </w:r>
      <w:r w:rsidR="007B6693" w:rsidRPr="00AA1D22">
        <w:rPr>
          <w:rFonts w:asciiTheme="majorHAnsi" w:hAnsiTheme="majorHAnsi"/>
        </w:rPr>
        <w:t>vrátane spolufinancovania</w:t>
      </w:r>
      <w:r w:rsidRPr="00AA1D22">
        <w:rPr>
          <w:rFonts w:asciiTheme="majorHAnsi" w:hAnsiTheme="majorHAnsi"/>
        </w:rPr>
        <w:t xml:space="preserve"> </w:t>
      </w:r>
      <w:r w:rsidR="00AA1D22" w:rsidRPr="004A7B0D">
        <w:rPr>
          <w:rFonts w:asciiTheme="majorHAnsi" w:hAnsiTheme="majorHAnsi"/>
        </w:rPr>
        <w:t xml:space="preserve">vo výške  </w:t>
      </w:r>
      <w:r w:rsidR="004A7B0D" w:rsidRPr="004A7B0D">
        <w:rPr>
          <w:rFonts w:asciiTheme="majorHAnsi" w:hAnsiTheme="majorHAnsi"/>
          <w:bCs/>
          <w:lang w:eastAsia="sk-SK"/>
        </w:rPr>
        <w:t>1 465 001,43 EUR</w:t>
      </w:r>
    </w:p>
    <w:p w:rsidR="00D7793B" w:rsidRPr="00AA1D22" w:rsidRDefault="00D7793B" w:rsidP="006B6D96">
      <w:pPr>
        <w:pStyle w:val="Odsekzoznamu"/>
        <w:numPr>
          <w:ilvl w:val="0"/>
          <w:numId w:val="13"/>
        </w:numPr>
        <w:jc w:val="both"/>
        <w:rPr>
          <w:rFonts w:asciiTheme="majorHAnsi" w:hAnsiTheme="majorHAnsi"/>
        </w:rPr>
      </w:pPr>
      <w:r w:rsidRPr="00AA1D22">
        <w:rPr>
          <w:rFonts w:asciiTheme="majorHAnsi" w:hAnsiTheme="majorHAnsi"/>
        </w:rPr>
        <w:t xml:space="preserve">zostatok kapitálovej dotácie z predchádzajúceho roku – </w:t>
      </w:r>
      <w:r w:rsidR="004A7B0D" w:rsidRPr="004A7B0D">
        <w:rPr>
          <w:rFonts w:asciiTheme="majorHAnsi" w:hAnsiTheme="majorHAnsi"/>
          <w:bCs/>
          <w:lang w:eastAsia="sk-SK"/>
        </w:rPr>
        <w:t>863 008,33</w:t>
      </w:r>
      <w:r w:rsidRPr="004A7B0D">
        <w:rPr>
          <w:rFonts w:asciiTheme="majorHAnsi" w:hAnsiTheme="majorHAnsi"/>
        </w:rPr>
        <w:t>EUR</w:t>
      </w:r>
      <w:r w:rsidRPr="00AA1D22">
        <w:rPr>
          <w:rFonts w:asciiTheme="majorHAnsi" w:hAnsiTheme="majorHAnsi"/>
        </w:rPr>
        <w:t>,</w:t>
      </w:r>
    </w:p>
    <w:p w:rsidR="004A7B0D" w:rsidRDefault="004A7B0D" w:rsidP="004A7B0D">
      <w:pPr>
        <w:pStyle w:val="Zkladntext"/>
        <w:rPr>
          <w:rFonts w:asciiTheme="majorHAnsi" w:hAnsiTheme="majorHAnsi" w:cs="Times New Roman"/>
          <w:b/>
        </w:rPr>
      </w:pPr>
    </w:p>
    <w:p w:rsidR="00DD1C29" w:rsidRPr="00365D0F" w:rsidRDefault="004A7B0D" w:rsidP="00D7793B">
      <w:pPr>
        <w:pStyle w:val="Zkladntext"/>
        <w:rPr>
          <w:rFonts w:asciiTheme="majorHAnsi" w:hAnsiTheme="majorHAnsi" w:cs="Times New Roman"/>
          <w:b/>
          <w:sz w:val="28"/>
          <w:szCs w:val="28"/>
        </w:rPr>
      </w:pPr>
      <w:r w:rsidRPr="00365D0F">
        <w:rPr>
          <w:rFonts w:asciiTheme="majorHAnsi" w:hAnsiTheme="majorHAnsi" w:cs="Times New Roman"/>
          <w:b/>
          <w:sz w:val="28"/>
          <w:szCs w:val="28"/>
        </w:rPr>
        <w:t>6. Vývoj fondov</w:t>
      </w:r>
    </w:p>
    <w:p w:rsidR="00D7793B" w:rsidRPr="000C5F83" w:rsidRDefault="00D7793B" w:rsidP="00D7793B">
      <w:pPr>
        <w:pStyle w:val="Zkladntext"/>
        <w:rPr>
          <w:rFonts w:asciiTheme="majorHAnsi" w:hAnsiTheme="majorHAnsi" w:cs="Times New Roman"/>
          <w:u w:val="single"/>
        </w:rPr>
      </w:pPr>
      <w:r w:rsidRPr="000C5F83">
        <w:rPr>
          <w:rFonts w:asciiTheme="majorHAnsi" w:hAnsiTheme="majorHAnsi" w:cs="Times New Roman"/>
          <w:u w:val="single"/>
        </w:rPr>
        <w:t>Tabuľka č. 13 - Stav a vývoj finančných fondov v roku 201</w:t>
      </w:r>
      <w:r w:rsidR="003D0ED1">
        <w:rPr>
          <w:rFonts w:asciiTheme="majorHAnsi" w:hAnsiTheme="majorHAnsi" w:cs="Times New Roman"/>
          <w:u w:val="single"/>
        </w:rPr>
        <w:t>6</w:t>
      </w:r>
      <w:r w:rsidRPr="000C5F83">
        <w:rPr>
          <w:rFonts w:asciiTheme="majorHAnsi" w:hAnsiTheme="majorHAnsi" w:cs="Times New Roman"/>
          <w:u w:val="single"/>
        </w:rPr>
        <w:t xml:space="preserve"> </w:t>
      </w:r>
    </w:p>
    <w:p w:rsidR="00A65DBA" w:rsidRPr="000C5F83" w:rsidRDefault="00A65DBA" w:rsidP="00D7793B">
      <w:pPr>
        <w:pStyle w:val="Zkladntext"/>
        <w:rPr>
          <w:rFonts w:asciiTheme="majorHAnsi" w:hAnsiTheme="majorHAnsi" w:cs="Times New Roman"/>
          <w:u w:val="single"/>
        </w:rPr>
      </w:pPr>
      <w:r w:rsidRPr="000C5F83">
        <w:rPr>
          <w:rFonts w:asciiTheme="majorHAnsi" w:hAnsiTheme="majorHAnsi" w:cs="Times New Roman"/>
          <w:u w:val="single"/>
        </w:rPr>
        <w:t xml:space="preserve">Fond reprodukcie: </w:t>
      </w:r>
    </w:p>
    <w:p w:rsidR="00A65DBA" w:rsidRPr="000C5F83" w:rsidRDefault="00AA1D22" w:rsidP="00A65DBA">
      <w:pPr>
        <w:rPr>
          <w:rFonts w:asciiTheme="majorHAnsi" w:eastAsia="Times New Roman" w:hAnsiTheme="majorHAnsi" w:cs="Times New Roman"/>
          <w:bCs/>
          <w:lang w:val="sk-SK" w:eastAsia="sk-SK"/>
        </w:rPr>
      </w:pPr>
      <w:r w:rsidRPr="000C5F83">
        <w:rPr>
          <w:rFonts w:asciiTheme="majorHAnsi" w:hAnsiTheme="majorHAnsi" w:cs="Times New Roman"/>
        </w:rPr>
        <w:t>STU v roku 201</w:t>
      </w:r>
      <w:r w:rsidR="003D0ED1">
        <w:rPr>
          <w:rFonts w:asciiTheme="majorHAnsi" w:hAnsiTheme="majorHAnsi" w:cs="Times New Roman"/>
        </w:rPr>
        <w:t xml:space="preserve">6 </w:t>
      </w:r>
      <w:r w:rsidR="00A65DBA" w:rsidRPr="000C5F83">
        <w:rPr>
          <w:rFonts w:asciiTheme="majorHAnsi" w:hAnsiTheme="majorHAnsi" w:cs="Times New Roman"/>
        </w:rPr>
        <w:t>vy</w:t>
      </w:r>
      <w:r w:rsidR="000C5F83" w:rsidRPr="000C5F83">
        <w:rPr>
          <w:rFonts w:asciiTheme="majorHAnsi" w:hAnsiTheme="majorHAnsi" w:cs="Times New Roman"/>
        </w:rPr>
        <w:t>t</w:t>
      </w:r>
      <w:r w:rsidR="00A65DBA" w:rsidRPr="000C5F83">
        <w:rPr>
          <w:rFonts w:asciiTheme="majorHAnsi" w:hAnsiTheme="majorHAnsi" w:cs="Times New Roman"/>
        </w:rPr>
        <w:t xml:space="preserve">vorila fond reprodukcie vo </w:t>
      </w:r>
      <w:proofErr w:type="gramStart"/>
      <w:r w:rsidR="00A65DBA" w:rsidRPr="000C5F83">
        <w:rPr>
          <w:rFonts w:asciiTheme="majorHAnsi" w:hAnsiTheme="majorHAnsi" w:cs="Times New Roman"/>
        </w:rPr>
        <w:t>výške</w:t>
      </w:r>
      <w:r w:rsidR="00A65DBA" w:rsidRPr="000C5F83">
        <w:rPr>
          <w:rFonts w:asciiTheme="majorHAnsi" w:hAnsiTheme="majorHAnsi" w:cs="Times New Roman"/>
          <w:u w:val="single"/>
        </w:rPr>
        <w:t xml:space="preserve"> </w:t>
      </w:r>
      <w:r w:rsidR="000B6476" w:rsidRPr="000C5F83">
        <w:rPr>
          <w:rFonts w:asciiTheme="majorHAnsi" w:eastAsia="Times New Roman" w:hAnsiTheme="majorHAnsi" w:cs="Times New Roman"/>
          <w:bCs/>
          <w:lang w:val="sk-SK" w:eastAsia="sk-SK"/>
        </w:rPr>
        <w:t xml:space="preserve"> </w:t>
      </w:r>
      <w:r w:rsidR="004A7B0D">
        <w:rPr>
          <w:rFonts w:asciiTheme="majorHAnsi" w:eastAsia="Times New Roman" w:hAnsiTheme="majorHAnsi" w:cs="Times New Roman"/>
          <w:bCs/>
          <w:lang w:val="sk-SK" w:eastAsia="sk-SK"/>
        </w:rPr>
        <w:t>3</w:t>
      </w:r>
      <w:proofErr w:type="gramEnd"/>
      <w:r w:rsidR="004A7B0D">
        <w:rPr>
          <w:rFonts w:asciiTheme="majorHAnsi" w:eastAsia="Times New Roman" w:hAnsiTheme="majorHAnsi" w:cs="Times New Roman"/>
          <w:bCs/>
          <w:lang w:val="sk-SK" w:eastAsia="sk-SK"/>
        </w:rPr>
        <w:t> 780 082</w:t>
      </w:r>
      <w:r w:rsidR="00A65DBA" w:rsidRPr="000C5F83">
        <w:rPr>
          <w:rFonts w:asciiTheme="majorHAnsi" w:eastAsia="Times New Roman" w:hAnsiTheme="majorHAnsi" w:cs="Times New Roman"/>
          <w:bCs/>
          <w:lang w:val="sk-SK" w:eastAsia="sk-SK"/>
        </w:rPr>
        <w:t xml:space="preserve"> EUR, z toho:</w:t>
      </w:r>
    </w:p>
    <w:p w:rsidR="00A65DBA" w:rsidRPr="000C5F83" w:rsidRDefault="000C5F83" w:rsidP="006B6D96">
      <w:pPr>
        <w:pStyle w:val="Odsekzoznamu"/>
        <w:numPr>
          <w:ilvl w:val="0"/>
          <w:numId w:val="14"/>
        </w:numPr>
        <w:rPr>
          <w:rFonts w:asciiTheme="majorHAnsi" w:hAnsiTheme="majorHAnsi"/>
          <w:lang w:eastAsia="sk-SK"/>
        </w:rPr>
      </w:pPr>
      <w:r>
        <w:rPr>
          <w:rFonts w:asciiTheme="majorHAnsi" w:hAnsiTheme="majorHAnsi"/>
          <w:bCs/>
          <w:lang w:eastAsia="sk-SK"/>
        </w:rPr>
        <w:t>z</w:t>
      </w:r>
      <w:r w:rsidR="00A65DBA" w:rsidRPr="000C5F83">
        <w:rPr>
          <w:rFonts w:asciiTheme="majorHAnsi" w:hAnsiTheme="majorHAnsi"/>
          <w:bCs/>
          <w:lang w:eastAsia="sk-SK"/>
        </w:rPr>
        <w:t xml:space="preserve"> odpisov </w:t>
      </w:r>
      <w:r w:rsidR="004A7B0D">
        <w:rPr>
          <w:rFonts w:asciiTheme="majorHAnsi" w:hAnsiTheme="majorHAnsi"/>
          <w:lang w:eastAsia="sk-SK"/>
        </w:rPr>
        <w:t>3 377 059</w:t>
      </w:r>
      <w:r w:rsidR="00A65DBA" w:rsidRPr="000C5F83">
        <w:rPr>
          <w:rFonts w:asciiTheme="majorHAnsi" w:hAnsiTheme="majorHAnsi"/>
          <w:lang w:eastAsia="sk-SK"/>
        </w:rPr>
        <w:t xml:space="preserve"> EUR</w:t>
      </w:r>
    </w:p>
    <w:p w:rsidR="00A65DBA" w:rsidRDefault="00A65DBA" w:rsidP="00A65DBA">
      <w:pPr>
        <w:pStyle w:val="Odsekzoznamu"/>
        <w:numPr>
          <w:ilvl w:val="0"/>
          <w:numId w:val="14"/>
        </w:numPr>
        <w:rPr>
          <w:rFonts w:asciiTheme="majorHAnsi" w:hAnsiTheme="majorHAnsi"/>
          <w:lang w:eastAsia="sk-SK"/>
        </w:rPr>
      </w:pPr>
      <w:r w:rsidRPr="00DE5DD9">
        <w:rPr>
          <w:rFonts w:asciiTheme="majorHAnsi" w:hAnsiTheme="majorHAnsi"/>
          <w:lang w:eastAsia="sk-SK"/>
        </w:rPr>
        <w:t xml:space="preserve">z predaja alebo likvidácie majetku vo výške </w:t>
      </w:r>
      <w:r w:rsidR="004A7B0D">
        <w:rPr>
          <w:rFonts w:asciiTheme="majorHAnsi" w:hAnsiTheme="majorHAnsi"/>
          <w:lang w:eastAsia="sk-SK"/>
        </w:rPr>
        <w:t>403 023</w:t>
      </w:r>
      <w:r w:rsidRPr="00DE5DD9">
        <w:rPr>
          <w:rFonts w:asciiTheme="majorHAnsi" w:hAnsiTheme="majorHAnsi"/>
          <w:lang w:eastAsia="sk-SK"/>
        </w:rPr>
        <w:t xml:space="preserve"> EUR</w:t>
      </w:r>
    </w:p>
    <w:p w:rsidR="00DE5DD9" w:rsidRPr="00DE5DD9" w:rsidRDefault="00DE5DD9" w:rsidP="00DE5DD9">
      <w:pPr>
        <w:pStyle w:val="Odsekzoznamu"/>
        <w:ind w:left="720"/>
        <w:rPr>
          <w:rFonts w:asciiTheme="majorHAnsi" w:hAnsiTheme="majorHAnsi"/>
          <w:lang w:eastAsia="sk-SK"/>
        </w:rPr>
      </w:pPr>
    </w:p>
    <w:p w:rsidR="000C5F83" w:rsidRPr="00327843" w:rsidRDefault="000C5F83" w:rsidP="00A65DBA">
      <w:pPr>
        <w:rPr>
          <w:rFonts w:asciiTheme="majorHAnsi" w:eastAsia="Times New Roman" w:hAnsiTheme="majorHAnsi" w:cs="Times New Roman"/>
          <w:u w:val="single"/>
          <w:lang w:val="sk-SK" w:eastAsia="sk-SK"/>
        </w:rPr>
      </w:pPr>
      <w:r w:rsidRPr="00327843">
        <w:rPr>
          <w:rFonts w:asciiTheme="majorHAnsi" w:eastAsia="Times New Roman" w:hAnsiTheme="majorHAnsi" w:cs="Times New Roman"/>
          <w:u w:val="single"/>
          <w:lang w:val="sk-SK" w:eastAsia="sk-SK"/>
        </w:rPr>
        <w:t>Štipendijný fond:</w:t>
      </w:r>
    </w:p>
    <w:p w:rsidR="000C5F83" w:rsidRPr="00D45220" w:rsidRDefault="000C5F83" w:rsidP="00A65DBA">
      <w:pPr>
        <w:rPr>
          <w:rFonts w:asciiTheme="majorHAnsi" w:eastAsia="Times New Roman" w:hAnsiTheme="majorHAnsi" w:cs="Times New Roman"/>
          <w:bCs/>
          <w:lang w:val="sk-SK" w:eastAsia="sk-SK"/>
        </w:rPr>
      </w:pPr>
      <w:r w:rsidRPr="00327843">
        <w:rPr>
          <w:rFonts w:asciiTheme="majorHAnsi" w:eastAsia="Times New Roman" w:hAnsiTheme="majorHAnsi" w:cs="Times New Roman"/>
          <w:lang w:val="sk-SK" w:eastAsia="sk-SK"/>
        </w:rPr>
        <w:t>V roku 201</w:t>
      </w:r>
      <w:r w:rsidR="003D0ED1">
        <w:rPr>
          <w:rFonts w:asciiTheme="majorHAnsi" w:eastAsia="Times New Roman" w:hAnsiTheme="majorHAnsi" w:cs="Times New Roman"/>
          <w:lang w:val="sk-SK" w:eastAsia="sk-SK"/>
        </w:rPr>
        <w:t>6</w:t>
      </w:r>
      <w:r w:rsidRPr="00327843">
        <w:rPr>
          <w:rFonts w:asciiTheme="majorHAnsi" w:eastAsia="Times New Roman" w:hAnsiTheme="majorHAnsi" w:cs="Times New Roman"/>
          <w:lang w:val="sk-SK" w:eastAsia="sk-SK"/>
        </w:rPr>
        <w:t xml:space="preserve"> bol vytvorený štipendijný fond vo výške </w:t>
      </w:r>
      <w:r w:rsidR="004A7B0D">
        <w:rPr>
          <w:rFonts w:asciiTheme="majorHAnsi" w:eastAsia="Times New Roman" w:hAnsiTheme="majorHAnsi" w:cs="Times New Roman"/>
          <w:bCs/>
          <w:lang w:val="sk-SK" w:eastAsia="sk-SK"/>
        </w:rPr>
        <w:t>3 853 564</w:t>
      </w:r>
      <w:r w:rsidRPr="00327843">
        <w:rPr>
          <w:rFonts w:asciiTheme="majorHAnsi" w:eastAsia="Times New Roman" w:hAnsiTheme="majorHAnsi" w:cs="Times New Roman"/>
          <w:bCs/>
          <w:lang w:val="sk-SK" w:eastAsia="sk-SK"/>
        </w:rPr>
        <w:t>EUR</w:t>
      </w:r>
      <w:r w:rsidRPr="00D45220">
        <w:rPr>
          <w:rFonts w:asciiTheme="majorHAnsi" w:eastAsia="Times New Roman" w:hAnsiTheme="majorHAnsi" w:cs="Times New Roman"/>
          <w:bCs/>
          <w:lang w:val="sk-SK" w:eastAsia="sk-SK"/>
        </w:rPr>
        <w:t>, z toho:</w:t>
      </w:r>
    </w:p>
    <w:p w:rsidR="000C5F83" w:rsidRPr="00327843" w:rsidRDefault="000C5F83" w:rsidP="006B6D96">
      <w:pPr>
        <w:pStyle w:val="Odsekzoznamu"/>
        <w:numPr>
          <w:ilvl w:val="0"/>
          <w:numId w:val="15"/>
        </w:numPr>
        <w:rPr>
          <w:rFonts w:asciiTheme="majorHAnsi" w:hAnsiTheme="majorHAnsi"/>
          <w:lang w:eastAsia="sk-SK"/>
        </w:rPr>
      </w:pPr>
      <w:r w:rsidRPr="00327843">
        <w:rPr>
          <w:rFonts w:asciiTheme="majorHAnsi" w:hAnsiTheme="majorHAnsi"/>
          <w:lang w:eastAsia="sk-SK"/>
        </w:rPr>
        <w:t xml:space="preserve">tvorba fondu z dotácie vo výške </w:t>
      </w:r>
      <w:r w:rsidR="005D0CF3">
        <w:rPr>
          <w:rFonts w:asciiTheme="majorHAnsi" w:hAnsiTheme="majorHAnsi"/>
          <w:lang w:eastAsia="sk-SK"/>
        </w:rPr>
        <w:t>3 599 387</w:t>
      </w:r>
      <w:r w:rsidRPr="00327843">
        <w:rPr>
          <w:rFonts w:asciiTheme="majorHAnsi" w:hAnsiTheme="majorHAnsi"/>
          <w:lang w:eastAsia="sk-SK"/>
        </w:rPr>
        <w:t xml:space="preserve"> EUR</w:t>
      </w:r>
    </w:p>
    <w:p w:rsidR="000C5F83" w:rsidRPr="005D0CF3" w:rsidRDefault="000C5F83" w:rsidP="006B6D96">
      <w:pPr>
        <w:pStyle w:val="Odsekzoznamu"/>
        <w:numPr>
          <w:ilvl w:val="0"/>
          <w:numId w:val="15"/>
        </w:numPr>
        <w:rPr>
          <w:rFonts w:asciiTheme="majorHAnsi" w:hAnsiTheme="majorHAnsi"/>
          <w:lang w:eastAsia="sk-SK"/>
        </w:rPr>
      </w:pPr>
      <w:r w:rsidRPr="00327843">
        <w:rPr>
          <w:rFonts w:asciiTheme="majorHAnsi" w:hAnsiTheme="majorHAnsi"/>
          <w:lang w:eastAsia="sk-SK"/>
        </w:rPr>
        <w:t xml:space="preserve">tvorba fondu z výnosov zo školného vo výške </w:t>
      </w:r>
      <w:r w:rsidR="005D0CF3" w:rsidRPr="005D0CF3">
        <w:rPr>
          <w:rFonts w:asciiTheme="majorHAnsi" w:hAnsiTheme="majorHAnsi"/>
          <w:lang w:eastAsia="sk-SK"/>
        </w:rPr>
        <w:t>202 908</w:t>
      </w:r>
      <w:r w:rsidRPr="005D0CF3">
        <w:rPr>
          <w:rFonts w:asciiTheme="majorHAnsi" w:hAnsiTheme="majorHAnsi"/>
          <w:lang w:eastAsia="sk-SK"/>
        </w:rPr>
        <w:t xml:space="preserve"> EUR</w:t>
      </w:r>
    </w:p>
    <w:p w:rsidR="005D0CF3" w:rsidRPr="005D0CF3" w:rsidRDefault="005D0CF3" w:rsidP="00AA195C">
      <w:pPr>
        <w:pStyle w:val="Odsekzoznamu"/>
        <w:numPr>
          <w:ilvl w:val="0"/>
          <w:numId w:val="15"/>
        </w:numPr>
        <w:rPr>
          <w:sz w:val="22"/>
          <w:szCs w:val="22"/>
          <w:lang w:eastAsia="sk-SK"/>
        </w:rPr>
      </w:pPr>
      <w:r w:rsidRPr="005D0CF3">
        <w:rPr>
          <w:rFonts w:asciiTheme="majorHAnsi" w:hAnsiTheme="majorHAnsi"/>
          <w:lang w:eastAsia="sk-SK"/>
        </w:rPr>
        <w:t xml:space="preserve">tvorba z rezervného fondu </w:t>
      </w:r>
      <w:r w:rsidR="000C5F83" w:rsidRPr="005D0CF3">
        <w:rPr>
          <w:rFonts w:asciiTheme="majorHAnsi" w:hAnsiTheme="majorHAnsi"/>
          <w:lang w:eastAsia="sk-SK"/>
        </w:rPr>
        <w:t xml:space="preserve"> vo výške </w:t>
      </w:r>
      <w:r w:rsidRPr="005D0CF3">
        <w:rPr>
          <w:rFonts w:asciiTheme="majorHAnsi" w:hAnsiTheme="majorHAnsi"/>
          <w:lang w:eastAsia="sk-SK"/>
        </w:rPr>
        <w:t>38 078</w:t>
      </w:r>
      <w:r w:rsidR="000C5F83" w:rsidRPr="005D0CF3">
        <w:rPr>
          <w:rFonts w:asciiTheme="majorHAnsi" w:hAnsiTheme="majorHAnsi"/>
          <w:lang w:eastAsia="sk-SK"/>
        </w:rPr>
        <w:t>EUR</w:t>
      </w:r>
      <w:r w:rsidR="00327843" w:rsidRPr="005D0CF3">
        <w:rPr>
          <w:rFonts w:asciiTheme="majorHAnsi" w:hAnsiTheme="majorHAnsi"/>
          <w:lang w:eastAsia="sk-SK"/>
        </w:rPr>
        <w:t xml:space="preserve"> </w:t>
      </w:r>
    </w:p>
    <w:p w:rsidR="005D0CF3" w:rsidRPr="005D0CF3" w:rsidRDefault="005D0CF3" w:rsidP="00AA195C">
      <w:pPr>
        <w:pStyle w:val="Odsekzoznamu"/>
        <w:numPr>
          <w:ilvl w:val="0"/>
          <w:numId w:val="15"/>
        </w:numPr>
        <w:rPr>
          <w:sz w:val="22"/>
          <w:szCs w:val="22"/>
          <w:lang w:eastAsia="sk-SK"/>
        </w:rPr>
      </w:pPr>
      <w:r>
        <w:rPr>
          <w:rFonts w:asciiTheme="majorHAnsi" w:hAnsiTheme="majorHAnsi"/>
          <w:lang w:eastAsia="sk-SK"/>
        </w:rPr>
        <w:t>z darov a dedičstva vo výške 13 190 EUR</w:t>
      </w:r>
    </w:p>
    <w:p w:rsidR="005D0CF3" w:rsidRPr="005D0CF3" w:rsidRDefault="005D0CF3" w:rsidP="005D0CF3">
      <w:pPr>
        <w:rPr>
          <w:sz w:val="22"/>
          <w:szCs w:val="22"/>
          <w:lang w:eastAsia="sk-SK"/>
        </w:rPr>
      </w:pPr>
    </w:p>
    <w:p w:rsidR="00AA195C" w:rsidRPr="005D0CF3" w:rsidRDefault="00AA195C" w:rsidP="005D0CF3">
      <w:pPr>
        <w:rPr>
          <w:rFonts w:ascii="Times New Roman" w:eastAsia="Times New Roman" w:hAnsi="Times New Roman" w:cs="Times New Roman"/>
          <w:sz w:val="22"/>
          <w:szCs w:val="22"/>
          <w:lang w:val="sk-SK" w:eastAsia="sk-SK"/>
        </w:rPr>
      </w:pPr>
      <w:r w:rsidRPr="005D0CF3">
        <w:rPr>
          <w:rFonts w:asciiTheme="majorHAnsi" w:hAnsiTheme="majorHAnsi"/>
          <w:lang w:eastAsia="sk-SK"/>
        </w:rPr>
        <w:t xml:space="preserve">Štipendijný fond bol na výplatu štipendií čerpaný v celkovej výške </w:t>
      </w:r>
      <w:r w:rsidR="005D0CF3">
        <w:rPr>
          <w:rFonts w:asciiTheme="majorHAnsi" w:eastAsia="Times New Roman" w:hAnsiTheme="majorHAnsi" w:cs="Times New Roman"/>
          <w:lang w:val="sk-SK" w:eastAsia="sk-SK"/>
        </w:rPr>
        <w:t>3 580 746</w:t>
      </w:r>
      <w:r w:rsidRPr="005D0CF3">
        <w:rPr>
          <w:rFonts w:ascii="Times New Roman" w:eastAsia="Times New Roman" w:hAnsi="Times New Roman" w:cs="Times New Roman"/>
          <w:sz w:val="22"/>
          <w:szCs w:val="22"/>
          <w:lang w:val="sk-SK" w:eastAsia="sk-SK"/>
        </w:rPr>
        <w:t xml:space="preserve"> EUR.</w:t>
      </w:r>
    </w:p>
    <w:p w:rsidR="00AA195C" w:rsidRDefault="00AA195C" w:rsidP="00AA195C">
      <w:pPr>
        <w:rPr>
          <w:rFonts w:ascii="Times New Roman" w:eastAsia="Times New Roman" w:hAnsi="Times New Roman" w:cs="Times New Roman"/>
          <w:sz w:val="22"/>
          <w:szCs w:val="22"/>
          <w:lang w:val="sk-SK" w:eastAsia="sk-SK"/>
        </w:rPr>
      </w:pPr>
    </w:p>
    <w:p w:rsidR="00AA195C" w:rsidRPr="00AA195C" w:rsidRDefault="00AA195C" w:rsidP="00AA195C">
      <w:pPr>
        <w:rPr>
          <w:rFonts w:asciiTheme="majorHAnsi" w:eastAsia="Times New Roman" w:hAnsiTheme="majorHAnsi" w:cs="Times New Roman"/>
          <w:u w:val="single"/>
          <w:lang w:val="sk-SK" w:eastAsia="sk-SK"/>
        </w:rPr>
      </w:pPr>
      <w:r w:rsidRPr="00AA195C">
        <w:rPr>
          <w:rFonts w:asciiTheme="majorHAnsi" w:eastAsia="Times New Roman" w:hAnsiTheme="majorHAnsi" w:cs="Times New Roman"/>
          <w:u w:val="single"/>
          <w:lang w:val="sk-SK" w:eastAsia="sk-SK"/>
        </w:rPr>
        <w:t>Ostatné fondy:</w:t>
      </w:r>
    </w:p>
    <w:p w:rsidR="00AA195C" w:rsidRDefault="00AA195C" w:rsidP="00D45220">
      <w:pPr>
        <w:jc w:val="both"/>
        <w:rPr>
          <w:rFonts w:asciiTheme="majorHAnsi" w:eastAsia="Times New Roman" w:hAnsiTheme="majorHAnsi" w:cs="Times New Roman"/>
          <w:bCs/>
          <w:lang w:val="sk-SK" w:eastAsia="sk-SK"/>
        </w:rPr>
      </w:pPr>
      <w:r w:rsidRPr="00AA195C">
        <w:rPr>
          <w:rFonts w:asciiTheme="majorHAnsi" w:eastAsia="Times New Roman" w:hAnsiTheme="majorHAnsi" w:cs="Times New Roman"/>
          <w:lang w:val="sk-SK" w:eastAsia="sk-SK"/>
        </w:rPr>
        <w:t>STU v roku 201</w:t>
      </w:r>
      <w:r w:rsidR="003D0ED1">
        <w:rPr>
          <w:rFonts w:asciiTheme="majorHAnsi" w:eastAsia="Times New Roman" w:hAnsiTheme="majorHAnsi" w:cs="Times New Roman"/>
          <w:lang w:val="sk-SK" w:eastAsia="sk-SK"/>
        </w:rPr>
        <w:t>6</w:t>
      </w:r>
      <w:r w:rsidRPr="00AA195C">
        <w:rPr>
          <w:rFonts w:asciiTheme="majorHAnsi" w:eastAsia="Times New Roman" w:hAnsiTheme="majorHAnsi" w:cs="Times New Roman"/>
          <w:lang w:val="sk-SK" w:eastAsia="sk-SK"/>
        </w:rPr>
        <w:t xml:space="preserve"> vytvorila fond z darov vo výške </w:t>
      </w:r>
      <w:r w:rsidR="005D0CF3">
        <w:rPr>
          <w:rFonts w:asciiTheme="majorHAnsi" w:eastAsia="Times New Roman" w:hAnsiTheme="majorHAnsi" w:cs="Times New Roman"/>
          <w:lang w:val="sk-SK" w:eastAsia="sk-SK"/>
        </w:rPr>
        <w:t>214 981</w:t>
      </w:r>
      <w:r w:rsidRPr="00AA195C">
        <w:rPr>
          <w:rFonts w:asciiTheme="majorHAnsi" w:eastAsia="Times New Roman" w:hAnsiTheme="majorHAnsi" w:cs="Times New Roman"/>
          <w:lang w:val="sk-SK" w:eastAsia="sk-SK"/>
        </w:rPr>
        <w:t xml:space="preserve"> EUR a použila vo výške </w:t>
      </w:r>
      <w:r w:rsidR="005D0CF3">
        <w:rPr>
          <w:rFonts w:asciiTheme="majorHAnsi" w:eastAsia="Times New Roman" w:hAnsiTheme="majorHAnsi" w:cs="Times New Roman"/>
          <w:bCs/>
          <w:lang w:val="sk-SK" w:eastAsia="sk-SK"/>
        </w:rPr>
        <w:t>11 886 EUR</w:t>
      </w:r>
    </w:p>
    <w:p w:rsidR="005D0CF3" w:rsidRDefault="005D0CF3" w:rsidP="00D45220">
      <w:pPr>
        <w:jc w:val="both"/>
        <w:rPr>
          <w:rFonts w:asciiTheme="majorHAnsi" w:eastAsia="Times New Roman" w:hAnsiTheme="majorHAnsi" w:cs="Times New Roman"/>
          <w:bCs/>
          <w:lang w:val="sk-SK" w:eastAsia="sk-SK"/>
        </w:rPr>
      </w:pPr>
    </w:p>
    <w:p w:rsidR="005D0CF3" w:rsidRDefault="005D0CF3" w:rsidP="00D45220">
      <w:pPr>
        <w:jc w:val="both"/>
        <w:rPr>
          <w:rFonts w:asciiTheme="majorHAnsi" w:eastAsia="Times New Roman" w:hAnsiTheme="majorHAnsi" w:cs="Times New Roman"/>
          <w:bCs/>
          <w:lang w:val="sk-SK" w:eastAsia="sk-SK"/>
        </w:rPr>
      </w:pPr>
      <w:r>
        <w:rPr>
          <w:rFonts w:asciiTheme="majorHAnsi" w:eastAsia="Times New Roman" w:hAnsiTheme="majorHAnsi" w:cs="Times New Roman"/>
          <w:bCs/>
          <w:lang w:val="sk-SK" w:eastAsia="sk-SK"/>
        </w:rPr>
        <w:t>Rezervný fond STU v roku 2016 použila na financovanie štrukturálnych fondov, predovšetkým II fázy UVP, na ktorú nebola podpísaná zmluva o NFP.</w:t>
      </w:r>
    </w:p>
    <w:p w:rsidR="005D0CF3" w:rsidRPr="00AA195C" w:rsidRDefault="005D0CF3" w:rsidP="00D45220">
      <w:pPr>
        <w:jc w:val="both"/>
        <w:rPr>
          <w:rFonts w:asciiTheme="majorHAnsi" w:eastAsia="Times New Roman" w:hAnsiTheme="majorHAnsi" w:cs="Times New Roman"/>
          <w:bCs/>
          <w:lang w:val="sk-SK" w:eastAsia="sk-SK"/>
        </w:rPr>
      </w:pPr>
    </w:p>
    <w:p w:rsidR="000722A8" w:rsidRDefault="00D7793B" w:rsidP="007E433A">
      <w:pPr>
        <w:pStyle w:val="Zkladntext"/>
        <w:jc w:val="both"/>
        <w:rPr>
          <w:rFonts w:asciiTheme="majorHAnsi" w:hAnsiTheme="majorHAnsi" w:cs="Times New Roman"/>
        </w:rPr>
      </w:pPr>
      <w:r w:rsidRPr="007111A7">
        <w:rPr>
          <w:rFonts w:asciiTheme="majorHAnsi" w:hAnsiTheme="majorHAnsi" w:cs="Times New Roman"/>
        </w:rPr>
        <w:t>Prehľad tvorby a čerpania jednotlivých fondov</w:t>
      </w:r>
      <w:r w:rsidR="00782B54" w:rsidRPr="007111A7">
        <w:rPr>
          <w:rFonts w:asciiTheme="majorHAnsi" w:hAnsiTheme="majorHAnsi" w:cs="Times New Roman"/>
        </w:rPr>
        <w:t xml:space="preserve"> je uvedený v tabuľke č. 13 </w:t>
      </w:r>
      <w:r w:rsidR="007111A7" w:rsidRPr="007111A7">
        <w:rPr>
          <w:rFonts w:asciiTheme="majorHAnsi" w:hAnsiTheme="majorHAnsi" w:cs="Times New Roman"/>
        </w:rPr>
        <w:t>tejto výročnej správy</w:t>
      </w:r>
    </w:p>
    <w:p w:rsidR="007E433A" w:rsidRPr="00365D0F" w:rsidRDefault="007E433A" w:rsidP="007E433A">
      <w:pPr>
        <w:pStyle w:val="Zkladntext"/>
        <w:jc w:val="both"/>
        <w:rPr>
          <w:rFonts w:asciiTheme="majorHAnsi" w:hAnsiTheme="majorHAnsi" w:cs="Times New Roman"/>
          <w:sz w:val="28"/>
          <w:szCs w:val="28"/>
        </w:rPr>
      </w:pPr>
    </w:p>
    <w:p w:rsidR="00D7793B" w:rsidRPr="00365D0F" w:rsidRDefault="005F712C" w:rsidP="00D7793B">
      <w:pPr>
        <w:pStyle w:val="Zkladntext"/>
        <w:rPr>
          <w:rFonts w:asciiTheme="majorHAnsi" w:hAnsiTheme="majorHAnsi" w:cs="Times New Roman"/>
          <w:b/>
          <w:bCs/>
          <w:sz w:val="28"/>
          <w:szCs w:val="28"/>
        </w:rPr>
      </w:pPr>
      <w:r w:rsidRPr="00365D0F">
        <w:rPr>
          <w:rFonts w:asciiTheme="majorHAnsi" w:hAnsiTheme="majorHAnsi" w:cs="Times New Roman"/>
          <w:b/>
          <w:bCs/>
          <w:sz w:val="28"/>
          <w:szCs w:val="28"/>
        </w:rPr>
        <w:t>7.</w:t>
      </w:r>
      <w:r w:rsidR="00D7793B" w:rsidRPr="00365D0F">
        <w:rPr>
          <w:rFonts w:asciiTheme="majorHAnsi" w:hAnsiTheme="majorHAnsi" w:cs="Times New Roman"/>
          <w:b/>
          <w:bCs/>
          <w:sz w:val="28"/>
          <w:szCs w:val="28"/>
        </w:rPr>
        <w:t xml:space="preserve"> Rekapitulácia zúčtovania so štátnym rozpočtom</w:t>
      </w:r>
    </w:p>
    <w:p w:rsidR="00D7793B" w:rsidRDefault="00D7793B" w:rsidP="007E433A">
      <w:pPr>
        <w:pStyle w:val="Zkladntext"/>
        <w:jc w:val="both"/>
        <w:rPr>
          <w:rFonts w:asciiTheme="majorHAnsi" w:hAnsiTheme="majorHAnsi" w:cs="Times New Roman"/>
        </w:rPr>
      </w:pPr>
      <w:r w:rsidRPr="007111A7">
        <w:rPr>
          <w:rFonts w:asciiTheme="majorHAnsi" w:hAnsiTheme="majorHAnsi" w:cs="Times New Roman"/>
        </w:rPr>
        <w:t>STU k 31.12.201</w:t>
      </w:r>
      <w:r w:rsidR="003D0ED1">
        <w:rPr>
          <w:rFonts w:asciiTheme="majorHAnsi" w:hAnsiTheme="majorHAnsi" w:cs="Times New Roman"/>
        </w:rPr>
        <w:t>6</w:t>
      </w:r>
      <w:r w:rsidRPr="007111A7">
        <w:rPr>
          <w:rFonts w:asciiTheme="majorHAnsi" w:hAnsiTheme="majorHAnsi" w:cs="Times New Roman"/>
        </w:rPr>
        <w:t xml:space="preserve"> mala na bankových účtoch vedených v Štátnej pokladnici finančné prostriedky vo výške </w:t>
      </w:r>
      <w:r w:rsidR="003D0ED1">
        <w:rPr>
          <w:rFonts w:asciiTheme="majorHAnsi" w:hAnsiTheme="majorHAnsi" w:cs="Times New Roman"/>
        </w:rPr>
        <w:t>29 826 507</w:t>
      </w:r>
      <w:proofErr w:type="gramStart"/>
      <w:r w:rsidR="003D0ED1">
        <w:rPr>
          <w:rFonts w:asciiTheme="majorHAnsi" w:hAnsiTheme="majorHAnsi" w:cs="Times New Roman"/>
        </w:rPr>
        <w:t>,22</w:t>
      </w:r>
      <w:proofErr w:type="gramEnd"/>
      <w:r w:rsidRPr="007111A7">
        <w:rPr>
          <w:rFonts w:asciiTheme="majorHAnsi" w:hAnsiTheme="majorHAnsi" w:cs="Times New Roman"/>
        </w:rPr>
        <w:t xml:space="preserve"> EUR.</w:t>
      </w:r>
      <w:r w:rsidR="005C4A32">
        <w:rPr>
          <w:rFonts w:asciiTheme="majorHAnsi" w:hAnsiTheme="majorHAnsi" w:cs="Times New Roman"/>
        </w:rPr>
        <w:t xml:space="preserve"> </w:t>
      </w:r>
      <w:r w:rsidRPr="007111A7">
        <w:rPr>
          <w:rFonts w:asciiTheme="majorHAnsi" w:hAnsiTheme="majorHAnsi" w:cs="Times New Roman"/>
        </w:rPr>
        <w:t>Podrobnú analýzu stavu na bankových účtoch STU poskytuje tabuľka č. 16 výročnej správy o hospodárení</w:t>
      </w:r>
    </w:p>
    <w:p w:rsidR="007E433A" w:rsidRPr="007E433A" w:rsidRDefault="007E433A" w:rsidP="007E433A">
      <w:pPr>
        <w:pStyle w:val="Zkladntext"/>
        <w:jc w:val="both"/>
        <w:rPr>
          <w:rFonts w:asciiTheme="majorHAnsi" w:hAnsiTheme="majorHAnsi" w:cs="Times New Roman"/>
        </w:rPr>
      </w:pPr>
    </w:p>
    <w:p w:rsidR="00D7793B" w:rsidRPr="00365D0F" w:rsidRDefault="005F712C" w:rsidP="00D7793B">
      <w:pPr>
        <w:pStyle w:val="Zkladntext"/>
        <w:rPr>
          <w:rFonts w:asciiTheme="majorHAnsi" w:hAnsiTheme="majorHAnsi" w:cs="Times New Roman"/>
          <w:b/>
          <w:bCs/>
          <w:sz w:val="28"/>
          <w:szCs w:val="28"/>
        </w:rPr>
      </w:pPr>
      <w:proofErr w:type="gramStart"/>
      <w:r w:rsidRPr="00365D0F">
        <w:rPr>
          <w:rFonts w:asciiTheme="majorHAnsi" w:hAnsiTheme="majorHAnsi" w:cs="Times New Roman"/>
          <w:b/>
          <w:bCs/>
          <w:sz w:val="28"/>
          <w:szCs w:val="28"/>
        </w:rPr>
        <w:t>8</w:t>
      </w:r>
      <w:r w:rsidR="00D7793B" w:rsidRPr="00365D0F">
        <w:rPr>
          <w:rFonts w:asciiTheme="majorHAnsi" w:hAnsiTheme="majorHAnsi" w:cs="Times New Roman"/>
          <w:b/>
          <w:bCs/>
          <w:sz w:val="28"/>
          <w:szCs w:val="28"/>
        </w:rPr>
        <w:t xml:space="preserve"> .</w:t>
      </w:r>
      <w:proofErr w:type="gramEnd"/>
      <w:r w:rsidR="00D7793B" w:rsidRPr="00365D0F">
        <w:rPr>
          <w:rFonts w:asciiTheme="majorHAnsi" w:hAnsiTheme="majorHAnsi" w:cs="Times New Roman"/>
          <w:b/>
          <w:bCs/>
          <w:sz w:val="28"/>
          <w:szCs w:val="28"/>
        </w:rPr>
        <w:t xml:space="preserve"> Záver</w:t>
      </w:r>
    </w:p>
    <w:p w:rsidR="00D7793B" w:rsidRPr="00B9788E" w:rsidRDefault="00D7793B" w:rsidP="00D45220">
      <w:pPr>
        <w:pStyle w:val="Zkladntext"/>
        <w:jc w:val="both"/>
        <w:rPr>
          <w:rFonts w:asciiTheme="majorHAnsi" w:hAnsiTheme="majorHAnsi" w:cs="Times New Roman"/>
          <w:b/>
          <w:bCs/>
        </w:rPr>
      </w:pPr>
      <w:r w:rsidRPr="00B9788E">
        <w:rPr>
          <w:rFonts w:asciiTheme="majorHAnsi" w:hAnsiTheme="majorHAnsi" w:cs="Times New Roman"/>
        </w:rPr>
        <w:t>Slovenská technická univerzita v Bratislave dosiahla v roku 201</w:t>
      </w:r>
      <w:r w:rsidR="003D0ED1">
        <w:rPr>
          <w:rFonts w:asciiTheme="majorHAnsi" w:hAnsiTheme="majorHAnsi" w:cs="Times New Roman"/>
        </w:rPr>
        <w:t>6</w:t>
      </w:r>
      <w:r w:rsidRPr="00B9788E">
        <w:rPr>
          <w:rFonts w:asciiTheme="majorHAnsi" w:hAnsiTheme="majorHAnsi" w:cs="Times New Roman"/>
        </w:rPr>
        <w:t xml:space="preserve"> celkový kladný </w:t>
      </w:r>
      <w:proofErr w:type="gramStart"/>
      <w:r w:rsidRPr="00B9788E">
        <w:rPr>
          <w:rFonts w:asciiTheme="majorHAnsi" w:hAnsiTheme="majorHAnsi" w:cs="Times New Roman"/>
        </w:rPr>
        <w:t>hospodársky  výsledok</w:t>
      </w:r>
      <w:proofErr w:type="gramEnd"/>
      <w:r w:rsidRPr="00B9788E">
        <w:rPr>
          <w:rFonts w:asciiTheme="majorHAnsi" w:hAnsiTheme="majorHAnsi" w:cs="Times New Roman"/>
        </w:rPr>
        <w:t xml:space="preserve">, t.j. zisk (po zdanení) vo výške </w:t>
      </w:r>
      <w:r w:rsidR="003D0ED1">
        <w:rPr>
          <w:rFonts w:asciiTheme="majorHAnsi" w:hAnsiTheme="majorHAnsi" w:cs="Times New Roman"/>
        </w:rPr>
        <w:t>21 532,02</w:t>
      </w:r>
      <w:r w:rsidRPr="005F712C">
        <w:rPr>
          <w:rFonts w:asciiTheme="majorHAnsi" w:hAnsiTheme="majorHAnsi" w:cs="Times New Roman"/>
        </w:rPr>
        <w:t xml:space="preserve"> EUR.</w:t>
      </w:r>
    </w:p>
    <w:p w:rsidR="00D7793B" w:rsidRPr="00B9788E" w:rsidRDefault="00D7793B" w:rsidP="00D7793B">
      <w:pPr>
        <w:pStyle w:val="Zkladntext"/>
        <w:rPr>
          <w:rFonts w:asciiTheme="majorHAnsi" w:hAnsiTheme="majorHAnsi" w:cs="Times New Roman"/>
        </w:rPr>
      </w:pPr>
    </w:p>
    <w:p w:rsidR="00D7793B" w:rsidRDefault="00D7793B" w:rsidP="00D7793B">
      <w:pPr>
        <w:jc w:val="both"/>
        <w:rPr>
          <w:rFonts w:asciiTheme="majorHAnsi" w:hAnsiTheme="majorHAnsi"/>
        </w:rPr>
      </w:pPr>
      <w:r w:rsidRPr="00B9788E">
        <w:rPr>
          <w:rFonts w:asciiTheme="majorHAnsi" w:hAnsiTheme="majorHAnsi"/>
        </w:rPr>
        <w:t xml:space="preserve">Zisk bude v súlade so zákonom č. 131/2002 Z.z. </w:t>
      </w:r>
      <w:r w:rsidR="003D467A">
        <w:rPr>
          <w:rFonts w:asciiTheme="majorHAnsi" w:hAnsiTheme="majorHAnsi"/>
        </w:rPr>
        <w:t>o</w:t>
      </w:r>
      <w:r w:rsidRPr="00B9788E">
        <w:rPr>
          <w:rFonts w:asciiTheme="majorHAnsi" w:hAnsiTheme="majorHAnsi"/>
        </w:rPr>
        <w:t xml:space="preserve"> vysokých školách v platnom znení    použitý na </w:t>
      </w:r>
      <w:proofErr w:type="gramStart"/>
      <w:r w:rsidRPr="00B9788E">
        <w:rPr>
          <w:rFonts w:asciiTheme="majorHAnsi" w:hAnsiTheme="majorHAnsi"/>
        </w:rPr>
        <w:t>tvorbu  rezervného</w:t>
      </w:r>
      <w:proofErr w:type="gramEnd"/>
      <w:r w:rsidRPr="00B9788E">
        <w:rPr>
          <w:rFonts w:asciiTheme="majorHAnsi" w:hAnsiTheme="majorHAnsi"/>
        </w:rPr>
        <w:t xml:space="preserve"> fondu STU. Keďže STU nevykazuje v predchádzajúcich rokoch nevyrovnanú stratu bude rezervný fond použitý v súlade s §16a ods. </w:t>
      </w:r>
      <w:proofErr w:type="gramStart"/>
      <w:r w:rsidRPr="00B9788E">
        <w:rPr>
          <w:rFonts w:asciiTheme="majorHAnsi" w:hAnsiTheme="majorHAnsi"/>
        </w:rPr>
        <w:t>(3) Zákona o VŠ a v súlade s ďalšími zákonmi, všeobecne platnými predpismi a vnútornými predpismi STU.</w:t>
      </w:r>
      <w:proofErr w:type="gramEnd"/>
      <w:r w:rsidRPr="00B9788E">
        <w:rPr>
          <w:rFonts w:asciiTheme="majorHAnsi" w:hAnsiTheme="majorHAnsi"/>
        </w:rPr>
        <w:t xml:space="preserve"> </w:t>
      </w:r>
    </w:p>
    <w:p w:rsidR="00F23140" w:rsidRDefault="00F23140" w:rsidP="00D7793B">
      <w:pPr>
        <w:jc w:val="both"/>
        <w:rPr>
          <w:rFonts w:asciiTheme="majorHAnsi" w:hAnsiTheme="majorHAnsi"/>
        </w:rPr>
      </w:pPr>
    </w:p>
    <w:p w:rsidR="00F23140" w:rsidRDefault="00D83C2C" w:rsidP="00D7793B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:rsidR="00D83C2C" w:rsidRDefault="00D83C2C" w:rsidP="00D7793B">
      <w:pPr>
        <w:jc w:val="both"/>
        <w:rPr>
          <w:rFonts w:asciiTheme="majorHAnsi" w:hAnsiTheme="majorHAnsi"/>
        </w:rPr>
      </w:pPr>
    </w:p>
    <w:p w:rsidR="00D83C2C" w:rsidRDefault="00D83C2C" w:rsidP="00D7793B">
      <w:pPr>
        <w:jc w:val="both"/>
        <w:rPr>
          <w:rFonts w:asciiTheme="majorHAnsi" w:hAnsiTheme="majorHAnsi"/>
        </w:rPr>
      </w:pPr>
    </w:p>
    <w:p w:rsidR="00D83C2C" w:rsidRDefault="00D83C2C" w:rsidP="00D7793B">
      <w:pPr>
        <w:jc w:val="both"/>
        <w:rPr>
          <w:rFonts w:asciiTheme="majorHAnsi" w:hAnsiTheme="majorHAnsi"/>
        </w:rPr>
      </w:pPr>
    </w:p>
    <w:p w:rsidR="00D83C2C" w:rsidRDefault="00D83C2C" w:rsidP="00D7793B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V </w:t>
      </w:r>
      <w:proofErr w:type="gramStart"/>
      <w:r>
        <w:rPr>
          <w:rFonts w:asciiTheme="majorHAnsi" w:hAnsiTheme="majorHAnsi"/>
        </w:rPr>
        <w:t xml:space="preserve">Bratislave </w:t>
      </w:r>
      <w:r w:rsidR="003D467A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28.4</w:t>
      </w:r>
      <w:proofErr w:type="gramEnd"/>
      <w:r>
        <w:rPr>
          <w:rFonts w:asciiTheme="majorHAnsi" w:hAnsiTheme="majorHAnsi"/>
        </w:rPr>
        <w:t>. 2017</w:t>
      </w:r>
    </w:p>
    <w:p w:rsidR="00D83C2C" w:rsidRDefault="00D83C2C" w:rsidP="00D7793B">
      <w:pPr>
        <w:jc w:val="both"/>
        <w:rPr>
          <w:rFonts w:asciiTheme="majorHAnsi" w:hAnsiTheme="majorHAnsi"/>
        </w:rPr>
      </w:pPr>
    </w:p>
    <w:p w:rsidR="00D83C2C" w:rsidRDefault="00D83C2C" w:rsidP="00D7793B">
      <w:pPr>
        <w:jc w:val="both"/>
        <w:rPr>
          <w:rFonts w:asciiTheme="majorHAnsi" w:hAnsiTheme="majorHAnsi"/>
        </w:rPr>
      </w:pPr>
    </w:p>
    <w:p w:rsidR="00D83C2C" w:rsidRDefault="00D83C2C" w:rsidP="00D7793B">
      <w:pPr>
        <w:jc w:val="both"/>
        <w:rPr>
          <w:rFonts w:asciiTheme="majorHAnsi" w:hAnsiTheme="majorHAnsi"/>
        </w:rPr>
      </w:pPr>
    </w:p>
    <w:p w:rsidR="00D83C2C" w:rsidRDefault="00D83C2C" w:rsidP="00D7793B">
      <w:pPr>
        <w:jc w:val="both"/>
        <w:rPr>
          <w:rFonts w:asciiTheme="majorHAnsi" w:hAnsiTheme="majorHAnsi"/>
        </w:rPr>
      </w:pPr>
    </w:p>
    <w:p w:rsidR="00D83C2C" w:rsidRDefault="00D83C2C" w:rsidP="00D7793B">
      <w:pPr>
        <w:jc w:val="both"/>
        <w:rPr>
          <w:rFonts w:asciiTheme="majorHAnsi" w:hAnsiTheme="majorHAnsi"/>
        </w:rPr>
      </w:pPr>
    </w:p>
    <w:p w:rsidR="00D83C2C" w:rsidRDefault="00D83C2C" w:rsidP="00D7793B">
      <w:pPr>
        <w:jc w:val="both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Ing.</w:t>
      </w:r>
      <w:proofErr w:type="gramEnd"/>
      <w:r>
        <w:rPr>
          <w:rFonts w:asciiTheme="majorHAnsi" w:hAnsiTheme="majorHAnsi"/>
        </w:rPr>
        <w:t xml:space="preserve"> Dušan Faktor, PhD.                                            </w:t>
      </w:r>
      <w:proofErr w:type="gramStart"/>
      <w:r>
        <w:rPr>
          <w:rFonts w:asciiTheme="majorHAnsi" w:hAnsiTheme="majorHAnsi"/>
        </w:rPr>
        <w:t>prof</w:t>
      </w:r>
      <w:proofErr w:type="gramEnd"/>
      <w:r>
        <w:rPr>
          <w:rFonts w:asciiTheme="majorHAnsi" w:hAnsiTheme="majorHAnsi"/>
        </w:rPr>
        <w:t>. Ing. Robert Redhammer, PhD.</w:t>
      </w:r>
    </w:p>
    <w:p w:rsidR="00D83C2C" w:rsidRPr="00B9788E" w:rsidRDefault="00D83C2C" w:rsidP="00D7793B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</w:t>
      </w:r>
      <w:proofErr w:type="gramStart"/>
      <w:r>
        <w:rPr>
          <w:rFonts w:asciiTheme="majorHAnsi" w:hAnsiTheme="majorHAnsi"/>
        </w:rPr>
        <w:t>kvestor</w:t>
      </w:r>
      <w:proofErr w:type="gramEnd"/>
      <w:r>
        <w:rPr>
          <w:rFonts w:asciiTheme="majorHAnsi" w:hAnsiTheme="majorHAnsi"/>
        </w:rPr>
        <w:t xml:space="preserve">                                                                                     rektor</w:t>
      </w:r>
    </w:p>
    <w:p w:rsidR="00D7793B" w:rsidRPr="00B9788E" w:rsidRDefault="00D7793B" w:rsidP="00D7793B">
      <w:pPr>
        <w:pStyle w:val="Zkladntext"/>
        <w:rPr>
          <w:rFonts w:asciiTheme="majorHAnsi" w:hAnsiTheme="majorHAnsi" w:cs="Times New Roman"/>
        </w:rPr>
      </w:pPr>
    </w:p>
    <w:p w:rsidR="00D7793B" w:rsidRPr="00B9788E" w:rsidRDefault="00D7793B" w:rsidP="00D7793B">
      <w:pPr>
        <w:pStyle w:val="Zkladntext"/>
        <w:rPr>
          <w:rFonts w:asciiTheme="majorHAnsi" w:hAnsiTheme="majorHAnsi" w:cs="Times New Roman"/>
        </w:rPr>
      </w:pPr>
    </w:p>
    <w:sectPr w:rsidR="00D7793B" w:rsidRPr="00B9788E" w:rsidSect="001353B9">
      <w:headerReference w:type="default" r:id="rId12"/>
      <w:footerReference w:type="default" r:id="rId13"/>
      <w:pgSz w:w="11900" w:h="16840"/>
      <w:pgMar w:top="2269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55D" w:rsidRDefault="006A255D" w:rsidP="0030006A">
      <w:r>
        <w:separator/>
      </w:r>
    </w:p>
  </w:endnote>
  <w:endnote w:type="continuationSeparator" w:id="0">
    <w:p w:rsidR="006A255D" w:rsidRDefault="006A255D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yriad Pro">
    <w:altName w:val="Calibri"/>
    <w:charset w:val="00"/>
    <w:family w:val="auto"/>
    <w:pitch w:val="variable"/>
    <w:sig w:usb0="00000001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7EC" w:rsidRDefault="00F837EC" w:rsidP="00C975A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F837EC" w:rsidRDefault="00F837EC" w:rsidP="0030006A">
    <w:pPr>
      <w:pStyle w:val="Pta"/>
      <w:framePr w:wrap="around" w:vAnchor="text" w:hAnchor="margin" w:y="1"/>
      <w:ind w:right="360" w:firstLine="360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F837EC" w:rsidRDefault="00F837EC" w:rsidP="0030006A">
    <w:pPr>
      <w:pStyle w:val="Pt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7EC" w:rsidRDefault="00F837EC" w:rsidP="0030006A">
    <w:pPr>
      <w:pStyle w:val="Pta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7EC" w:rsidRPr="00F72759" w:rsidRDefault="00F837EC" w:rsidP="007F5771">
    <w:pPr>
      <w:pStyle w:val="Pta"/>
      <w:framePr w:wrap="around" w:vAnchor="text" w:hAnchor="margin" w:xAlign="right" w:y="1"/>
      <w:rPr>
        <w:rStyle w:val="slostrany"/>
        <w:rFonts w:asciiTheme="majorHAnsi" w:hAnsiTheme="majorHAnsi"/>
      </w:rPr>
    </w:pPr>
    <w:r w:rsidRPr="00F72759">
      <w:rPr>
        <w:rStyle w:val="slostrany"/>
        <w:rFonts w:asciiTheme="majorHAnsi" w:hAnsiTheme="majorHAnsi"/>
      </w:rPr>
      <w:fldChar w:fldCharType="begin"/>
    </w:r>
    <w:r w:rsidRPr="00F72759">
      <w:rPr>
        <w:rStyle w:val="slostrany"/>
        <w:rFonts w:asciiTheme="majorHAnsi" w:hAnsiTheme="majorHAnsi"/>
      </w:rPr>
      <w:instrText xml:space="preserve">PAGE  </w:instrText>
    </w:r>
    <w:r w:rsidRPr="00F72759">
      <w:rPr>
        <w:rStyle w:val="slostrany"/>
        <w:rFonts w:asciiTheme="majorHAnsi" w:hAnsiTheme="majorHAnsi"/>
      </w:rPr>
      <w:fldChar w:fldCharType="separate"/>
    </w:r>
    <w:r w:rsidR="00004941">
      <w:rPr>
        <w:rStyle w:val="slostrany"/>
        <w:rFonts w:asciiTheme="majorHAnsi" w:hAnsiTheme="majorHAnsi"/>
        <w:noProof/>
      </w:rPr>
      <w:t>11</w:t>
    </w:r>
    <w:r w:rsidRPr="00F72759">
      <w:rPr>
        <w:rStyle w:val="slostrany"/>
        <w:rFonts w:asciiTheme="majorHAnsi" w:hAnsiTheme="majorHAnsi"/>
      </w:rPr>
      <w:fldChar w:fldCharType="end"/>
    </w:r>
  </w:p>
  <w:p w:rsidR="00F837EC" w:rsidRDefault="00F837EC" w:rsidP="0030006A">
    <w:pPr>
      <w:pStyle w:val="Pt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55D" w:rsidRDefault="006A255D" w:rsidP="0030006A">
      <w:r>
        <w:separator/>
      </w:r>
    </w:p>
  </w:footnote>
  <w:footnote w:type="continuationSeparator" w:id="0">
    <w:p w:rsidR="006A255D" w:rsidRDefault="006A255D" w:rsidP="00300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7EC" w:rsidRDefault="00F837EC" w:rsidP="001353B9">
    <w:pPr>
      <w:pStyle w:val="Hlavika"/>
      <w:ind w:left="-1276"/>
    </w:pPr>
    <w:r>
      <w:rPr>
        <w:noProof/>
        <w:lang w:val="sk-SK" w:eastAsia="sk-SK"/>
      </w:rPr>
      <w:drawing>
        <wp:inline distT="0" distB="0" distL="0" distR="0" wp14:anchorId="12E48DCF" wp14:editId="6520EEE7">
          <wp:extent cx="1675958" cy="615950"/>
          <wp:effectExtent l="0" t="0" r="0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958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7CC" w:rsidRPr="00A20866" w:rsidRDefault="00F837EC" w:rsidP="001C47CC">
    <w:pPr>
      <w:jc w:val="right"/>
      <w:rPr>
        <w:rFonts w:asciiTheme="majorHAnsi" w:hAnsiTheme="majorHAnsi"/>
        <w:sz w:val="16"/>
        <w:szCs w:val="16"/>
        <w:lang w:val="sk-SK"/>
      </w:rPr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C6F30B" wp14:editId="7366B3A7">
              <wp:simplePos x="0" y="0"/>
              <wp:positionH relativeFrom="column">
                <wp:posOffset>-1012343</wp:posOffset>
              </wp:positionH>
              <wp:positionV relativeFrom="paragraph">
                <wp:posOffset>-67437</wp:posOffset>
              </wp:positionV>
              <wp:extent cx="3917950" cy="584200"/>
              <wp:effectExtent l="0" t="0" r="0" b="63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17950" cy="58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w15="http://schemas.microsoft.com/office/word/2012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837EC" w:rsidRPr="00A20866" w:rsidRDefault="001C47CC" w:rsidP="001C47CC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noProof/>
                              <w:lang w:val="sk-SK" w:eastAsia="sk-SK"/>
                            </w:rPr>
                            <w:drawing>
                              <wp:inline distT="0" distB="0" distL="0" distR="0" wp14:anchorId="6345718A" wp14:editId="7A21AF58">
                                <wp:extent cx="1675958" cy="615950"/>
                                <wp:effectExtent l="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TU_bezNazvu_CB.gif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79197" cy="61714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79.7pt;margin-top:-5.3pt;width:308.5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" filled="f" stroked="f">
              <v:textbox>
                <w:txbxContent>
                  <w:p w:rsidR="00F837EC" w:rsidRPr="00A20866" w:rsidRDefault="001C47CC" w:rsidP="001C47CC">
                    <w:pP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noProof/>
                        <w:lang w:val="sk-SK" w:eastAsia="sk-SK"/>
                      </w:rPr>
                      <w:drawing>
                        <wp:inline distT="0" distB="0" distL="0" distR="0" wp14:anchorId="5CEE1401" wp14:editId="348263C0">
                          <wp:extent cx="1675958" cy="615950"/>
                          <wp:effectExtent l="0" t="0" r="0" b="0"/>
                          <wp:docPr id="2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TU_bezNazvu_CB.gif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79197" cy="61714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F00CCD">
      <w:rPr>
        <w:rFonts w:asciiTheme="majorHAnsi" w:hAnsiTheme="majorHAnsi"/>
        <w:sz w:val="16"/>
        <w:szCs w:val="16"/>
        <w:lang w:val="sk-SK"/>
      </w:rPr>
      <w:t>Akademický senát STU</w:t>
    </w:r>
    <w:r w:rsidR="001C47CC">
      <w:rPr>
        <w:rFonts w:asciiTheme="majorHAnsi" w:hAnsiTheme="majorHAnsi"/>
        <w:sz w:val="16"/>
        <w:szCs w:val="16"/>
        <w:lang w:val="sk-SK"/>
      </w:rPr>
      <w:t xml:space="preserve">, </w:t>
    </w:r>
    <w:r w:rsidR="00F00CCD">
      <w:rPr>
        <w:rFonts w:asciiTheme="majorHAnsi" w:hAnsiTheme="majorHAnsi"/>
        <w:sz w:val="16"/>
        <w:szCs w:val="16"/>
        <w:lang w:val="sk-SK"/>
      </w:rPr>
      <w:t>17</w:t>
    </w:r>
    <w:r w:rsidR="001C47CC">
      <w:rPr>
        <w:rFonts w:asciiTheme="majorHAnsi" w:hAnsiTheme="majorHAnsi"/>
        <w:sz w:val="16"/>
        <w:szCs w:val="16"/>
        <w:lang w:val="sk-SK"/>
      </w:rPr>
      <w:t>.</w:t>
    </w:r>
    <w:r w:rsidR="00F00CCD">
      <w:rPr>
        <w:rFonts w:asciiTheme="majorHAnsi" w:hAnsiTheme="majorHAnsi"/>
        <w:sz w:val="16"/>
        <w:szCs w:val="16"/>
        <w:lang w:val="sk-SK"/>
      </w:rPr>
      <w:t>6</w:t>
    </w:r>
    <w:r w:rsidR="001C47CC">
      <w:rPr>
        <w:rFonts w:asciiTheme="majorHAnsi" w:hAnsiTheme="majorHAnsi"/>
        <w:sz w:val="16"/>
        <w:szCs w:val="16"/>
        <w:lang w:val="sk-SK"/>
      </w:rPr>
      <w:t>.201</w:t>
    </w:r>
    <w:r w:rsidR="00F00CCD">
      <w:rPr>
        <w:rFonts w:asciiTheme="majorHAnsi" w:hAnsiTheme="majorHAnsi"/>
        <w:sz w:val="16"/>
        <w:szCs w:val="16"/>
        <w:lang w:val="sk-SK"/>
      </w:rPr>
      <w:t>7</w:t>
    </w:r>
  </w:p>
  <w:p w:rsidR="001C47CC" w:rsidRPr="00A20866" w:rsidRDefault="001C47CC" w:rsidP="001C47CC">
    <w:pPr>
      <w:jc w:val="right"/>
      <w:rPr>
        <w:rFonts w:asciiTheme="majorHAnsi" w:hAnsiTheme="majorHAnsi"/>
        <w:sz w:val="16"/>
        <w:szCs w:val="16"/>
        <w:lang w:val="sk-SK"/>
      </w:rPr>
    </w:pPr>
    <w:r>
      <w:rPr>
        <w:rFonts w:asciiTheme="majorHAnsi" w:hAnsiTheme="majorHAnsi"/>
        <w:sz w:val="16"/>
        <w:szCs w:val="16"/>
        <w:lang w:val="sk-SK"/>
      </w:rPr>
      <w:t>Výročná správa o hospodárení za rok 2016</w:t>
    </w:r>
  </w:p>
  <w:p w:rsidR="001C47CC" w:rsidRPr="00A20866" w:rsidRDefault="001C47CC" w:rsidP="001C47CC">
    <w:pPr>
      <w:jc w:val="right"/>
      <w:rPr>
        <w:rFonts w:asciiTheme="majorHAnsi" w:hAnsiTheme="majorHAnsi"/>
        <w:sz w:val="16"/>
        <w:szCs w:val="16"/>
        <w:lang w:val="sk-SK"/>
      </w:rPr>
    </w:pPr>
    <w:r>
      <w:rPr>
        <w:rFonts w:asciiTheme="majorHAnsi" w:hAnsiTheme="majorHAnsi"/>
        <w:sz w:val="16"/>
        <w:szCs w:val="16"/>
        <w:lang w:val="sk-SK"/>
      </w:rPr>
      <w:t>P</w:t>
    </w:r>
    <w:r w:rsidRPr="00A20866">
      <w:rPr>
        <w:rFonts w:asciiTheme="majorHAnsi" w:hAnsiTheme="majorHAnsi"/>
        <w:sz w:val="16"/>
        <w:szCs w:val="16"/>
        <w:lang w:val="sk-SK"/>
      </w:rPr>
      <w:t>ozvá</w:t>
    </w:r>
    <w:r>
      <w:rPr>
        <w:rFonts w:asciiTheme="majorHAnsi" w:hAnsiTheme="majorHAnsi"/>
        <w:sz w:val="16"/>
        <w:szCs w:val="16"/>
        <w:lang w:val="sk-SK"/>
      </w:rPr>
      <w:t>nka , bod ,prof. Ing. Robert Redhammer, PhD.</w:t>
    </w:r>
  </w:p>
  <w:p w:rsidR="00F837EC" w:rsidRDefault="00F837EC" w:rsidP="001353B9">
    <w:pPr>
      <w:pStyle w:val="Hlavika"/>
      <w:ind w:left="-127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012A"/>
    <w:multiLevelType w:val="hybridMultilevel"/>
    <w:tmpl w:val="5A40B4C2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667D04"/>
    <w:multiLevelType w:val="multilevel"/>
    <w:tmpl w:val="BEBA61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3067D50"/>
    <w:multiLevelType w:val="hybridMultilevel"/>
    <w:tmpl w:val="64B4E9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34739"/>
    <w:multiLevelType w:val="hybridMultilevel"/>
    <w:tmpl w:val="9E4C492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8603C"/>
    <w:multiLevelType w:val="hybridMultilevel"/>
    <w:tmpl w:val="4DAAE62A"/>
    <w:lvl w:ilvl="0" w:tplc="759EC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6B2125"/>
    <w:multiLevelType w:val="hybridMultilevel"/>
    <w:tmpl w:val="99E6A8B8"/>
    <w:lvl w:ilvl="0" w:tplc="2A4CF5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F65B52"/>
    <w:multiLevelType w:val="hybridMultilevel"/>
    <w:tmpl w:val="22AEF64C"/>
    <w:lvl w:ilvl="0" w:tplc="759EC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B6A7B"/>
    <w:multiLevelType w:val="hybridMultilevel"/>
    <w:tmpl w:val="8952959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20CD9"/>
    <w:multiLevelType w:val="hybridMultilevel"/>
    <w:tmpl w:val="3B2204AE"/>
    <w:lvl w:ilvl="0" w:tplc="759EC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21207E"/>
    <w:multiLevelType w:val="hybridMultilevel"/>
    <w:tmpl w:val="83F489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3E4DB4"/>
    <w:multiLevelType w:val="multilevel"/>
    <w:tmpl w:val="7798A4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9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4E5421FD"/>
    <w:multiLevelType w:val="hybridMultilevel"/>
    <w:tmpl w:val="FEA0CA9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6149B2"/>
    <w:multiLevelType w:val="hybridMultilevel"/>
    <w:tmpl w:val="FED49DE6"/>
    <w:lvl w:ilvl="0" w:tplc="759EC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6C711A"/>
    <w:multiLevelType w:val="hybridMultilevel"/>
    <w:tmpl w:val="7018BB66"/>
    <w:lvl w:ilvl="0" w:tplc="759EC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440307"/>
    <w:multiLevelType w:val="hybridMultilevel"/>
    <w:tmpl w:val="BCB26A8E"/>
    <w:lvl w:ilvl="0" w:tplc="1466CD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FE7920"/>
    <w:multiLevelType w:val="hybridMultilevel"/>
    <w:tmpl w:val="453697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3E517D"/>
    <w:multiLevelType w:val="hybridMultilevel"/>
    <w:tmpl w:val="13307F5A"/>
    <w:lvl w:ilvl="0" w:tplc="041B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"/>
  </w:num>
  <w:num w:numId="4">
    <w:abstractNumId w:val="11"/>
  </w:num>
  <w:num w:numId="5">
    <w:abstractNumId w:val="3"/>
  </w:num>
  <w:num w:numId="6">
    <w:abstractNumId w:val="9"/>
  </w:num>
  <w:num w:numId="7">
    <w:abstractNumId w:val="10"/>
  </w:num>
  <w:num w:numId="8">
    <w:abstractNumId w:val="5"/>
  </w:num>
  <w:num w:numId="9">
    <w:abstractNumId w:val="7"/>
  </w:num>
  <w:num w:numId="10">
    <w:abstractNumId w:val="14"/>
  </w:num>
  <w:num w:numId="11">
    <w:abstractNumId w:val="4"/>
  </w:num>
  <w:num w:numId="12">
    <w:abstractNumId w:val="8"/>
  </w:num>
  <w:num w:numId="13">
    <w:abstractNumId w:val="12"/>
  </w:num>
  <w:num w:numId="14">
    <w:abstractNumId w:val="13"/>
  </w:num>
  <w:num w:numId="15">
    <w:abstractNumId w:val="6"/>
  </w:num>
  <w:num w:numId="16">
    <w:abstractNumId w:val="2"/>
  </w:num>
  <w:num w:numId="17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US" w:vendorID="64" w:dllVersion="131078" w:nlCheck="1" w:checkStyle="0"/>
  <w:proofState w:grammar="clean"/>
  <w:attachedTemplate r:id="rId1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FD"/>
    <w:rsid w:val="00004941"/>
    <w:rsid w:val="00015211"/>
    <w:rsid w:val="00024754"/>
    <w:rsid w:val="00040A79"/>
    <w:rsid w:val="0004107D"/>
    <w:rsid w:val="00044633"/>
    <w:rsid w:val="000568E0"/>
    <w:rsid w:val="0006307B"/>
    <w:rsid w:val="00063457"/>
    <w:rsid w:val="00067964"/>
    <w:rsid w:val="000722A8"/>
    <w:rsid w:val="00072539"/>
    <w:rsid w:val="000748E7"/>
    <w:rsid w:val="00082F5B"/>
    <w:rsid w:val="00097B8C"/>
    <w:rsid w:val="000A2DA3"/>
    <w:rsid w:val="000A51A3"/>
    <w:rsid w:val="000B6476"/>
    <w:rsid w:val="000C224D"/>
    <w:rsid w:val="000C2A88"/>
    <w:rsid w:val="000C5F83"/>
    <w:rsid w:val="000D16A3"/>
    <w:rsid w:val="000D1BBB"/>
    <w:rsid w:val="000D7846"/>
    <w:rsid w:val="000E6B3A"/>
    <w:rsid w:val="000E7D5D"/>
    <w:rsid w:val="000F2058"/>
    <w:rsid w:val="000F4B18"/>
    <w:rsid w:val="000F4D97"/>
    <w:rsid w:val="000F7603"/>
    <w:rsid w:val="00116D82"/>
    <w:rsid w:val="001215E1"/>
    <w:rsid w:val="00122D61"/>
    <w:rsid w:val="001314BF"/>
    <w:rsid w:val="001337F1"/>
    <w:rsid w:val="001353B9"/>
    <w:rsid w:val="00136BA3"/>
    <w:rsid w:val="00137F9B"/>
    <w:rsid w:val="00141CD2"/>
    <w:rsid w:val="0014252B"/>
    <w:rsid w:val="00142FED"/>
    <w:rsid w:val="00143E67"/>
    <w:rsid w:val="00156DC0"/>
    <w:rsid w:val="00170A1F"/>
    <w:rsid w:val="0017589D"/>
    <w:rsid w:val="00183164"/>
    <w:rsid w:val="001909DA"/>
    <w:rsid w:val="00190FAB"/>
    <w:rsid w:val="00196152"/>
    <w:rsid w:val="001A5253"/>
    <w:rsid w:val="001B719B"/>
    <w:rsid w:val="001C43F6"/>
    <w:rsid w:val="001C47CC"/>
    <w:rsid w:val="001C51D7"/>
    <w:rsid w:val="001E3286"/>
    <w:rsid w:val="001F3757"/>
    <w:rsid w:val="001F4B14"/>
    <w:rsid w:val="001F71B5"/>
    <w:rsid w:val="00201315"/>
    <w:rsid w:val="00204241"/>
    <w:rsid w:val="00205331"/>
    <w:rsid w:val="00213CC5"/>
    <w:rsid w:val="0022723B"/>
    <w:rsid w:val="00233692"/>
    <w:rsid w:val="00244A66"/>
    <w:rsid w:val="0025468E"/>
    <w:rsid w:val="00260262"/>
    <w:rsid w:val="00263B07"/>
    <w:rsid w:val="00263EBA"/>
    <w:rsid w:val="00277717"/>
    <w:rsid w:val="00292E11"/>
    <w:rsid w:val="002A3AA1"/>
    <w:rsid w:val="002A40A2"/>
    <w:rsid w:val="002C2563"/>
    <w:rsid w:val="002D453B"/>
    <w:rsid w:val="002E525D"/>
    <w:rsid w:val="002E53B3"/>
    <w:rsid w:val="002E5CBC"/>
    <w:rsid w:val="0030006A"/>
    <w:rsid w:val="00301D23"/>
    <w:rsid w:val="00311911"/>
    <w:rsid w:val="003141BB"/>
    <w:rsid w:val="00320439"/>
    <w:rsid w:val="00322A92"/>
    <w:rsid w:val="00327843"/>
    <w:rsid w:val="00332832"/>
    <w:rsid w:val="00337FD8"/>
    <w:rsid w:val="003409E0"/>
    <w:rsid w:val="0034341D"/>
    <w:rsid w:val="003526FA"/>
    <w:rsid w:val="00357DB4"/>
    <w:rsid w:val="00365D0F"/>
    <w:rsid w:val="00372687"/>
    <w:rsid w:val="00375A95"/>
    <w:rsid w:val="003800B0"/>
    <w:rsid w:val="003A708F"/>
    <w:rsid w:val="003B4D0E"/>
    <w:rsid w:val="003C0131"/>
    <w:rsid w:val="003C207C"/>
    <w:rsid w:val="003C6E9A"/>
    <w:rsid w:val="003D0ED1"/>
    <w:rsid w:val="003D467A"/>
    <w:rsid w:val="003E46D3"/>
    <w:rsid w:val="003F6A78"/>
    <w:rsid w:val="00404D38"/>
    <w:rsid w:val="004326B9"/>
    <w:rsid w:val="0043422B"/>
    <w:rsid w:val="00442D14"/>
    <w:rsid w:val="0044453E"/>
    <w:rsid w:val="0044507F"/>
    <w:rsid w:val="004621FC"/>
    <w:rsid w:val="004653F7"/>
    <w:rsid w:val="0049032B"/>
    <w:rsid w:val="00491470"/>
    <w:rsid w:val="00493EC3"/>
    <w:rsid w:val="004A4B38"/>
    <w:rsid w:val="004A7B0D"/>
    <w:rsid w:val="004B4C92"/>
    <w:rsid w:val="004C2BF7"/>
    <w:rsid w:val="004D35B9"/>
    <w:rsid w:val="004D3E5F"/>
    <w:rsid w:val="004D4045"/>
    <w:rsid w:val="004E4FB9"/>
    <w:rsid w:val="004E6F78"/>
    <w:rsid w:val="004E7DDB"/>
    <w:rsid w:val="004E7F09"/>
    <w:rsid w:val="004F13C4"/>
    <w:rsid w:val="004F3CF7"/>
    <w:rsid w:val="00504019"/>
    <w:rsid w:val="005109AB"/>
    <w:rsid w:val="00515610"/>
    <w:rsid w:val="0052223A"/>
    <w:rsid w:val="00540680"/>
    <w:rsid w:val="00541DF4"/>
    <w:rsid w:val="00543917"/>
    <w:rsid w:val="00543960"/>
    <w:rsid w:val="0054592C"/>
    <w:rsid w:val="00546A05"/>
    <w:rsid w:val="005519A6"/>
    <w:rsid w:val="00552A42"/>
    <w:rsid w:val="0058246D"/>
    <w:rsid w:val="00587603"/>
    <w:rsid w:val="005A1790"/>
    <w:rsid w:val="005B1668"/>
    <w:rsid w:val="005C4A32"/>
    <w:rsid w:val="005C6F08"/>
    <w:rsid w:val="005D01CB"/>
    <w:rsid w:val="005D0CF3"/>
    <w:rsid w:val="005F56A5"/>
    <w:rsid w:val="005F712C"/>
    <w:rsid w:val="00612A8E"/>
    <w:rsid w:val="006250C2"/>
    <w:rsid w:val="00635396"/>
    <w:rsid w:val="00635BA8"/>
    <w:rsid w:val="00637A11"/>
    <w:rsid w:val="0065708F"/>
    <w:rsid w:val="006570B2"/>
    <w:rsid w:val="00662AD1"/>
    <w:rsid w:val="00676162"/>
    <w:rsid w:val="006822D9"/>
    <w:rsid w:val="00690A8B"/>
    <w:rsid w:val="0069412F"/>
    <w:rsid w:val="006A255D"/>
    <w:rsid w:val="006A3F8E"/>
    <w:rsid w:val="006B0CB7"/>
    <w:rsid w:val="006B6D96"/>
    <w:rsid w:val="006C5429"/>
    <w:rsid w:val="006F3ABF"/>
    <w:rsid w:val="006F4AFD"/>
    <w:rsid w:val="006F7836"/>
    <w:rsid w:val="006F7E69"/>
    <w:rsid w:val="00710607"/>
    <w:rsid w:val="007106EB"/>
    <w:rsid w:val="007111A7"/>
    <w:rsid w:val="00715B26"/>
    <w:rsid w:val="00724906"/>
    <w:rsid w:val="00727933"/>
    <w:rsid w:val="00737449"/>
    <w:rsid w:val="00740890"/>
    <w:rsid w:val="00744D75"/>
    <w:rsid w:val="0075108E"/>
    <w:rsid w:val="007524F9"/>
    <w:rsid w:val="007561CB"/>
    <w:rsid w:val="007609D9"/>
    <w:rsid w:val="00761959"/>
    <w:rsid w:val="0076523C"/>
    <w:rsid w:val="007672C2"/>
    <w:rsid w:val="00773D5D"/>
    <w:rsid w:val="00774D8A"/>
    <w:rsid w:val="00782B54"/>
    <w:rsid w:val="007838DF"/>
    <w:rsid w:val="007909DC"/>
    <w:rsid w:val="007B6693"/>
    <w:rsid w:val="007C725B"/>
    <w:rsid w:val="007D3692"/>
    <w:rsid w:val="007E433A"/>
    <w:rsid w:val="007F455C"/>
    <w:rsid w:val="007F5771"/>
    <w:rsid w:val="0080616F"/>
    <w:rsid w:val="0081634A"/>
    <w:rsid w:val="00822CA8"/>
    <w:rsid w:val="00840BD9"/>
    <w:rsid w:val="00847A49"/>
    <w:rsid w:val="00851A54"/>
    <w:rsid w:val="00852BF1"/>
    <w:rsid w:val="008557FC"/>
    <w:rsid w:val="00861AD7"/>
    <w:rsid w:val="00866704"/>
    <w:rsid w:val="00875A73"/>
    <w:rsid w:val="00877D07"/>
    <w:rsid w:val="008904C5"/>
    <w:rsid w:val="00893B02"/>
    <w:rsid w:val="008959CA"/>
    <w:rsid w:val="008972A7"/>
    <w:rsid w:val="008A73C1"/>
    <w:rsid w:val="008B0E9F"/>
    <w:rsid w:val="008B16B8"/>
    <w:rsid w:val="008B4F92"/>
    <w:rsid w:val="008B769C"/>
    <w:rsid w:val="008C19E2"/>
    <w:rsid w:val="008C2C47"/>
    <w:rsid w:val="008D3ECB"/>
    <w:rsid w:val="008D622B"/>
    <w:rsid w:val="008D781A"/>
    <w:rsid w:val="008E570F"/>
    <w:rsid w:val="008E5F23"/>
    <w:rsid w:val="008F08B1"/>
    <w:rsid w:val="008F23A5"/>
    <w:rsid w:val="008F4053"/>
    <w:rsid w:val="008F50BE"/>
    <w:rsid w:val="008F74F5"/>
    <w:rsid w:val="00907370"/>
    <w:rsid w:val="00915753"/>
    <w:rsid w:val="00935C28"/>
    <w:rsid w:val="009423A5"/>
    <w:rsid w:val="00942941"/>
    <w:rsid w:val="00942EFC"/>
    <w:rsid w:val="00943B7C"/>
    <w:rsid w:val="00950670"/>
    <w:rsid w:val="009522AD"/>
    <w:rsid w:val="0096605A"/>
    <w:rsid w:val="00970B43"/>
    <w:rsid w:val="009757C1"/>
    <w:rsid w:val="00997145"/>
    <w:rsid w:val="009B13A6"/>
    <w:rsid w:val="009D14B7"/>
    <w:rsid w:val="009E1D33"/>
    <w:rsid w:val="00A11A31"/>
    <w:rsid w:val="00A12350"/>
    <w:rsid w:val="00A17DEE"/>
    <w:rsid w:val="00A20866"/>
    <w:rsid w:val="00A22B18"/>
    <w:rsid w:val="00A41C43"/>
    <w:rsid w:val="00A433C9"/>
    <w:rsid w:val="00A445ED"/>
    <w:rsid w:val="00A50A21"/>
    <w:rsid w:val="00A51667"/>
    <w:rsid w:val="00A62DAB"/>
    <w:rsid w:val="00A63ADF"/>
    <w:rsid w:val="00A65DBA"/>
    <w:rsid w:val="00A66595"/>
    <w:rsid w:val="00A766FD"/>
    <w:rsid w:val="00A811C0"/>
    <w:rsid w:val="00A96ECF"/>
    <w:rsid w:val="00A97FE6"/>
    <w:rsid w:val="00AA195C"/>
    <w:rsid w:val="00AA1D22"/>
    <w:rsid w:val="00AA5FA6"/>
    <w:rsid w:val="00AB2D47"/>
    <w:rsid w:val="00AB495A"/>
    <w:rsid w:val="00AB6BF0"/>
    <w:rsid w:val="00AC2FB3"/>
    <w:rsid w:val="00AC4196"/>
    <w:rsid w:val="00AD12B6"/>
    <w:rsid w:val="00AD6423"/>
    <w:rsid w:val="00AE3982"/>
    <w:rsid w:val="00AE41FF"/>
    <w:rsid w:val="00AE58AB"/>
    <w:rsid w:val="00AF13BE"/>
    <w:rsid w:val="00AF1A7A"/>
    <w:rsid w:val="00AF7046"/>
    <w:rsid w:val="00B02942"/>
    <w:rsid w:val="00B059AA"/>
    <w:rsid w:val="00B12AE2"/>
    <w:rsid w:val="00B16987"/>
    <w:rsid w:val="00B25753"/>
    <w:rsid w:val="00B26E9F"/>
    <w:rsid w:val="00B32D03"/>
    <w:rsid w:val="00B44EFE"/>
    <w:rsid w:val="00B535A7"/>
    <w:rsid w:val="00B55744"/>
    <w:rsid w:val="00B64396"/>
    <w:rsid w:val="00B91B4D"/>
    <w:rsid w:val="00B976D8"/>
    <w:rsid w:val="00B9788E"/>
    <w:rsid w:val="00BA379E"/>
    <w:rsid w:val="00BB13D9"/>
    <w:rsid w:val="00BB5AB7"/>
    <w:rsid w:val="00BC38E1"/>
    <w:rsid w:val="00BD3819"/>
    <w:rsid w:val="00BD5A25"/>
    <w:rsid w:val="00C2177D"/>
    <w:rsid w:val="00C22E9D"/>
    <w:rsid w:val="00C36067"/>
    <w:rsid w:val="00C54D4B"/>
    <w:rsid w:val="00C57613"/>
    <w:rsid w:val="00C6271A"/>
    <w:rsid w:val="00C63CB5"/>
    <w:rsid w:val="00C91FC8"/>
    <w:rsid w:val="00C932F3"/>
    <w:rsid w:val="00C95992"/>
    <w:rsid w:val="00C975A4"/>
    <w:rsid w:val="00CA0BF0"/>
    <w:rsid w:val="00CA306C"/>
    <w:rsid w:val="00CB179F"/>
    <w:rsid w:val="00CB1B05"/>
    <w:rsid w:val="00CB2C99"/>
    <w:rsid w:val="00CB5244"/>
    <w:rsid w:val="00CC07ED"/>
    <w:rsid w:val="00CE6990"/>
    <w:rsid w:val="00CF62D0"/>
    <w:rsid w:val="00D1062C"/>
    <w:rsid w:val="00D11F64"/>
    <w:rsid w:val="00D27DDA"/>
    <w:rsid w:val="00D34342"/>
    <w:rsid w:val="00D35D47"/>
    <w:rsid w:val="00D37BCF"/>
    <w:rsid w:val="00D45220"/>
    <w:rsid w:val="00D52D00"/>
    <w:rsid w:val="00D53893"/>
    <w:rsid w:val="00D57F70"/>
    <w:rsid w:val="00D651FB"/>
    <w:rsid w:val="00D73361"/>
    <w:rsid w:val="00D772DE"/>
    <w:rsid w:val="00D7793B"/>
    <w:rsid w:val="00D77980"/>
    <w:rsid w:val="00D835CE"/>
    <w:rsid w:val="00D83C2C"/>
    <w:rsid w:val="00D85900"/>
    <w:rsid w:val="00D91712"/>
    <w:rsid w:val="00DA0D09"/>
    <w:rsid w:val="00DA3ED2"/>
    <w:rsid w:val="00DA56F5"/>
    <w:rsid w:val="00DB010C"/>
    <w:rsid w:val="00DB290F"/>
    <w:rsid w:val="00DB3DE8"/>
    <w:rsid w:val="00DB7433"/>
    <w:rsid w:val="00DC3E58"/>
    <w:rsid w:val="00DD1C29"/>
    <w:rsid w:val="00DD27DF"/>
    <w:rsid w:val="00DE5DD9"/>
    <w:rsid w:val="00DE78AC"/>
    <w:rsid w:val="00DF0D16"/>
    <w:rsid w:val="00DF254E"/>
    <w:rsid w:val="00DF7658"/>
    <w:rsid w:val="00E02CF4"/>
    <w:rsid w:val="00E15C12"/>
    <w:rsid w:val="00E1657B"/>
    <w:rsid w:val="00E33D65"/>
    <w:rsid w:val="00E35A85"/>
    <w:rsid w:val="00E35FEF"/>
    <w:rsid w:val="00E50B3D"/>
    <w:rsid w:val="00E5427F"/>
    <w:rsid w:val="00E54F77"/>
    <w:rsid w:val="00E61A0A"/>
    <w:rsid w:val="00E814D8"/>
    <w:rsid w:val="00E8234D"/>
    <w:rsid w:val="00E87EA0"/>
    <w:rsid w:val="00E967ED"/>
    <w:rsid w:val="00E96A25"/>
    <w:rsid w:val="00EA002D"/>
    <w:rsid w:val="00EA4FA7"/>
    <w:rsid w:val="00EA7F95"/>
    <w:rsid w:val="00EC0055"/>
    <w:rsid w:val="00EC56A8"/>
    <w:rsid w:val="00EC71F3"/>
    <w:rsid w:val="00ED0923"/>
    <w:rsid w:val="00ED1E53"/>
    <w:rsid w:val="00ED7354"/>
    <w:rsid w:val="00ED7FE3"/>
    <w:rsid w:val="00EE1A1C"/>
    <w:rsid w:val="00EE750D"/>
    <w:rsid w:val="00EF3354"/>
    <w:rsid w:val="00EF435E"/>
    <w:rsid w:val="00F002A7"/>
    <w:rsid w:val="00F00CCD"/>
    <w:rsid w:val="00F03EEC"/>
    <w:rsid w:val="00F10CE3"/>
    <w:rsid w:val="00F14D63"/>
    <w:rsid w:val="00F23140"/>
    <w:rsid w:val="00F23ADA"/>
    <w:rsid w:val="00F24DC7"/>
    <w:rsid w:val="00F2631B"/>
    <w:rsid w:val="00F26403"/>
    <w:rsid w:val="00F26CE9"/>
    <w:rsid w:val="00F27155"/>
    <w:rsid w:val="00F34211"/>
    <w:rsid w:val="00F356FB"/>
    <w:rsid w:val="00F40B3A"/>
    <w:rsid w:val="00F42D7A"/>
    <w:rsid w:val="00F60D6D"/>
    <w:rsid w:val="00F72759"/>
    <w:rsid w:val="00F75D0B"/>
    <w:rsid w:val="00F77D34"/>
    <w:rsid w:val="00F837EC"/>
    <w:rsid w:val="00F84035"/>
    <w:rsid w:val="00F86E2D"/>
    <w:rsid w:val="00F874BC"/>
    <w:rsid w:val="00F9741F"/>
    <w:rsid w:val="00FA3C66"/>
    <w:rsid w:val="00FB3F53"/>
    <w:rsid w:val="00FD1451"/>
    <w:rsid w:val="00FD1B20"/>
    <w:rsid w:val="00FD779E"/>
    <w:rsid w:val="00FE77A0"/>
    <w:rsid w:val="00FF6D6C"/>
    <w:rsid w:val="00FF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6250C2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k-SK" w:eastAsia="cs-CZ"/>
    </w:rPr>
  </w:style>
  <w:style w:type="paragraph" w:styleId="Nadpis2">
    <w:name w:val="heading 2"/>
    <w:basedOn w:val="Normlny"/>
    <w:next w:val="Normlny"/>
    <w:link w:val="Nadpis2Char"/>
    <w:qFormat/>
    <w:rsid w:val="006250C2"/>
    <w:pPr>
      <w:keepNext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sk-SK" w:eastAsia="cs-CZ"/>
    </w:rPr>
  </w:style>
  <w:style w:type="paragraph" w:styleId="Nadpis3">
    <w:name w:val="heading 3"/>
    <w:basedOn w:val="Normlny"/>
    <w:next w:val="Normlny"/>
    <w:link w:val="Nadpis3Char"/>
    <w:qFormat/>
    <w:rsid w:val="006250C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sk-SK" w:eastAsia="cs-CZ"/>
    </w:rPr>
  </w:style>
  <w:style w:type="paragraph" w:styleId="Nadpis4">
    <w:name w:val="heading 4"/>
    <w:basedOn w:val="Normlny"/>
    <w:next w:val="Normlny"/>
    <w:link w:val="Nadpis4Char"/>
    <w:qFormat/>
    <w:rsid w:val="006250C2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sk-SK" w:eastAsia="cs-CZ"/>
    </w:rPr>
  </w:style>
  <w:style w:type="paragraph" w:styleId="Nadpis5">
    <w:name w:val="heading 5"/>
    <w:basedOn w:val="Normlny"/>
    <w:next w:val="Normlny"/>
    <w:link w:val="Nadpis5Char"/>
    <w:qFormat/>
    <w:rsid w:val="006250C2"/>
    <w:pPr>
      <w:keepNext/>
      <w:spacing w:before="120" w:line="240" w:lineRule="atLeast"/>
      <w:jc w:val="center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sk-SK" w:eastAsia="cs-CZ"/>
    </w:rPr>
  </w:style>
  <w:style w:type="paragraph" w:styleId="Nadpis6">
    <w:name w:val="heading 6"/>
    <w:basedOn w:val="Normlny"/>
    <w:next w:val="Normlny"/>
    <w:link w:val="Nadpis6Char"/>
    <w:qFormat/>
    <w:rsid w:val="006250C2"/>
    <w:pPr>
      <w:keepNext/>
      <w:jc w:val="both"/>
      <w:outlineLvl w:val="5"/>
    </w:pPr>
    <w:rPr>
      <w:rFonts w:ascii="Times New Roman" w:eastAsia="Times New Roman" w:hAnsi="Times New Roman" w:cs="Times New Roman"/>
      <w:b/>
      <w:bCs/>
      <w:sz w:val="22"/>
      <w:szCs w:val="22"/>
      <w:lang w:val="sk-SK" w:eastAsia="cs-CZ"/>
    </w:rPr>
  </w:style>
  <w:style w:type="paragraph" w:styleId="Nadpis7">
    <w:name w:val="heading 7"/>
    <w:basedOn w:val="Normlny"/>
    <w:next w:val="Normlny"/>
    <w:link w:val="Nadpis7Char"/>
    <w:qFormat/>
    <w:rsid w:val="006250C2"/>
    <w:pPr>
      <w:keepNext/>
      <w:outlineLvl w:val="6"/>
    </w:pPr>
    <w:rPr>
      <w:rFonts w:ascii="Times New Roman" w:eastAsia="Times New Roman" w:hAnsi="Times New Roman" w:cs="Times New Roman"/>
      <w:lang w:val="sk-SK" w:eastAsia="cs-CZ"/>
    </w:rPr>
  </w:style>
  <w:style w:type="paragraph" w:styleId="Nadpis8">
    <w:name w:val="heading 8"/>
    <w:basedOn w:val="Normlny"/>
    <w:next w:val="Normlny"/>
    <w:link w:val="Nadpis8Char"/>
    <w:qFormat/>
    <w:rsid w:val="006250C2"/>
    <w:pPr>
      <w:keepNext/>
      <w:jc w:val="both"/>
      <w:outlineLvl w:val="7"/>
    </w:pPr>
    <w:rPr>
      <w:rFonts w:ascii="Times New Roman" w:eastAsia="Times New Roman" w:hAnsi="Times New Roman" w:cs="Times New Roman"/>
      <w:i/>
      <w:iCs/>
      <w:lang w:val="sk-SK" w:eastAsia="cs-CZ"/>
    </w:rPr>
  </w:style>
  <w:style w:type="paragraph" w:styleId="Nadpis9">
    <w:name w:val="heading 9"/>
    <w:basedOn w:val="Normlny"/>
    <w:next w:val="Normlny"/>
    <w:link w:val="Nadpis9Char"/>
    <w:qFormat/>
    <w:rsid w:val="006250C2"/>
    <w:pPr>
      <w:keepNext/>
      <w:jc w:val="both"/>
      <w:outlineLvl w:val="8"/>
    </w:pPr>
    <w:rPr>
      <w:rFonts w:ascii="Arial" w:eastAsia="Times New Roman" w:hAnsi="Arial" w:cs="Arial"/>
      <w:sz w:val="22"/>
      <w:szCs w:val="22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character" w:customStyle="1" w:styleId="Nadpis1Char">
    <w:name w:val="Nadpis 1 Char"/>
    <w:basedOn w:val="Predvolenpsmoodseku"/>
    <w:link w:val="Nadpis1"/>
    <w:rsid w:val="006250C2"/>
    <w:rPr>
      <w:rFonts w:ascii="Arial" w:eastAsia="Times New Roman" w:hAnsi="Arial" w:cs="Arial"/>
      <w:b/>
      <w:bCs/>
      <w:kern w:val="32"/>
      <w:sz w:val="32"/>
      <w:szCs w:val="32"/>
      <w:lang w:val="sk-SK" w:eastAsia="cs-CZ"/>
    </w:rPr>
  </w:style>
  <w:style w:type="character" w:customStyle="1" w:styleId="Nadpis2Char">
    <w:name w:val="Nadpis 2 Char"/>
    <w:basedOn w:val="Predvolenpsmoodseku"/>
    <w:link w:val="Nadpis2"/>
    <w:rsid w:val="006250C2"/>
    <w:rPr>
      <w:rFonts w:ascii="Arial" w:eastAsia="Times New Roman" w:hAnsi="Arial" w:cs="Arial"/>
      <w:b/>
      <w:bCs/>
      <w:i/>
      <w:iCs/>
      <w:sz w:val="28"/>
      <w:szCs w:val="28"/>
      <w:lang w:val="sk-SK" w:eastAsia="cs-CZ"/>
    </w:rPr>
  </w:style>
  <w:style w:type="character" w:customStyle="1" w:styleId="Nadpis3Char">
    <w:name w:val="Nadpis 3 Char"/>
    <w:basedOn w:val="Predvolenpsmoodseku"/>
    <w:link w:val="Nadpis3"/>
    <w:rsid w:val="006250C2"/>
    <w:rPr>
      <w:rFonts w:ascii="Arial" w:eastAsia="Times New Roman" w:hAnsi="Arial" w:cs="Arial"/>
      <w:b/>
      <w:bCs/>
      <w:sz w:val="26"/>
      <w:szCs w:val="26"/>
      <w:lang w:val="sk-SK" w:eastAsia="cs-CZ"/>
    </w:rPr>
  </w:style>
  <w:style w:type="character" w:customStyle="1" w:styleId="Nadpis4Char">
    <w:name w:val="Nadpis 4 Char"/>
    <w:basedOn w:val="Predvolenpsmoodseku"/>
    <w:link w:val="Nadpis4"/>
    <w:rsid w:val="006250C2"/>
    <w:rPr>
      <w:rFonts w:ascii="Times New Roman" w:eastAsia="Times New Roman" w:hAnsi="Times New Roman" w:cs="Times New Roman"/>
      <w:b/>
      <w:bCs/>
      <w:sz w:val="28"/>
      <w:szCs w:val="28"/>
      <w:lang w:val="sk-SK" w:eastAsia="cs-CZ"/>
    </w:rPr>
  </w:style>
  <w:style w:type="character" w:customStyle="1" w:styleId="Nadpis5Char">
    <w:name w:val="Nadpis 5 Char"/>
    <w:basedOn w:val="Predvolenpsmoodseku"/>
    <w:link w:val="Nadpis5"/>
    <w:rsid w:val="006250C2"/>
    <w:rPr>
      <w:rFonts w:ascii="Times New Roman" w:eastAsia="Times New Roman" w:hAnsi="Times New Roman" w:cs="Times New Roman"/>
      <w:b/>
      <w:bCs/>
      <w:i/>
      <w:iCs/>
      <w:sz w:val="26"/>
      <w:szCs w:val="26"/>
      <w:lang w:val="sk-SK" w:eastAsia="cs-CZ"/>
    </w:rPr>
  </w:style>
  <w:style w:type="character" w:customStyle="1" w:styleId="Nadpis6Char">
    <w:name w:val="Nadpis 6 Char"/>
    <w:basedOn w:val="Predvolenpsmoodseku"/>
    <w:link w:val="Nadpis6"/>
    <w:rsid w:val="006250C2"/>
    <w:rPr>
      <w:rFonts w:ascii="Times New Roman" w:eastAsia="Times New Roman" w:hAnsi="Times New Roman" w:cs="Times New Roman"/>
      <w:b/>
      <w:bCs/>
      <w:sz w:val="22"/>
      <w:szCs w:val="22"/>
      <w:lang w:val="sk-SK" w:eastAsia="cs-CZ"/>
    </w:rPr>
  </w:style>
  <w:style w:type="character" w:customStyle="1" w:styleId="Nadpis7Char">
    <w:name w:val="Nadpis 7 Char"/>
    <w:basedOn w:val="Predvolenpsmoodseku"/>
    <w:link w:val="Nadpis7"/>
    <w:rsid w:val="006250C2"/>
    <w:rPr>
      <w:rFonts w:ascii="Times New Roman" w:eastAsia="Times New Roman" w:hAnsi="Times New Roman" w:cs="Times New Roman"/>
      <w:lang w:val="sk-SK" w:eastAsia="cs-CZ"/>
    </w:rPr>
  </w:style>
  <w:style w:type="character" w:customStyle="1" w:styleId="Nadpis8Char">
    <w:name w:val="Nadpis 8 Char"/>
    <w:basedOn w:val="Predvolenpsmoodseku"/>
    <w:link w:val="Nadpis8"/>
    <w:rsid w:val="006250C2"/>
    <w:rPr>
      <w:rFonts w:ascii="Times New Roman" w:eastAsia="Times New Roman" w:hAnsi="Times New Roman" w:cs="Times New Roman"/>
      <w:i/>
      <w:iCs/>
      <w:lang w:val="sk-SK" w:eastAsia="cs-CZ"/>
    </w:rPr>
  </w:style>
  <w:style w:type="character" w:customStyle="1" w:styleId="Nadpis9Char">
    <w:name w:val="Nadpis 9 Char"/>
    <w:basedOn w:val="Predvolenpsmoodseku"/>
    <w:link w:val="Nadpis9"/>
    <w:rsid w:val="006250C2"/>
    <w:rPr>
      <w:rFonts w:ascii="Arial" w:eastAsia="Times New Roman" w:hAnsi="Arial" w:cs="Arial"/>
      <w:sz w:val="22"/>
      <w:szCs w:val="22"/>
      <w:lang w:val="sk-SK" w:eastAsia="cs-CZ"/>
    </w:rPr>
  </w:style>
  <w:style w:type="paragraph" w:styleId="Zarkazkladnhotextu2">
    <w:name w:val="Body Text Indent 2"/>
    <w:basedOn w:val="Normlny"/>
    <w:link w:val="Zarkazkladnhotextu2Char"/>
    <w:rsid w:val="006250C2"/>
    <w:pPr>
      <w:spacing w:before="120" w:line="240" w:lineRule="atLeast"/>
      <w:ind w:left="567"/>
      <w:jc w:val="both"/>
    </w:pPr>
    <w:rPr>
      <w:rFonts w:ascii="Times New Roman" w:eastAsia="Times New Roman" w:hAnsi="Times New Roman" w:cs="Times New Roman"/>
      <w:lang w:val="sk-SK"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6250C2"/>
    <w:rPr>
      <w:rFonts w:ascii="Times New Roman" w:eastAsia="Times New Roman" w:hAnsi="Times New Roman" w:cs="Times New Roman"/>
      <w:lang w:val="sk-SK" w:eastAsia="cs-CZ"/>
    </w:rPr>
  </w:style>
  <w:style w:type="paragraph" w:styleId="Zarkazkladnhotextu">
    <w:name w:val="Body Text Indent"/>
    <w:basedOn w:val="Normlny"/>
    <w:link w:val="ZarkazkladnhotextuChar"/>
    <w:rsid w:val="006250C2"/>
    <w:pPr>
      <w:ind w:left="851" w:hanging="142"/>
      <w:jc w:val="both"/>
    </w:pPr>
    <w:rPr>
      <w:rFonts w:ascii="Times New Roman" w:eastAsia="Times New Roman" w:hAnsi="Times New Roman" w:cs="Times New Roman"/>
      <w:lang w:val="sk-SK"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6250C2"/>
    <w:rPr>
      <w:rFonts w:ascii="Times New Roman" w:eastAsia="Times New Roman" w:hAnsi="Times New Roman" w:cs="Times New Roman"/>
      <w:lang w:val="sk-SK" w:eastAsia="cs-CZ"/>
    </w:rPr>
  </w:style>
  <w:style w:type="paragraph" w:styleId="Zarkazkladnhotextu3">
    <w:name w:val="Body Text Indent 3"/>
    <w:basedOn w:val="Normlny"/>
    <w:link w:val="Zarkazkladnhotextu3Char"/>
    <w:rsid w:val="006250C2"/>
    <w:pPr>
      <w:ind w:left="851" w:hanging="851"/>
      <w:jc w:val="both"/>
    </w:pPr>
    <w:rPr>
      <w:rFonts w:ascii="Times New Roman" w:eastAsia="Times New Roman" w:hAnsi="Times New Roman" w:cs="Times New Roman"/>
      <w:lang w:val="sk-SK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6250C2"/>
    <w:rPr>
      <w:rFonts w:ascii="Times New Roman" w:eastAsia="Times New Roman" w:hAnsi="Times New Roman" w:cs="Times New Roman"/>
      <w:lang w:val="sk-SK" w:eastAsia="cs-CZ"/>
    </w:rPr>
  </w:style>
  <w:style w:type="paragraph" w:styleId="Odsekzoznamu">
    <w:name w:val="List Paragraph"/>
    <w:basedOn w:val="Normlny"/>
    <w:uiPriority w:val="34"/>
    <w:qFormat/>
    <w:rsid w:val="006250C2"/>
    <w:pPr>
      <w:ind w:left="708"/>
    </w:pPr>
    <w:rPr>
      <w:rFonts w:ascii="Times New Roman" w:eastAsia="Times New Roman" w:hAnsi="Times New Roman" w:cs="Times New Roman"/>
      <w:lang w:val="sk-SK" w:eastAsia="cs-CZ"/>
    </w:rPr>
  </w:style>
  <w:style w:type="paragraph" w:styleId="Zkladntext">
    <w:name w:val="Body Text"/>
    <w:basedOn w:val="Normlny"/>
    <w:link w:val="ZkladntextChar"/>
    <w:uiPriority w:val="99"/>
    <w:unhideWhenUsed/>
    <w:rsid w:val="00D7793B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D7793B"/>
  </w:style>
  <w:style w:type="table" w:styleId="Mriekatabuky">
    <w:name w:val="Table Grid"/>
    <w:basedOn w:val="Normlnatabuka"/>
    <w:rsid w:val="00D7793B"/>
    <w:rPr>
      <w:rFonts w:ascii="Times New Roman" w:eastAsia="Times New Roman" w:hAnsi="Times New Roman" w:cs="Times New Roman"/>
      <w:sz w:val="20"/>
      <w:szCs w:val="20"/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6250C2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k-SK" w:eastAsia="cs-CZ"/>
    </w:rPr>
  </w:style>
  <w:style w:type="paragraph" w:styleId="Nadpis2">
    <w:name w:val="heading 2"/>
    <w:basedOn w:val="Normlny"/>
    <w:next w:val="Normlny"/>
    <w:link w:val="Nadpis2Char"/>
    <w:qFormat/>
    <w:rsid w:val="006250C2"/>
    <w:pPr>
      <w:keepNext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sk-SK" w:eastAsia="cs-CZ"/>
    </w:rPr>
  </w:style>
  <w:style w:type="paragraph" w:styleId="Nadpis3">
    <w:name w:val="heading 3"/>
    <w:basedOn w:val="Normlny"/>
    <w:next w:val="Normlny"/>
    <w:link w:val="Nadpis3Char"/>
    <w:qFormat/>
    <w:rsid w:val="006250C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sk-SK" w:eastAsia="cs-CZ"/>
    </w:rPr>
  </w:style>
  <w:style w:type="paragraph" w:styleId="Nadpis4">
    <w:name w:val="heading 4"/>
    <w:basedOn w:val="Normlny"/>
    <w:next w:val="Normlny"/>
    <w:link w:val="Nadpis4Char"/>
    <w:qFormat/>
    <w:rsid w:val="006250C2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sk-SK" w:eastAsia="cs-CZ"/>
    </w:rPr>
  </w:style>
  <w:style w:type="paragraph" w:styleId="Nadpis5">
    <w:name w:val="heading 5"/>
    <w:basedOn w:val="Normlny"/>
    <w:next w:val="Normlny"/>
    <w:link w:val="Nadpis5Char"/>
    <w:qFormat/>
    <w:rsid w:val="006250C2"/>
    <w:pPr>
      <w:keepNext/>
      <w:spacing w:before="120" w:line="240" w:lineRule="atLeast"/>
      <w:jc w:val="center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sk-SK" w:eastAsia="cs-CZ"/>
    </w:rPr>
  </w:style>
  <w:style w:type="paragraph" w:styleId="Nadpis6">
    <w:name w:val="heading 6"/>
    <w:basedOn w:val="Normlny"/>
    <w:next w:val="Normlny"/>
    <w:link w:val="Nadpis6Char"/>
    <w:qFormat/>
    <w:rsid w:val="006250C2"/>
    <w:pPr>
      <w:keepNext/>
      <w:jc w:val="both"/>
      <w:outlineLvl w:val="5"/>
    </w:pPr>
    <w:rPr>
      <w:rFonts w:ascii="Times New Roman" w:eastAsia="Times New Roman" w:hAnsi="Times New Roman" w:cs="Times New Roman"/>
      <w:b/>
      <w:bCs/>
      <w:sz w:val="22"/>
      <w:szCs w:val="22"/>
      <w:lang w:val="sk-SK" w:eastAsia="cs-CZ"/>
    </w:rPr>
  </w:style>
  <w:style w:type="paragraph" w:styleId="Nadpis7">
    <w:name w:val="heading 7"/>
    <w:basedOn w:val="Normlny"/>
    <w:next w:val="Normlny"/>
    <w:link w:val="Nadpis7Char"/>
    <w:qFormat/>
    <w:rsid w:val="006250C2"/>
    <w:pPr>
      <w:keepNext/>
      <w:outlineLvl w:val="6"/>
    </w:pPr>
    <w:rPr>
      <w:rFonts w:ascii="Times New Roman" w:eastAsia="Times New Roman" w:hAnsi="Times New Roman" w:cs="Times New Roman"/>
      <w:lang w:val="sk-SK" w:eastAsia="cs-CZ"/>
    </w:rPr>
  </w:style>
  <w:style w:type="paragraph" w:styleId="Nadpis8">
    <w:name w:val="heading 8"/>
    <w:basedOn w:val="Normlny"/>
    <w:next w:val="Normlny"/>
    <w:link w:val="Nadpis8Char"/>
    <w:qFormat/>
    <w:rsid w:val="006250C2"/>
    <w:pPr>
      <w:keepNext/>
      <w:jc w:val="both"/>
      <w:outlineLvl w:val="7"/>
    </w:pPr>
    <w:rPr>
      <w:rFonts w:ascii="Times New Roman" w:eastAsia="Times New Roman" w:hAnsi="Times New Roman" w:cs="Times New Roman"/>
      <w:i/>
      <w:iCs/>
      <w:lang w:val="sk-SK" w:eastAsia="cs-CZ"/>
    </w:rPr>
  </w:style>
  <w:style w:type="paragraph" w:styleId="Nadpis9">
    <w:name w:val="heading 9"/>
    <w:basedOn w:val="Normlny"/>
    <w:next w:val="Normlny"/>
    <w:link w:val="Nadpis9Char"/>
    <w:qFormat/>
    <w:rsid w:val="006250C2"/>
    <w:pPr>
      <w:keepNext/>
      <w:jc w:val="both"/>
      <w:outlineLvl w:val="8"/>
    </w:pPr>
    <w:rPr>
      <w:rFonts w:ascii="Arial" w:eastAsia="Times New Roman" w:hAnsi="Arial" w:cs="Arial"/>
      <w:sz w:val="22"/>
      <w:szCs w:val="22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character" w:customStyle="1" w:styleId="Nadpis1Char">
    <w:name w:val="Nadpis 1 Char"/>
    <w:basedOn w:val="Predvolenpsmoodseku"/>
    <w:link w:val="Nadpis1"/>
    <w:rsid w:val="006250C2"/>
    <w:rPr>
      <w:rFonts w:ascii="Arial" w:eastAsia="Times New Roman" w:hAnsi="Arial" w:cs="Arial"/>
      <w:b/>
      <w:bCs/>
      <w:kern w:val="32"/>
      <w:sz w:val="32"/>
      <w:szCs w:val="32"/>
      <w:lang w:val="sk-SK" w:eastAsia="cs-CZ"/>
    </w:rPr>
  </w:style>
  <w:style w:type="character" w:customStyle="1" w:styleId="Nadpis2Char">
    <w:name w:val="Nadpis 2 Char"/>
    <w:basedOn w:val="Predvolenpsmoodseku"/>
    <w:link w:val="Nadpis2"/>
    <w:rsid w:val="006250C2"/>
    <w:rPr>
      <w:rFonts w:ascii="Arial" w:eastAsia="Times New Roman" w:hAnsi="Arial" w:cs="Arial"/>
      <w:b/>
      <w:bCs/>
      <w:i/>
      <w:iCs/>
      <w:sz w:val="28"/>
      <w:szCs w:val="28"/>
      <w:lang w:val="sk-SK" w:eastAsia="cs-CZ"/>
    </w:rPr>
  </w:style>
  <w:style w:type="character" w:customStyle="1" w:styleId="Nadpis3Char">
    <w:name w:val="Nadpis 3 Char"/>
    <w:basedOn w:val="Predvolenpsmoodseku"/>
    <w:link w:val="Nadpis3"/>
    <w:rsid w:val="006250C2"/>
    <w:rPr>
      <w:rFonts w:ascii="Arial" w:eastAsia="Times New Roman" w:hAnsi="Arial" w:cs="Arial"/>
      <w:b/>
      <w:bCs/>
      <w:sz w:val="26"/>
      <w:szCs w:val="26"/>
      <w:lang w:val="sk-SK" w:eastAsia="cs-CZ"/>
    </w:rPr>
  </w:style>
  <w:style w:type="character" w:customStyle="1" w:styleId="Nadpis4Char">
    <w:name w:val="Nadpis 4 Char"/>
    <w:basedOn w:val="Predvolenpsmoodseku"/>
    <w:link w:val="Nadpis4"/>
    <w:rsid w:val="006250C2"/>
    <w:rPr>
      <w:rFonts w:ascii="Times New Roman" w:eastAsia="Times New Roman" w:hAnsi="Times New Roman" w:cs="Times New Roman"/>
      <w:b/>
      <w:bCs/>
      <w:sz w:val="28"/>
      <w:szCs w:val="28"/>
      <w:lang w:val="sk-SK" w:eastAsia="cs-CZ"/>
    </w:rPr>
  </w:style>
  <w:style w:type="character" w:customStyle="1" w:styleId="Nadpis5Char">
    <w:name w:val="Nadpis 5 Char"/>
    <w:basedOn w:val="Predvolenpsmoodseku"/>
    <w:link w:val="Nadpis5"/>
    <w:rsid w:val="006250C2"/>
    <w:rPr>
      <w:rFonts w:ascii="Times New Roman" w:eastAsia="Times New Roman" w:hAnsi="Times New Roman" w:cs="Times New Roman"/>
      <w:b/>
      <w:bCs/>
      <w:i/>
      <w:iCs/>
      <w:sz w:val="26"/>
      <w:szCs w:val="26"/>
      <w:lang w:val="sk-SK" w:eastAsia="cs-CZ"/>
    </w:rPr>
  </w:style>
  <w:style w:type="character" w:customStyle="1" w:styleId="Nadpis6Char">
    <w:name w:val="Nadpis 6 Char"/>
    <w:basedOn w:val="Predvolenpsmoodseku"/>
    <w:link w:val="Nadpis6"/>
    <w:rsid w:val="006250C2"/>
    <w:rPr>
      <w:rFonts w:ascii="Times New Roman" w:eastAsia="Times New Roman" w:hAnsi="Times New Roman" w:cs="Times New Roman"/>
      <w:b/>
      <w:bCs/>
      <w:sz w:val="22"/>
      <w:szCs w:val="22"/>
      <w:lang w:val="sk-SK" w:eastAsia="cs-CZ"/>
    </w:rPr>
  </w:style>
  <w:style w:type="character" w:customStyle="1" w:styleId="Nadpis7Char">
    <w:name w:val="Nadpis 7 Char"/>
    <w:basedOn w:val="Predvolenpsmoodseku"/>
    <w:link w:val="Nadpis7"/>
    <w:rsid w:val="006250C2"/>
    <w:rPr>
      <w:rFonts w:ascii="Times New Roman" w:eastAsia="Times New Roman" w:hAnsi="Times New Roman" w:cs="Times New Roman"/>
      <w:lang w:val="sk-SK" w:eastAsia="cs-CZ"/>
    </w:rPr>
  </w:style>
  <w:style w:type="character" w:customStyle="1" w:styleId="Nadpis8Char">
    <w:name w:val="Nadpis 8 Char"/>
    <w:basedOn w:val="Predvolenpsmoodseku"/>
    <w:link w:val="Nadpis8"/>
    <w:rsid w:val="006250C2"/>
    <w:rPr>
      <w:rFonts w:ascii="Times New Roman" w:eastAsia="Times New Roman" w:hAnsi="Times New Roman" w:cs="Times New Roman"/>
      <w:i/>
      <w:iCs/>
      <w:lang w:val="sk-SK" w:eastAsia="cs-CZ"/>
    </w:rPr>
  </w:style>
  <w:style w:type="character" w:customStyle="1" w:styleId="Nadpis9Char">
    <w:name w:val="Nadpis 9 Char"/>
    <w:basedOn w:val="Predvolenpsmoodseku"/>
    <w:link w:val="Nadpis9"/>
    <w:rsid w:val="006250C2"/>
    <w:rPr>
      <w:rFonts w:ascii="Arial" w:eastAsia="Times New Roman" w:hAnsi="Arial" w:cs="Arial"/>
      <w:sz w:val="22"/>
      <w:szCs w:val="22"/>
      <w:lang w:val="sk-SK" w:eastAsia="cs-CZ"/>
    </w:rPr>
  </w:style>
  <w:style w:type="paragraph" w:styleId="Zarkazkladnhotextu2">
    <w:name w:val="Body Text Indent 2"/>
    <w:basedOn w:val="Normlny"/>
    <w:link w:val="Zarkazkladnhotextu2Char"/>
    <w:rsid w:val="006250C2"/>
    <w:pPr>
      <w:spacing w:before="120" w:line="240" w:lineRule="atLeast"/>
      <w:ind w:left="567"/>
      <w:jc w:val="both"/>
    </w:pPr>
    <w:rPr>
      <w:rFonts w:ascii="Times New Roman" w:eastAsia="Times New Roman" w:hAnsi="Times New Roman" w:cs="Times New Roman"/>
      <w:lang w:val="sk-SK"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6250C2"/>
    <w:rPr>
      <w:rFonts w:ascii="Times New Roman" w:eastAsia="Times New Roman" w:hAnsi="Times New Roman" w:cs="Times New Roman"/>
      <w:lang w:val="sk-SK" w:eastAsia="cs-CZ"/>
    </w:rPr>
  </w:style>
  <w:style w:type="paragraph" w:styleId="Zarkazkladnhotextu">
    <w:name w:val="Body Text Indent"/>
    <w:basedOn w:val="Normlny"/>
    <w:link w:val="ZarkazkladnhotextuChar"/>
    <w:rsid w:val="006250C2"/>
    <w:pPr>
      <w:ind w:left="851" w:hanging="142"/>
      <w:jc w:val="both"/>
    </w:pPr>
    <w:rPr>
      <w:rFonts w:ascii="Times New Roman" w:eastAsia="Times New Roman" w:hAnsi="Times New Roman" w:cs="Times New Roman"/>
      <w:lang w:val="sk-SK"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6250C2"/>
    <w:rPr>
      <w:rFonts w:ascii="Times New Roman" w:eastAsia="Times New Roman" w:hAnsi="Times New Roman" w:cs="Times New Roman"/>
      <w:lang w:val="sk-SK" w:eastAsia="cs-CZ"/>
    </w:rPr>
  </w:style>
  <w:style w:type="paragraph" w:styleId="Zarkazkladnhotextu3">
    <w:name w:val="Body Text Indent 3"/>
    <w:basedOn w:val="Normlny"/>
    <w:link w:val="Zarkazkladnhotextu3Char"/>
    <w:rsid w:val="006250C2"/>
    <w:pPr>
      <w:ind w:left="851" w:hanging="851"/>
      <w:jc w:val="both"/>
    </w:pPr>
    <w:rPr>
      <w:rFonts w:ascii="Times New Roman" w:eastAsia="Times New Roman" w:hAnsi="Times New Roman" w:cs="Times New Roman"/>
      <w:lang w:val="sk-SK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6250C2"/>
    <w:rPr>
      <w:rFonts w:ascii="Times New Roman" w:eastAsia="Times New Roman" w:hAnsi="Times New Roman" w:cs="Times New Roman"/>
      <w:lang w:val="sk-SK" w:eastAsia="cs-CZ"/>
    </w:rPr>
  </w:style>
  <w:style w:type="paragraph" w:styleId="Odsekzoznamu">
    <w:name w:val="List Paragraph"/>
    <w:basedOn w:val="Normlny"/>
    <w:uiPriority w:val="34"/>
    <w:qFormat/>
    <w:rsid w:val="006250C2"/>
    <w:pPr>
      <w:ind w:left="708"/>
    </w:pPr>
    <w:rPr>
      <w:rFonts w:ascii="Times New Roman" w:eastAsia="Times New Roman" w:hAnsi="Times New Roman" w:cs="Times New Roman"/>
      <w:lang w:val="sk-SK" w:eastAsia="cs-CZ"/>
    </w:rPr>
  </w:style>
  <w:style w:type="paragraph" w:styleId="Zkladntext">
    <w:name w:val="Body Text"/>
    <w:basedOn w:val="Normlny"/>
    <w:link w:val="ZkladntextChar"/>
    <w:uiPriority w:val="99"/>
    <w:unhideWhenUsed/>
    <w:rsid w:val="00D7793B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D7793B"/>
  </w:style>
  <w:style w:type="table" w:styleId="Mriekatabuky">
    <w:name w:val="Table Grid"/>
    <w:basedOn w:val="Normlnatabuka"/>
    <w:rsid w:val="00D7793B"/>
    <w:rPr>
      <w:rFonts w:ascii="Times New Roman" w:eastAsia="Times New Roman" w:hAnsi="Times New Roman" w:cs="Times New Roman"/>
      <w:sz w:val="20"/>
      <w:szCs w:val="20"/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ktor\Documents\kosielka_gremium_S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A8533B-A9F3-4D56-A1C6-1DA5A6A54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</Template>
  <TotalTime>1</TotalTime>
  <Pages>12</Pages>
  <Words>3481</Words>
  <Characters>19843</Characters>
  <Application>Microsoft Office Word</Application>
  <DocSecurity>0</DocSecurity>
  <Lines>165</Lines>
  <Paragraphs>46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jevcakova</dc:creator>
  <cp:lastModifiedBy>Danekova</cp:lastModifiedBy>
  <cp:revision>2</cp:revision>
  <cp:lastPrinted>2017-05-22T07:27:00Z</cp:lastPrinted>
  <dcterms:created xsi:type="dcterms:W3CDTF">2017-06-06T07:10:00Z</dcterms:created>
  <dcterms:modified xsi:type="dcterms:W3CDTF">2017-06-06T07:10:00Z</dcterms:modified>
</cp:coreProperties>
</file>