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22" w:rsidRDefault="00E64522" w:rsidP="00E64522">
      <w:pPr>
        <w:tabs>
          <w:tab w:val="left" w:pos="1134"/>
        </w:tabs>
        <w:ind w:left="-993" w:firstLine="851"/>
        <w:rPr>
          <w:sz w:val="36"/>
          <w:szCs w:val="36"/>
        </w:rPr>
      </w:pPr>
      <w:bookmarkStart w:id="0" w:name="_GoBack"/>
      <w:bookmarkEnd w:id="0"/>
    </w:p>
    <w:p w:rsidR="00B17210" w:rsidRPr="003C1E34" w:rsidRDefault="00B17210" w:rsidP="00E64522">
      <w:pPr>
        <w:tabs>
          <w:tab w:val="left" w:pos="1134"/>
        </w:tabs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rPr>
          <w:sz w:val="36"/>
          <w:szCs w:val="36"/>
        </w:rPr>
      </w:pPr>
      <w:r w:rsidRPr="003C1E34">
        <w:rPr>
          <w:sz w:val="36"/>
          <w:szCs w:val="36"/>
        </w:rPr>
        <w:t>Akademický senát</w:t>
      </w:r>
      <w:r w:rsidR="00A7221F">
        <w:rPr>
          <w:sz w:val="36"/>
          <w:szCs w:val="36"/>
        </w:rPr>
        <w:t xml:space="preserve"> STU</w:t>
      </w:r>
    </w:p>
    <w:p w:rsidR="00E64522" w:rsidRPr="003C1E34" w:rsidRDefault="0028311E" w:rsidP="00E64522">
      <w:pPr>
        <w:rPr>
          <w:sz w:val="36"/>
          <w:szCs w:val="36"/>
        </w:rPr>
      </w:pPr>
      <w:r>
        <w:rPr>
          <w:sz w:val="36"/>
          <w:szCs w:val="36"/>
        </w:rPr>
        <w:t>28.</w:t>
      </w:r>
      <w:r w:rsidR="007E4379">
        <w:rPr>
          <w:sz w:val="36"/>
          <w:szCs w:val="36"/>
        </w:rPr>
        <w:t xml:space="preserve"> </w:t>
      </w:r>
      <w:r>
        <w:rPr>
          <w:sz w:val="36"/>
          <w:szCs w:val="36"/>
        </w:rPr>
        <w:t>02.</w:t>
      </w:r>
      <w:r w:rsidR="007E4379">
        <w:rPr>
          <w:sz w:val="36"/>
          <w:szCs w:val="36"/>
        </w:rPr>
        <w:t xml:space="preserve"> </w:t>
      </w:r>
      <w:r>
        <w:rPr>
          <w:sz w:val="36"/>
          <w:szCs w:val="36"/>
        </w:rPr>
        <w:t>2022</w:t>
      </w: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>Žiadosť o predchádzajú</w:t>
      </w:r>
      <w:r w:rsidR="00ED726E">
        <w:rPr>
          <w:b/>
          <w:sz w:val="36"/>
          <w:szCs w:val="36"/>
        </w:rPr>
        <w:t>ci písomný súhlas Akademického</w:t>
      </w: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>senátu Slovenskej technickej univerzity na nájom</w:t>
      </w: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 xml:space="preserve">nehnuteľného majetku vo vlastníctve STU 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1826BE" w:rsidRDefault="00E64522" w:rsidP="00E64522">
      <w:pPr>
        <w:tabs>
          <w:tab w:val="left" w:pos="1985"/>
        </w:tabs>
        <w:ind w:left="-993" w:firstLine="851"/>
        <w:rPr>
          <w:b/>
        </w:rPr>
      </w:pPr>
      <w:r w:rsidRPr="00F2404B">
        <w:t>Predkladá:</w:t>
      </w:r>
      <w:r w:rsidRPr="00F2404B">
        <w:tab/>
      </w:r>
      <w:proofErr w:type="spellStart"/>
      <w:r w:rsidR="007E4379">
        <w:rPr>
          <w:b/>
        </w:rPr>
        <w:t>Dr.</w:t>
      </w:r>
      <w:r w:rsidR="001826BE" w:rsidRPr="001826BE">
        <w:rPr>
          <w:b/>
        </w:rPr>
        <w:t>h</w:t>
      </w:r>
      <w:r w:rsidR="007E4379">
        <w:rPr>
          <w:b/>
        </w:rPr>
        <w:t>.</w:t>
      </w:r>
      <w:r w:rsidR="001826BE" w:rsidRPr="001826BE">
        <w:rPr>
          <w:b/>
        </w:rPr>
        <w:t>c</w:t>
      </w:r>
      <w:proofErr w:type="spellEnd"/>
      <w:r w:rsidR="001826BE" w:rsidRPr="001826BE">
        <w:rPr>
          <w:b/>
        </w:rPr>
        <w:t xml:space="preserve">, </w:t>
      </w:r>
      <w:proofErr w:type="spellStart"/>
      <w:r w:rsidR="001826BE" w:rsidRPr="001826BE">
        <w:rPr>
          <w:b/>
        </w:rPr>
        <w:t>prof.h</w:t>
      </w:r>
      <w:r w:rsidR="007E4379">
        <w:rPr>
          <w:b/>
        </w:rPr>
        <w:t>.</w:t>
      </w:r>
      <w:r w:rsidR="001826BE" w:rsidRPr="001826BE">
        <w:rPr>
          <w:b/>
        </w:rPr>
        <w:t>c</w:t>
      </w:r>
      <w:proofErr w:type="spellEnd"/>
      <w:r w:rsidR="007E4379">
        <w:rPr>
          <w:b/>
        </w:rPr>
        <w:t>.</w:t>
      </w:r>
      <w:r w:rsidR="001826BE" w:rsidRPr="001826BE">
        <w:rPr>
          <w:b/>
        </w:rPr>
        <w:t>, prof. Dr. Ing. Oliver Moravčík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tab/>
      </w:r>
      <w:r w:rsidR="00D93638">
        <w:t>rektor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B90D9A" w:rsidRDefault="00E64522" w:rsidP="00B90D9A">
      <w:pPr>
        <w:tabs>
          <w:tab w:val="left" w:pos="1985"/>
        </w:tabs>
        <w:ind w:left="-993" w:firstLine="851"/>
        <w:rPr>
          <w:b/>
        </w:rPr>
      </w:pPr>
      <w:r w:rsidRPr="00F2404B">
        <w:t>Vypracoval</w:t>
      </w:r>
      <w:r w:rsidR="00ED726E">
        <w:t>i</w:t>
      </w:r>
      <w:r w:rsidRPr="00F2404B">
        <w:t>:</w:t>
      </w:r>
      <w:r w:rsidRPr="00F2404B">
        <w:tab/>
      </w:r>
      <w:r w:rsidR="0028311E">
        <w:rPr>
          <w:b/>
        </w:rPr>
        <w:t>Mgr. Rastislav Igliar</w:t>
      </w:r>
    </w:p>
    <w:p w:rsidR="00E64522" w:rsidRDefault="00ED726E" w:rsidP="00E64522">
      <w:pPr>
        <w:tabs>
          <w:tab w:val="left" w:pos="1985"/>
        </w:tabs>
        <w:ind w:left="-993" w:firstLine="851"/>
      </w:pPr>
      <w:r>
        <w:rPr>
          <w:b/>
        </w:rPr>
        <w:tab/>
      </w:r>
      <w:r w:rsidR="0028311E">
        <w:t>kvestor</w:t>
      </w:r>
    </w:p>
    <w:p w:rsidR="00ED726E" w:rsidRDefault="00ED726E" w:rsidP="00E64522">
      <w:pPr>
        <w:tabs>
          <w:tab w:val="left" w:pos="1985"/>
        </w:tabs>
        <w:ind w:left="-993" w:firstLine="851"/>
      </w:pPr>
    </w:p>
    <w:p w:rsidR="00ED726E" w:rsidRPr="00ED726E" w:rsidRDefault="00ED726E" w:rsidP="00E64522">
      <w:pPr>
        <w:tabs>
          <w:tab w:val="left" w:pos="1985"/>
        </w:tabs>
        <w:ind w:left="-993" w:firstLine="851"/>
        <w:rPr>
          <w:b/>
        </w:rPr>
      </w:pPr>
      <w:r w:rsidRPr="00ED726E">
        <w:rPr>
          <w:b/>
        </w:rPr>
        <w:tab/>
        <w:t>Mgr</w:t>
      </w:r>
      <w:r w:rsidR="007E4379">
        <w:rPr>
          <w:b/>
        </w:rPr>
        <w:t>.</w:t>
      </w:r>
      <w:r w:rsidRPr="00ED726E">
        <w:rPr>
          <w:b/>
        </w:rPr>
        <w:t xml:space="preserve"> Eliška Džuganová</w:t>
      </w:r>
    </w:p>
    <w:p w:rsidR="00ED726E" w:rsidRPr="00F2404B" w:rsidRDefault="00ED726E" w:rsidP="00E64522">
      <w:pPr>
        <w:tabs>
          <w:tab w:val="left" w:pos="1985"/>
        </w:tabs>
        <w:ind w:left="-993" w:firstLine="851"/>
      </w:pPr>
      <w:r>
        <w:tab/>
        <w:t>právny a organizačný útvar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1973" w:hanging="2115"/>
      </w:pPr>
    </w:p>
    <w:p w:rsidR="00E64522" w:rsidRPr="00F2404B" w:rsidRDefault="000277FF" w:rsidP="00E64522">
      <w:pPr>
        <w:tabs>
          <w:tab w:val="left" w:pos="1985"/>
        </w:tabs>
        <w:ind w:left="1973" w:hanging="2115"/>
        <w:jc w:val="both"/>
      </w:pPr>
      <w:r>
        <w:t>Zdôvodnenie:</w:t>
      </w:r>
      <w:r>
        <w:tab/>
      </w:r>
      <w:r w:rsidR="00E64522" w:rsidRPr="00F2404B">
        <w:t>Postup podľa článku 3 bod 3 smer</w:t>
      </w:r>
      <w:r w:rsidR="007E4379">
        <w:t>nice rektora číslo 9/2013-SR zo </w:t>
      </w:r>
      <w:r w:rsidR="00E64522" w:rsidRPr="00F2404B">
        <w:t>dňa 12. 12. 2013 Nájom nehnuteľného majetku vo vlastníctve Slovenskej technickej univerzity v</w:t>
      </w:r>
      <w:r w:rsidR="00771E75">
        <w:t> </w:t>
      </w:r>
      <w:r w:rsidR="00E64522" w:rsidRPr="00F2404B">
        <w:t>Bratislave</w:t>
      </w:r>
      <w:r w:rsidR="00771E75">
        <w:t>.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pStyle w:val="Default"/>
        <w:tabs>
          <w:tab w:val="left" w:pos="1985"/>
        </w:tabs>
        <w:ind w:left="1985" w:hanging="2127"/>
        <w:rPr>
          <w:rFonts w:asciiTheme="minorHAnsi" w:hAnsiTheme="minorHAnsi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</w:pPr>
      <w:r w:rsidRPr="00F2404B">
        <w:rPr>
          <w:rFonts w:asciiTheme="minorHAnsi" w:hAnsiTheme="minorHAnsi"/>
          <w:lang w:val="sk-SK"/>
        </w:rPr>
        <w:t>Návrh uznesenia:</w:t>
      </w:r>
      <w:r w:rsidRPr="00F2404B">
        <w:rPr>
          <w:rFonts w:asciiTheme="minorHAnsi" w:hAnsiTheme="minorHAnsi"/>
          <w:lang w:val="sk-SK"/>
        </w:rPr>
        <w:tab/>
        <w:t xml:space="preserve">AS STU schvaľuje žiadosti o nájom dočasne nepotrebného nehnuteľného majetku uvedeného v tabuľke číslo 1 až </w:t>
      </w:r>
      <w:r w:rsidR="00A140C3">
        <w:rPr>
          <w:rFonts w:asciiTheme="minorHAnsi" w:hAnsiTheme="minorHAnsi"/>
          <w:lang w:val="sk-SK"/>
        </w:rPr>
        <w:t>9</w:t>
      </w:r>
      <w:r w:rsidR="00D93638">
        <w:rPr>
          <w:rFonts w:asciiTheme="minorHAnsi" w:hAnsiTheme="minorHAnsi"/>
          <w:lang w:val="sk-SK"/>
        </w:rPr>
        <w:t xml:space="preserve"> </w:t>
      </w:r>
      <w:r w:rsidR="00D1292D">
        <w:rPr>
          <w:rFonts w:asciiTheme="minorHAnsi" w:hAnsiTheme="minorHAnsi"/>
          <w:lang w:val="sk-SK"/>
        </w:rPr>
        <w:t>tohto materiálu.</w:t>
      </w: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126693" w:rsidRDefault="00126693" w:rsidP="00126693">
      <w:pPr>
        <w:rPr>
          <w:rFonts w:cs="Times New Roman"/>
          <w:color w:val="000000"/>
        </w:rPr>
      </w:pPr>
    </w:p>
    <w:p w:rsidR="00126693" w:rsidRDefault="00126693" w:rsidP="00126693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2E5CB5" w:rsidRPr="00EA5E16" w:rsidTr="00970780">
        <w:tc>
          <w:tcPr>
            <w:tcW w:w="596" w:type="dxa"/>
          </w:tcPr>
          <w:p w:rsidR="002E5CB5" w:rsidRPr="00EA5E16" w:rsidRDefault="002E5CB5" w:rsidP="00970780">
            <w:pPr>
              <w:rPr>
                <w:b/>
                <w:sz w:val="20"/>
                <w:szCs w:val="20"/>
                <w:lang w:val="sk-SK"/>
              </w:rPr>
            </w:pPr>
            <w:r w:rsidRPr="00EA5E16">
              <w:rPr>
                <w:b/>
                <w:sz w:val="20"/>
                <w:szCs w:val="20"/>
                <w:lang w:val="sk-SK"/>
              </w:rPr>
              <w:lastRenderedPageBreak/>
              <w:t>1.</w:t>
            </w:r>
          </w:p>
        </w:tc>
        <w:tc>
          <w:tcPr>
            <w:tcW w:w="1673" w:type="dxa"/>
          </w:tcPr>
          <w:p w:rsidR="002E5CB5" w:rsidRPr="00EA5E16" w:rsidRDefault="002E5CB5" w:rsidP="00970780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A5E16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2E5CB5" w:rsidRPr="00EA5E16" w:rsidRDefault="002E5CB5" w:rsidP="00970780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EA5E16">
              <w:rPr>
                <w:b/>
                <w:sz w:val="20"/>
                <w:szCs w:val="20"/>
                <w:lang w:val="sk-SK"/>
              </w:rPr>
              <w:t xml:space="preserve">Jana </w:t>
            </w:r>
            <w:proofErr w:type="spellStart"/>
            <w:r w:rsidRPr="00EA5E16">
              <w:rPr>
                <w:b/>
                <w:sz w:val="20"/>
                <w:szCs w:val="20"/>
                <w:lang w:val="sk-SK"/>
              </w:rPr>
              <w:t>Glonecová</w:t>
            </w:r>
            <w:proofErr w:type="spellEnd"/>
            <w:r w:rsidRPr="008935A8">
              <w:rPr>
                <w:sz w:val="20"/>
                <w:szCs w:val="20"/>
                <w:lang w:val="sk-SK"/>
              </w:rPr>
              <w:t xml:space="preserve">, </w:t>
            </w:r>
            <w:r w:rsidRPr="00EA5E16">
              <w:rPr>
                <w:sz w:val="20"/>
                <w:szCs w:val="20"/>
                <w:lang w:val="sk-SK"/>
              </w:rPr>
              <w:t>Mierová 18, 821 05 Bratislava, IČO: 41 919 327</w:t>
            </w:r>
          </w:p>
          <w:p w:rsidR="002E5CB5" w:rsidRPr="00EA5E16" w:rsidRDefault="002E5CB5" w:rsidP="00970780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nájomca je podnikateľom zapísaným v živnostenskom registri Okresného úradu Bratislava</w:t>
            </w:r>
          </w:p>
        </w:tc>
      </w:tr>
      <w:tr w:rsidR="002E5CB5" w:rsidRPr="00EA5E16" w:rsidTr="00970780">
        <w:tc>
          <w:tcPr>
            <w:tcW w:w="596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2E5CB5" w:rsidRPr="00EA5E16" w:rsidRDefault="002E5CB5" w:rsidP="00970780">
            <w:pPr>
              <w:jc w:val="both"/>
              <w:rPr>
                <w:rFonts w:cs="Times New Roman"/>
                <w:sz w:val="20"/>
                <w:szCs w:val="20"/>
                <w:lang w:val="sk-SK"/>
              </w:rPr>
            </w:pPr>
            <w:r w:rsidRPr="00EA5E16">
              <w:rPr>
                <w:b/>
                <w:sz w:val="20"/>
                <w:szCs w:val="20"/>
                <w:lang w:val="sk-SK"/>
              </w:rPr>
              <w:t>dodatkom č. 2</w:t>
            </w:r>
            <w:r w:rsidRPr="00EA5E16">
              <w:rPr>
                <w:sz w:val="20"/>
                <w:szCs w:val="20"/>
                <w:lang w:val="sk-SK"/>
              </w:rPr>
              <w:t xml:space="preserve"> k Nájomnej zmluve č. 78/2016 R-STU s dobou nájmu od 01.01.2017 do 31.03.2022 sa </w:t>
            </w:r>
            <w:r w:rsidRPr="00EA5E16">
              <w:rPr>
                <w:b/>
                <w:sz w:val="20"/>
                <w:szCs w:val="20"/>
                <w:lang w:val="sk-SK"/>
              </w:rPr>
              <w:t xml:space="preserve">od 01.04.2022 </w:t>
            </w:r>
            <w:r w:rsidRPr="00EA5E16">
              <w:rPr>
                <w:rFonts w:cs="Times New Roman"/>
                <w:b/>
                <w:sz w:val="20"/>
                <w:szCs w:val="20"/>
                <w:lang w:val="sk-SK"/>
              </w:rPr>
              <w:t>predlžuje doba nájmu</w:t>
            </w:r>
            <w:r w:rsidRPr="00EA5E16">
              <w:rPr>
                <w:rFonts w:cs="Times New Roman"/>
                <w:sz w:val="20"/>
                <w:szCs w:val="20"/>
                <w:lang w:val="sk-SK"/>
              </w:rPr>
              <w:t xml:space="preserve"> dočasne nepotrebného majetku; nebytové priestory v ŠD </w:t>
            </w:r>
            <w:proofErr w:type="spellStart"/>
            <w:r w:rsidRPr="00EA5E16">
              <w:rPr>
                <w:rFonts w:cs="Times New Roman"/>
                <w:sz w:val="20"/>
                <w:szCs w:val="20"/>
                <w:lang w:val="sk-SK"/>
              </w:rPr>
              <w:t>Nikolasa</w:t>
            </w:r>
            <w:proofErr w:type="spellEnd"/>
            <w:r w:rsidRPr="00EA5E16">
              <w:rPr>
                <w:rFonts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EA5E16">
              <w:rPr>
                <w:rFonts w:cs="Times New Roman"/>
                <w:sz w:val="20"/>
                <w:szCs w:val="20"/>
                <w:lang w:val="sk-SK"/>
              </w:rPr>
              <w:t>Belojanisa</w:t>
            </w:r>
            <w:proofErr w:type="spellEnd"/>
            <w:r w:rsidRPr="00EA5E16">
              <w:rPr>
                <w:rFonts w:cs="Times New Roman"/>
                <w:sz w:val="20"/>
                <w:szCs w:val="20"/>
                <w:lang w:val="sk-SK"/>
              </w:rPr>
              <w:t xml:space="preserve"> na ul. </w:t>
            </w:r>
            <w:proofErr w:type="spellStart"/>
            <w:r w:rsidRPr="00EA5E16">
              <w:rPr>
                <w:rFonts w:cs="Times New Roman"/>
                <w:sz w:val="20"/>
                <w:szCs w:val="20"/>
                <w:lang w:val="sk-SK"/>
              </w:rPr>
              <w:t>Wilsonova</w:t>
            </w:r>
            <w:proofErr w:type="spellEnd"/>
            <w:r w:rsidRPr="00EA5E16">
              <w:rPr>
                <w:rFonts w:cs="Times New Roman"/>
                <w:sz w:val="20"/>
                <w:szCs w:val="20"/>
                <w:lang w:val="sk-SK"/>
              </w:rPr>
              <w:t xml:space="preserve"> 6 v Bratislave, nachádzajúci sa v suteréne ŠD pozostávajúci z miestnosti č. 02NB-1 020 - sklad o výmere 10,92m</w:t>
            </w:r>
            <w:r w:rsidRPr="00EA5E16">
              <w:rPr>
                <w:rFonts w:cs="Times New Roman"/>
                <w:sz w:val="20"/>
                <w:szCs w:val="20"/>
                <w:vertAlign w:val="superscript"/>
                <w:lang w:val="sk-SK"/>
              </w:rPr>
              <w:t xml:space="preserve">2 </w:t>
            </w:r>
            <w:r w:rsidRPr="00EA5E16">
              <w:rPr>
                <w:rFonts w:cs="Times New Roman"/>
                <w:b/>
                <w:sz w:val="20"/>
                <w:szCs w:val="20"/>
                <w:lang w:val="sk-SK"/>
              </w:rPr>
              <w:t>do 31.03.2025,</w:t>
            </w:r>
          </w:p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rFonts w:cs="Times New Roman"/>
                <w:sz w:val="20"/>
                <w:szCs w:val="20"/>
                <w:lang w:val="sk-SK"/>
              </w:rPr>
              <w:t xml:space="preserve">predmet nájmu spolu: </w:t>
            </w:r>
            <w:r w:rsidRPr="00EA5E16">
              <w:rPr>
                <w:rFonts w:cs="Times New Roman"/>
                <w:b/>
                <w:sz w:val="20"/>
                <w:szCs w:val="20"/>
                <w:lang w:val="sk-SK"/>
              </w:rPr>
              <w:t>10,92</w:t>
            </w:r>
            <w:r w:rsidRPr="00EA5E16">
              <w:rPr>
                <w:b/>
                <w:sz w:val="20"/>
                <w:szCs w:val="20"/>
                <w:lang w:val="sk-SK"/>
              </w:rPr>
              <w:t>m</w:t>
            </w:r>
            <w:r w:rsidRPr="00EA5E16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</w:p>
        </w:tc>
      </w:tr>
      <w:tr w:rsidR="002E5CB5" w:rsidRPr="00EA5E16" w:rsidTr="00970780">
        <w:tc>
          <w:tcPr>
            <w:tcW w:w="596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2E5CB5" w:rsidRPr="00EA5E16" w:rsidRDefault="002E5CB5" w:rsidP="00970780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EA5E16">
              <w:rPr>
                <w:rFonts w:cs="Times New Roman"/>
                <w:sz w:val="20"/>
                <w:szCs w:val="20"/>
                <w:lang w:val="sk-SK"/>
              </w:rPr>
              <w:t>skladové priestory</w:t>
            </w:r>
          </w:p>
        </w:tc>
      </w:tr>
      <w:tr w:rsidR="002E5CB5" w:rsidRPr="00EA5E16" w:rsidTr="00970780">
        <w:trPr>
          <w:trHeight w:val="259"/>
        </w:trPr>
        <w:tc>
          <w:tcPr>
            <w:tcW w:w="596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2E5CB5" w:rsidRPr="00EA5E16" w:rsidRDefault="002E5CB5" w:rsidP="00970780">
            <w:pPr>
              <w:rPr>
                <w:b/>
                <w:sz w:val="20"/>
                <w:szCs w:val="20"/>
                <w:lang w:val="sk-SK"/>
              </w:rPr>
            </w:pPr>
            <w:r w:rsidRPr="00EA5E16">
              <w:rPr>
                <w:b/>
                <w:sz w:val="20"/>
                <w:szCs w:val="20"/>
                <w:lang w:val="sk-SK"/>
              </w:rPr>
              <w:t>01.01.2017 – 31.03.2025</w:t>
            </w:r>
          </w:p>
        </w:tc>
      </w:tr>
      <w:tr w:rsidR="002E5CB5" w:rsidRPr="00EA5E16" w:rsidTr="00970780">
        <w:tc>
          <w:tcPr>
            <w:tcW w:w="596" w:type="dxa"/>
          </w:tcPr>
          <w:p w:rsidR="002E5CB5" w:rsidRPr="00EA5E16" w:rsidRDefault="002E5CB5" w:rsidP="00970780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55" w:type="dxa"/>
          </w:tcPr>
          <w:p w:rsidR="002E5CB5" w:rsidRDefault="002E5CB5" w:rsidP="00970780">
            <w:pPr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skladové priestory (10,92m</w:t>
            </w:r>
            <w:r w:rsidRPr="00EA5E1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A5E16">
              <w:rPr>
                <w:sz w:val="20"/>
                <w:szCs w:val="20"/>
                <w:lang w:val="sk-SK"/>
              </w:rPr>
              <w:t>) – 24,00 €/m</w:t>
            </w:r>
            <w:r w:rsidRPr="00EA5E1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A5E16">
              <w:rPr>
                <w:sz w:val="20"/>
                <w:szCs w:val="20"/>
                <w:lang w:val="sk-SK"/>
              </w:rPr>
              <w:t>/rok, t. j. 262,08 €/rok,</w:t>
            </w:r>
          </w:p>
          <w:p w:rsidR="002E5CB5" w:rsidRPr="00EA5E16" w:rsidRDefault="002E5CB5" w:rsidP="00970780">
            <w:pPr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spoločné priestory (pomerná časť ch</w:t>
            </w:r>
            <w:r>
              <w:rPr>
                <w:sz w:val="20"/>
                <w:szCs w:val="20"/>
                <w:lang w:val="sk-SK"/>
              </w:rPr>
              <w:t xml:space="preserve">odby) a sociálne zariadenia 30,00 </w:t>
            </w:r>
            <w:r w:rsidRPr="00EA5E16">
              <w:rPr>
                <w:sz w:val="20"/>
                <w:szCs w:val="20"/>
                <w:lang w:val="sk-SK"/>
              </w:rPr>
              <w:t>€</w:t>
            </w:r>
            <w:r>
              <w:rPr>
                <w:sz w:val="20"/>
                <w:szCs w:val="20"/>
                <w:lang w:val="sk-SK"/>
              </w:rPr>
              <w:t>/rok,</w:t>
            </w:r>
          </w:p>
          <w:p w:rsidR="002E5CB5" w:rsidRPr="00EA5E16" w:rsidRDefault="002E5CB5" w:rsidP="00970780">
            <w:pPr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štvrťročná výška nájomného je 73,02 €,</w:t>
            </w:r>
          </w:p>
          <w:p w:rsidR="002E5CB5" w:rsidRPr="00EA5E16" w:rsidRDefault="002E5CB5" w:rsidP="00970780">
            <w:pPr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nájomné spolu ročne</w:t>
            </w:r>
            <w:r>
              <w:rPr>
                <w:b/>
                <w:sz w:val="20"/>
                <w:szCs w:val="20"/>
                <w:lang w:val="sk-SK"/>
              </w:rPr>
              <w:t>: 29</w:t>
            </w:r>
            <w:r w:rsidRPr="00EA5E16">
              <w:rPr>
                <w:b/>
                <w:sz w:val="20"/>
                <w:szCs w:val="20"/>
                <w:lang w:val="sk-SK"/>
              </w:rPr>
              <w:t>2,08</w:t>
            </w:r>
            <w:r w:rsidRPr="00EA5E16">
              <w:rPr>
                <w:sz w:val="20"/>
                <w:szCs w:val="20"/>
                <w:lang w:val="sk-SK"/>
              </w:rPr>
              <w:t xml:space="preserve"> </w:t>
            </w:r>
            <w:r w:rsidRPr="00EA5E16">
              <w:rPr>
                <w:b/>
                <w:sz w:val="20"/>
                <w:szCs w:val="20"/>
                <w:lang w:val="sk-SK"/>
              </w:rPr>
              <w:t>€</w:t>
            </w:r>
            <w:r w:rsidRPr="00D71471">
              <w:rPr>
                <w:sz w:val="20"/>
                <w:szCs w:val="20"/>
                <w:lang w:val="sk-SK"/>
              </w:rPr>
              <w:t>,</w:t>
            </w:r>
          </w:p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nájomné je v súlade so smernicou</w:t>
            </w:r>
            <w:r w:rsidRPr="00EA5E16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EA5E16">
              <w:rPr>
                <w:sz w:val="20"/>
                <w:szCs w:val="20"/>
                <w:lang w:val="sk-SK"/>
              </w:rPr>
              <w:t>.</w:t>
            </w:r>
          </w:p>
        </w:tc>
      </w:tr>
      <w:tr w:rsidR="002E5CB5" w:rsidRPr="00EA5E16" w:rsidTr="00970780">
        <w:trPr>
          <w:trHeight w:val="50"/>
        </w:trPr>
        <w:tc>
          <w:tcPr>
            <w:tcW w:w="596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2E5CB5" w:rsidRPr="00EA5E16" w:rsidRDefault="002E5CB5" w:rsidP="00970780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dodávka energií sa hradí štvrťročne na základe vystavených zálohových</w:t>
            </w:r>
          </w:p>
          <w:p w:rsidR="002E5CB5" w:rsidRPr="00EA5E16" w:rsidRDefault="002E5CB5" w:rsidP="00970780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faktúr, a energie sa vyúčtujú po skončení kalendárneho roka na základe</w:t>
            </w:r>
          </w:p>
          <w:p w:rsidR="002E5CB5" w:rsidRPr="00EA5E16" w:rsidRDefault="002E5CB5" w:rsidP="00970780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skutočnej spotreby energie. Dodávka služieb sa hradí štvrťročne na základe</w:t>
            </w:r>
          </w:p>
          <w:p w:rsidR="002E5CB5" w:rsidRPr="00EA5E16" w:rsidRDefault="002E5CB5" w:rsidP="00970780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vystavených faktúr paušálnou sumou, ktorá sa ďalej nezúčtováva.</w:t>
            </w:r>
          </w:p>
        </w:tc>
      </w:tr>
      <w:tr w:rsidR="002E5CB5" w:rsidRPr="00EA5E16" w:rsidTr="00970780">
        <w:tc>
          <w:tcPr>
            <w:tcW w:w="596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2E5CB5" w:rsidRPr="00EA5E16" w:rsidRDefault="002E5CB5" w:rsidP="00970780">
            <w:pPr>
              <w:ind w:left="720" w:hanging="72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riaditeľ ÚZ ŠD a J STU</w:t>
            </w:r>
          </w:p>
        </w:tc>
      </w:tr>
      <w:tr w:rsidR="002E5CB5" w:rsidRPr="00EA5E16" w:rsidTr="00970780">
        <w:tc>
          <w:tcPr>
            <w:tcW w:w="596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2E5CB5" w:rsidRDefault="002E5CB5" w:rsidP="002E5CB5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2E5CB5" w:rsidRPr="00EA5E16" w:rsidRDefault="00D1292D" w:rsidP="002E5C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</w:t>
            </w:r>
            <w:r w:rsidR="002E5CB5">
              <w:rPr>
                <w:sz w:val="20"/>
                <w:szCs w:val="20"/>
                <w:lang w:val="sk-SK"/>
              </w:rPr>
              <w:t>rerokovalo</w:t>
            </w:r>
            <w:r>
              <w:rPr>
                <w:color w:val="FFFFFF" w:themeColor="background1"/>
                <w:sz w:val="20"/>
                <w:szCs w:val="20"/>
                <w:lang w:val="sk-SK"/>
              </w:rPr>
              <w:t xml:space="preserve"> </w:t>
            </w:r>
            <w:r w:rsidR="002E5CB5"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655" w:type="dxa"/>
          </w:tcPr>
          <w:p w:rsidR="002E5CB5" w:rsidRDefault="002E5CB5" w:rsidP="00970780">
            <w:pPr>
              <w:ind w:left="720" w:hanging="720"/>
              <w:rPr>
                <w:sz w:val="20"/>
                <w:szCs w:val="20"/>
              </w:rPr>
            </w:pPr>
            <w:r w:rsidRPr="002E5CB5">
              <w:rPr>
                <w:sz w:val="20"/>
                <w:szCs w:val="20"/>
              </w:rPr>
              <w:t>07.02.2022</w:t>
            </w:r>
          </w:p>
        </w:tc>
      </w:tr>
    </w:tbl>
    <w:p w:rsidR="007E4379" w:rsidRPr="00EA5E16" w:rsidRDefault="007E4379" w:rsidP="002E5CB5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2E5CB5" w:rsidRPr="00EA5E16" w:rsidTr="00970780">
        <w:tc>
          <w:tcPr>
            <w:tcW w:w="596" w:type="dxa"/>
          </w:tcPr>
          <w:p w:rsidR="002E5CB5" w:rsidRPr="00EA5E16" w:rsidRDefault="002E5CB5" w:rsidP="00970780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Pr="00EA5E16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673" w:type="dxa"/>
          </w:tcPr>
          <w:p w:rsidR="002E5CB5" w:rsidRPr="00EA5E16" w:rsidRDefault="002E5CB5" w:rsidP="00970780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A5E16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2E5CB5" w:rsidRPr="00EA5E16" w:rsidRDefault="002E5CB5" w:rsidP="00970780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 w:rsidRPr="00EA4E78">
              <w:rPr>
                <w:b/>
                <w:sz w:val="20"/>
                <w:szCs w:val="20"/>
                <w:lang w:val="sk-SK"/>
              </w:rPr>
              <w:t>ActiveNet</w:t>
            </w:r>
            <w:proofErr w:type="spellEnd"/>
            <w:r w:rsidRPr="00EA4E78">
              <w:rPr>
                <w:b/>
                <w:sz w:val="20"/>
                <w:szCs w:val="20"/>
                <w:lang w:val="sk-SK"/>
              </w:rPr>
              <w:t>, s.r.o.</w:t>
            </w:r>
            <w:r w:rsidRPr="00EA4E78">
              <w:rPr>
                <w:sz w:val="20"/>
                <w:szCs w:val="20"/>
                <w:lang w:val="sk-SK"/>
              </w:rPr>
              <w:t>, Škultétyho 1</w:t>
            </w:r>
            <w:r w:rsidRPr="00EA5E16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83</w:t>
            </w:r>
            <w:r w:rsidRPr="00EA5E16">
              <w:rPr>
                <w:sz w:val="20"/>
                <w:szCs w:val="20"/>
                <w:lang w:val="sk-SK"/>
              </w:rPr>
              <w:t>1 0</w:t>
            </w:r>
            <w:r>
              <w:rPr>
                <w:sz w:val="20"/>
                <w:szCs w:val="20"/>
                <w:lang w:val="sk-SK"/>
              </w:rPr>
              <w:t>3</w:t>
            </w:r>
            <w:r w:rsidRPr="00EA5E16">
              <w:rPr>
                <w:sz w:val="20"/>
                <w:szCs w:val="20"/>
                <w:lang w:val="sk-SK"/>
              </w:rPr>
              <w:t xml:space="preserve"> Bratislava, IČO: </w:t>
            </w:r>
            <w:r w:rsidRPr="00EA4E78">
              <w:rPr>
                <w:sz w:val="20"/>
                <w:szCs w:val="20"/>
                <w:lang w:val="sk-SK"/>
              </w:rPr>
              <w:t>36 773 760</w:t>
            </w:r>
          </w:p>
          <w:p w:rsidR="002E5CB5" w:rsidRPr="00EA5E16" w:rsidRDefault="002E5CB5" w:rsidP="00970780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EA4E78">
              <w:rPr>
                <w:sz w:val="20"/>
                <w:szCs w:val="20"/>
                <w:lang w:val="sk-SK"/>
              </w:rPr>
              <w:t>nájomca je za</w:t>
            </w:r>
            <w:r>
              <w:rPr>
                <w:sz w:val="20"/>
                <w:szCs w:val="20"/>
                <w:lang w:val="sk-SK"/>
              </w:rPr>
              <w:t xml:space="preserve">písaný v OR OS BA I, oddiel </w:t>
            </w:r>
            <w:proofErr w:type="spellStart"/>
            <w:r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EA4E78">
              <w:rPr>
                <w:sz w:val="20"/>
                <w:szCs w:val="20"/>
                <w:lang w:val="sk-SK"/>
              </w:rPr>
              <w:t>, vložka č.: 45805/B</w:t>
            </w:r>
          </w:p>
        </w:tc>
      </w:tr>
      <w:tr w:rsidR="002E5CB5" w:rsidRPr="00EA5E16" w:rsidTr="00970780">
        <w:tc>
          <w:tcPr>
            <w:tcW w:w="596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2E5CB5" w:rsidRPr="000A292E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0A292E">
              <w:rPr>
                <w:sz w:val="20"/>
                <w:szCs w:val="20"/>
                <w:lang w:val="sk-SK"/>
              </w:rPr>
              <w:t>dočasne nepotrebný majetok, nebytový priestor nachádzajúci sa na prízemí v Pavilóne laboratórií na Náme</w:t>
            </w:r>
            <w:r>
              <w:rPr>
                <w:sz w:val="20"/>
                <w:szCs w:val="20"/>
                <w:lang w:val="sk-SK"/>
              </w:rPr>
              <w:t xml:space="preserve">stí slobody 17 v </w:t>
            </w:r>
            <w:r w:rsidRPr="000A292E">
              <w:rPr>
                <w:sz w:val="20"/>
                <w:szCs w:val="20"/>
                <w:lang w:val="sk-SK"/>
              </w:rPr>
              <w:t>Bratislav</w:t>
            </w:r>
            <w:r>
              <w:rPr>
                <w:sz w:val="20"/>
                <w:szCs w:val="20"/>
                <w:lang w:val="sk-SK"/>
              </w:rPr>
              <w:t>e</w:t>
            </w:r>
            <w:r w:rsidRPr="000A292E">
              <w:rPr>
                <w:sz w:val="20"/>
                <w:szCs w:val="20"/>
                <w:lang w:val="sk-SK"/>
              </w:rPr>
              <w:t xml:space="preserve"> pozostávajúci z miestnosti č. 046 o výmere 79,60 m</w:t>
            </w:r>
            <w:r w:rsidRPr="00AD1AE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rozdelenej na skladové priestory o výmere 39,80 m2 a</w:t>
            </w:r>
            <w:r w:rsidR="00DB7729">
              <w:rPr>
                <w:sz w:val="20"/>
                <w:szCs w:val="20"/>
                <w:lang w:val="sk-SK"/>
              </w:rPr>
              <w:t> technickú miestnosť</w:t>
            </w:r>
            <w:r>
              <w:rPr>
                <w:sz w:val="20"/>
                <w:szCs w:val="20"/>
                <w:lang w:val="sk-SK"/>
              </w:rPr>
              <w:t xml:space="preserve"> o výmere 39,80 m</w:t>
            </w:r>
            <w:r w:rsidRPr="00AD1AE3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0A292E">
              <w:rPr>
                <w:sz w:val="20"/>
                <w:szCs w:val="20"/>
                <w:lang w:val="sk-SK"/>
              </w:rPr>
              <w:t xml:space="preserve">predmet nájmu spolu: </w:t>
            </w:r>
            <w:r w:rsidRPr="00AD1AE3">
              <w:rPr>
                <w:b/>
                <w:sz w:val="20"/>
                <w:szCs w:val="20"/>
                <w:lang w:val="sk-SK"/>
              </w:rPr>
              <w:t>79,60 m</w:t>
            </w:r>
            <w:r w:rsidRPr="00AD1AE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</w:p>
        </w:tc>
      </w:tr>
      <w:tr w:rsidR="002E5CB5" w:rsidRPr="00EA5E16" w:rsidTr="00970780">
        <w:tc>
          <w:tcPr>
            <w:tcW w:w="596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2E5CB5" w:rsidRPr="00EA5E16" w:rsidRDefault="002E5CB5" w:rsidP="00DB7729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EA5E16">
              <w:rPr>
                <w:rFonts w:cs="Times New Roman"/>
                <w:sz w:val="20"/>
                <w:szCs w:val="20"/>
                <w:lang w:val="sk-SK"/>
              </w:rPr>
              <w:t>skladové priestory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a technická</w:t>
            </w:r>
            <w:r w:rsidRPr="00AD1AE3">
              <w:rPr>
                <w:rFonts w:cs="Times New Roman"/>
                <w:sz w:val="20"/>
                <w:szCs w:val="20"/>
                <w:lang w:val="sk-SK"/>
              </w:rPr>
              <w:t xml:space="preserve"> miestnos</w:t>
            </w:r>
            <w:r>
              <w:rPr>
                <w:rFonts w:cs="Times New Roman"/>
                <w:sz w:val="20"/>
                <w:szCs w:val="20"/>
                <w:lang w:val="sk-SK"/>
              </w:rPr>
              <w:t>ť</w:t>
            </w:r>
            <w:r w:rsidRPr="00AD1AE3">
              <w:rPr>
                <w:rFonts w:cs="Times New Roman"/>
                <w:sz w:val="20"/>
                <w:szCs w:val="20"/>
                <w:lang w:val="sk-SK"/>
              </w:rPr>
              <w:t xml:space="preserve"> </w:t>
            </w:r>
          </w:p>
        </w:tc>
      </w:tr>
      <w:tr w:rsidR="002E5CB5" w:rsidRPr="00EA5E16" w:rsidTr="00970780">
        <w:trPr>
          <w:trHeight w:val="259"/>
        </w:trPr>
        <w:tc>
          <w:tcPr>
            <w:tcW w:w="596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2E5CB5" w:rsidRPr="00EA5E16" w:rsidRDefault="002E5CB5" w:rsidP="00970780">
            <w:pPr>
              <w:rPr>
                <w:b/>
                <w:sz w:val="20"/>
                <w:szCs w:val="20"/>
                <w:lang w:val="sk-SK"/>
              </w:rPr>
            </w:pPr>
            <w:r w:rsidRPr="00EA5E16">
              <w:rPr>
                <w:b/>
                <w:sz w:val="20"/>
                <w:szCs w:val="20"/>
                <w:lang w:val="sk-SK"/>
              </w:rPr>
              <w:t>01.0</w:t>
            </w:r>
            <w:r>
              <w:rPr>
                <w:b/>
                <w:sz w:val="20"/>
                <w:szCs w:val="20"/>
                <w:lang w:val="sk-SK"/>
              </w:rPr>
              <w:t>3.2022</w:t>
            </w:r>
            <w:r w:rsidRPr="00EA5E16">
              <w:rPr>
                <w:b/>
                <w:sz w:val="20"/>
                <w:szCs w:val="20"/>
                <w:lang w:val="sk-SK"/>
              </w:rPr>
              <w:t xml:space="preserve"> – </w:t>
            </w:r>
            <w:r>
              <w:rPr>
                <w:b/>
                <w:sz w:val="20"/>
                <w:szCs w:val="20"/>
                <w:lang w:val="sk-SK"/>
              </w:rPr>
              <w:t>28.02.2027</w:t>
            </w:r>
          </w:p>
        </w:tc>
      </w:tr>
      <w:tr w:rsidR="002E5CB5" w:rsidRPr="00EA5E16" w:rsidTr="00970780">
        <w:tc>
          <w:tcPr>
            <w:tcW w:w="596" w:type="dxa"/>
          </w:tcPr>
          <w:p w:rsidR="002E5CB5" w:rsidRPr="00EA5E16" w:rsidRDefault="002E5CB5" w:rsidP="00970780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55" w:type="dxa"/>
          </w:tcPr>
          <w:p w:rsidR="002E5CB5" w:rsidRDefault="002E5CB5" w:rsidP="00970780">
            <w:pPr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skladové priestory (</w:t>
            </w:r>
            <w:r>
              <w:rPr>
                <w:sz w:val="20"/>
                <w:szCs w:val="20"/>
                <w:lang w:val="sk-SK"/>
              </w:rPr>
              <w:t xml:space="preserve">39,80 </w:t>
            </w:r>
            <w:r w:rsidRPr="00EA5E16">
              <w:rPr>
                <w:sz w:val="20"/>
                <w:szCs w:val="20"/>
                <w:lang w:val="sk-SK"/>
              </w:rPr>
              <w:t>m</w:t>
            </w:r>
            <w:r w:rsidRPr="00EA5E1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A5E16">
              <w:rPr>
                <w:sz w:val="20"/>
                <w:szCs w:val="20"/>
                <w:lang w:val="sk-SK"/>
              </w:rPr>
              <w:t>) – 2</w:t>
            </w:r>
            <w:r>
              <w:rPr>
                <w:sz w:val="20"/>
                <w:szCs w:val="20"/>
                <w:lang w:val="sk-SK"/>
              </w:rPr>
              <w:t>0</w:t>
            </w:r>
            <w:r w:rsidRPr="00EA5E16">
              <w:rPr>
                <w:sz w:val="20"/>
                <w:szCs w:val="20"/>
                <w:lang w:val="sk-SK"/>
              </w:rPr>
              <w:t>,00 €/m</w:t>
            </w:r>
            <w:r w:rsidRPr="00EA5E1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A5E16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796,00</w:t>
            </w:r>
            <w:r w:rsidRPr="00EA5E16">
              <w:rPr>
                <w:sz w:val="20"/>
                <w:szCs w:val="20"/>
                <w:lang w:val="sk-SK"/>
              </w:rPr>
              <w:t xml:space="preserve"> €/rok,</w:t>
            </w:r>
          </w:p>
          <w:p w:rsidR="002E5CB5" w:rsidRDefault="00DB7729" w:rsidP="0097078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technická miestnosť</w:t>
            </w:r>
            <w:r w:rsidR="002E5CB5" w:rsidRPr="00EA5E16">
              <w:rPr>
                <w:sz w:val="20"/>
                <w:szCs w:val="20"/>
                <w:lang w:val="sk-SK"/>
              </w:rPr>
              <w:t xml:space="preserve"> (</w:t>
            </w:r>
            <w:r w:rsidR="002E5CB5">
              <w:rPr>
                <w:sz w:val="20"/>
                <w:szCs w:val="20"/>
                <w:lang w:val="sk-SK"/>
              </w:rPr>
              <w:t xml:space="preserve">39,80 </w:t>
            </w:r>
            <w:r w:rsidR="002E5CB5" w:rsidRPr="00EA5E16">
              <w:rPr>
                <w:sz w:val="20"/>
                <w:szCs w:val="20"/>
                <w:lang w:val="sk-SK"/>
              </w:rPr>
              <w:t>m</w:t>
            </w:r>
            <w:r w:rsidR="002E5CB5" w:rsidRPr="00EA5E1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2E5CB5" w:rsidRPr="00EA5E16">
              <w:rPr>
                <w:sz w:val="20"/>
                <w:szCs w:val="20"/>
                <w:lang w:val="sk-SK"/>
              </w:rPr>
              <w:t xml:space="preserve">) – </w:t>
            </w:r>
            <w:r w:rsidR="002E5CB5">
              <w:rPr>
                <w:sz w:val="20"/>
                <w:szCs w:val="20"/>
                <w:lang w:val="sk-SK"/>
              </w:rPr>
              <w:t>132</w:t>
            </w:r>
            <w:r w:rsidR="002E5CB5" w:rsidRPr="00EA5E16">
              <w:rPr>
                <w:sz w:val="20"/>
                <w:szCs w:val="20"/>
                <w:lang w:val="sk-SK"/>
              </w:rPr>
              <w:t>,00 €/m</w:t>
            </w:r>
            <w:r w:rsidR="002E5CB5" w:rsidRPr="00EA5E1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2E5CB5" w:rsidRPr="00EA5E16">
              <w:rPr>
                <w:sz w:val="20"/>
                <w:szCs w:val="20"/>
                <w:lang w:val="sk-SK"/>
              </w:rPr>
              <w:t xml:space="preserve">/rok, t. j. </w:t>
            </w:r>
            <w:r w:rsidR="002E5CB5">
              <w:rPr>
                <w:sz w:val="20"/>
                <w:szCs w:val="20"/>
                <w:lang w:val="sk-SK"/>
              </w:rPr>
              <w:t>5 253,60</w:t>
            </w:r>
            <w:r w:rsidR="002E5CB5" w:rsidRPr="00EA5E16">
              <w:rPr>
                <w:sz w:val="20"/>
                <w:szCs w:val="20"/>
                <w:lang w:val="sk-SK"/>
              </w:rPr>
              <w:t xml:space="preserve"> €/rok,</w:t>
            </w:r>
          </w:p>
          <w:p w:rsidR="002E5CB5" w:rsidRPr="00EA5E16" w:rsidRDefault="002E5CB5" w:rsidP="00970780">
            <w:pPr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spoločné priestory (pomerná časť ch</w:t>
            </w:r>
            <w:r>
              <w:rPr>
                <w:sz w:val="20"/>
                <w:szCs w:val="20"/>
                <w:lang w:val="sk-SK"/>
              </w:rPr>
              <w:t xml:space="preserve">odby) a sociálne zariadenia 30,00 </w:t>
            </w:r>
            <w:r w:rsidRPr="00EA5E16">
              <w:rPr>
                <w:sz w:val="20"/>
                <w:szCs w:val="20"/>
                <w:lang w:val="sk-SK"/>
              </w:rPr>
              <w:t>€</w:t>
            </w:r>
            <w:r>
              <w:rPr>
                <w:sz w:val="20"/>
                <w:szCs w:val="20"/>
                <w:lang w:val="sk-SK"/>
              </w:rPr>
              <w:t>/rok</w:t>
            </w:r>
          </w:p>
          <w:p w:rsidR="002E5CB5" w:rsidRPr="00EA5E16" w:rsidRDefault="002E5CB5" w:rsidP="00970780">
            <w:pPr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1 512,14</w:t>
            </w:r>
            <w:r w:rsidRPr="00EA5E16">
              <w:rPr>
                <w:sz w:val="20"/>
                <w:szCs w:val="20"/>
                <w:lang w:val="sk-SK"/>
              </w:rPr>
              <w:t xml:space="preserve"> €,</w:t>
            </w:r>
          </w:p>
          <w:p w:rsidR="002E5CB5" w:rsidRPr="00EA5E16" w:rsidRDefault="002E5CB5" w:rsidP="00970780">
            <w:pPr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nájomné spolu ročne</w:t>
            </w:r>
            <w:r>
              <w:rPr>
                <w:b/>
                <w:sz w:val="20"/>
                <w:szCs w:val="20"/>
                <w:lang w:val="sk-SK"/>
              </w:rPr>
              <w:t>: 6 049,60</w:t>
            </w:r>
            <w:r w:rsidRPr="00EA5E16">
              <w:rPr>
                <w:sz w:val="20"/>
                <w:szCs w:val="20"/>
                <w:lang w:val="sk-SK"/>
              </w:rPr>
              <w:t xml:space="preserve"> </w:t>
            </w:r>
            <w:r w:rsidRPr="00EA5E16">
              <w:rPr>
                <w:b/>
                <w:sz w:val="20"/>
                <w:szCs w:val="20"/>
                <w:lang w:val="sk-SK"/>
              </w:rPr>
              <w:t>€</w:t>
            </w:r>
            <w:r w:rsidRPr="00D71471">
              <w:rPr>
                <w:sz w:val="20"/>
                <w:szCs w:val="20"/>
                <w:lang w:val="sk-SK"/>
              </w:rPr>
              <w:t>,</w:t>
            </w:r>
          </w:p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nájomné je v súlade so smernicou</w:t>
            </w:r>
            <w:r w:rsidRPr="00EA5E16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EA5E16">
              <w:rPr>
                <w:sz w:val="20"/>
                <w:szCs w:val="20"/>
                <w:lang w:val="sk-SK"/>
              </w:rPr>
              <w:t>.</w:t>
            </w:r>
          </w:p>
        </w:tc>
      </w:tr>
      <w:tr w:rsidR="002E5CB5" w:rsidRPr="00EA5E16" w:rsidTr="00970780">
        <w:trPr>
          <w:trHeight w:val="50"/>
        </w:trPr>
        <w:tc>
          <w:tcPr>
            <w:tcW w:w="596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2E5CB5" w:rsidRPr="00D71471" w:rsidRDefault="002E5CB5" w:rsidP="00970780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D71471">
              <w:rPr>
                <w:sz w:val="20"/>
                <w:szCs w:val="20"/>
                <w:lang w:val="sk-SK"/>
              </w:rPr>
              <w:t>Náklady za dodávku elektrickej energie budú zálohovo fakturované nájomcovi do 15. dňa</w:t>
            </w:r>
          </w:p>
          <w:p w:rsidR="00DB7729" w:rsidRDefault="002E5CB5" w:rsidP="00970780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D71471">
              <w:rPr>
                <w:sz w:val="20"/>
                <w:szCs w:val="20"/>
                <w:lang w:val="sk-SK"/>
              </w:rPr>
              <w:t>1. mesiaca daného štvrťroka</w:t>
            </w:r>
            <w:r>
              <w:rPr>
                <w:sz w:val="20"/>
                <w:szCs w:val="20"/>
                <w:lang w:val="sk-SK"/>
              </w:rPr>
              <w:t xml:space="preserve">. </w:t>
            </w:r>
            <w:r w:rsidRPr="00D71471">
              <w:rPr>
                <w:sz w:val="20"/>
                <w:szCs w:val="20"/>
                <w:lang w:val="sk-SK"/>
              </w:rPr>
              <w:t>Splatnosť faktúr je 15 dní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D71471">
              <w:rPr>
                <w:sz w:val="20"/>
                <w:szCs w:val="20"/>
                <w:lang w:val="sk-SK"/>
              </w:rPr>
              <w:t xml:space="preserve">odo dňa doručenia faktúry </w:t>
            </w:r>
          </w:p>
          <w:p w:rsidR="002E5CB5" w:rsidRDefault="002E5CB5" w:rsidP="00970780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D71471">
              <w:rPr>
                <w:sz w:val="20"/>
                <w:szCs w:val="20"/>
                <w:lang w:val="sk-SK"/>
              </w:rPr>
              <w:t>nájomcovi.</w:t>
            </w:r>
          </w:p>
          <w:p w:rsidR="002E5CB5" w:rsidRPr="00D71471" w:rsidRDefault="002E5CB5" w:rsidP="00970780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D71471">
              <w:rPr>
                <w:sz w:val="20"/>
                <w:szCs w:val="20"/>
                <w:lang w:val="sk-SK"/>
              </w:rPr>
              <w:t>Prenajímateľ vyhotoví zúčtovacie faktúry za spotrebu elektrickej energie k 31.12.daného</w:t>
            </w:r>
          </w:p>
          <w:p w:rsidR="002E5CB5" w:rsidRPr="00EA5E16" w:rsidRDefault="002E5CB5" w:rsidP="00970780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D71471">
              <w:rPr>
                <w:sz w:val="20"/>
                <w:szCs w:val="20"/>
                <w:lang w:val="sk-SK"/>
              </w:rPr>
              <w:t>roka.</w:t>
            </w:r>
          </w:p>
        </w:tc>
      </w:tr>
      <w:tr w:rsidR="002E5CB5" w:rsidRPr="00EA5E16" w:rsidTr="00970780">
        <w:tc>
          <w:tcPr>
            <w:tcW w:w="596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EA5E16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2E5CB5" w:rsidRPr="00EA5E16" w:rsidRDefault="002E5CB5" w:rsidP="00970780">
            <w:pPr>
              <w:ind w:left="720" w:hanging="72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dekan </w:t>
            </w:r>
            <w:proofErr w:type="spellStart"/>
            <w:r>
              <w:rPr>
                <w:sz w:val="20"/>
                <w:szCs w:val="20"/>
                <w:lang w:val="sk-SK"/>
              </w:rPr>
              <w:t>SjF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STU</w:t>
            </w:r>
          </w:p>
        </w:tc>
      </w:tr>
      <w:tr w:rsidR="002E5CB5" w:rsidRPr="00EA5E16" w:rsidTr="00970780">
        <w:tc>
          <w:tcPr>
            <w:tcW w:w="596" w:type="dxa"/>
          </w:tcPr>
          <w:p w:rsidR="002E5CB5" w:rsidRPr="00EA5E16" w:rsidRDefault="002E5CB5" w:rsidP="00970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2E5CB5" w:rsidRDefault="002E5CB5" w:rsidP="002E5CB5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2E5CB5" w:rsidRPr="00EA5E16" w:rsidRDefault="00D1292D" w:rsidP="00D129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</w:t>
            </w:r>
            <w:r w:rsidR="002E5CB5">
              <w:rPr>
                <w:sz w:val="20"/>
                <w:szCs w:val="20"/>
                <w:lang w:val="sk-SK"/>
              </w:rPr>
              <w:t>rerokovalo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="002E5CB5"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655" w:type="dxa"/>
          </w:tcPr>
          <w:p w:rsidR="002E5CB5" w:rsidRDefault="002E5CB5" w:rsidP="00970780">
            <w:pPr>
              <w:ind w:left="720" w:hanging="720"/>
              <w:rPr>
                <w:sz w:val="20"/>
                <w:szCs w:val="20"/>
              </w:rPr>
            </w:pPr>
            <w:r w:rsidRPr="002E5CB5">
              <w:rPr>
                <w:sz w:val="20"/>
                <w:szCs w:val="20"/>
              </w:rPr>
              <w:t>07.02.2022</w:t>
            </w:r>
          </w:p>
        </w:tc>
      </w:tr>
    </w:tbl>
    <w:p w:rsidR="002E5CB5" w:rsidRPr="006A1DF1" w:rsidRDefault="002E5CB5" w:rsidP="002E5CB5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2E5CB5" w:rsidRPr="006A1DF1" w:rsidTr="00970780">
        <w:tc>
          <w:tcPr>
            <w:tcW w:w="421" w:type="dxa"/>
          </w:tcPr>
          <w:p w:rsidR="002E5CB5" w:rsidRPr="006A1DF1" w:rsidRDefault="002E5CB5" w:rsidP="00970780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3</w:t>
            </w:r>
            <w:r w:rsidRPr="006A1DF1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2E5CB5" w:rsidRPr="006A1DF1" w:rsidRDefault="002E5CB5" w:rsidP="00970780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A1DF1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2E5CB5" w:rsidRPr="006A1DF1" w:rsidRDefault="002E5CB5" w:rsidP="00970780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 w:rsidRPr="006A1DF1">
              <w:rPr>
                <w:b/>
                <w:sz w:val="20"/>
                <w:szCs w:val="20"/>
                <w:lang w:val="sk-SK"/>
              </w:rPr>
              <w:t>Inezis</w:t>
            </w:r>
            <w:proofErr w:type="spellEnd"/>
            <w:r w:rsidRPr="006A1DF1">
              <w:rPr>
                <w:b/>
                <w:sz w:val="20"/>
                <w:szCs w:val="20"/>
                <w:lang w:val="sk-SK"/>
              </w:rPr>
              <w:t xml:space="preserve"> Identity </w:t>
            </w:r>
            <w:proofErr w:type="spellStart"/>
            <w:r w:rsidRPr="006A1DF1">
              <w:rPr>
                <w:b/>
                <w:sz w:val="20"/>
                <w:szCs w:val="20"/>
                <w:lang w:val="sk-SK"/>
              </w:rPr>
              <w:t>Solutions</w:t>
            </w:r>
            <w:proofErr w:type="spellEnd"/>
            <w:r w:rsidRPr="006A1DF1">
              <w:rPr>
                <w:b/>
                <w:sz w:val="20"/>
                <w:szCs w:val="20"/>
                <w:lang w:val="sk-SK"/>
              </w:rPr>
              <w:t>, s.r.o.</w:t>
            </w:r>
            <w:r w:rsidRPr="001F33A9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6A1DF1">
              <w:rPr>
                <w:sz w:val="20"/>
                <w:szCs w:val="20"/>
                <w:lang w:val="sk-SK"/>
              </w:rPr>
              <w:t>Sekurisova</w:t>
            </w:r>
            <w:proofErr w:type="spellEnd"/>
            <w:r w:rsidRPr="006A1DF1">
              <w:rPr>
                <w:sz w:val="20"/>
                <w:szCs w:val="20"/>
                <w:lang w:val="sk-SK"/>
              </w:rPr>
              <w:t xml:space="preserve"> 16, 841 02 Bratislava, IČO: 50 951 980</w:t>
            </w:r>
          </w:p>
          <w:p w:rsidR="002E5CB5" w:rsidRPr="006A1DF1" w:rsidRDefault="002E5CB5" w:rsidP="00970780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6A1DF1">
              <w:rPr>
                <w:sz w:val="20"/>
                <w:szCs w:val="20"/>
                <w:lang w:val="sk-SK"/>
              </w:rPr>
              <w:t xml:space="preserve">nájomca je zapísaný v OR OS Bratislava I, oddiel: </w:t>
            </w:r>
            <w:proofErr w:type="spellStart"/>
            <w:r w:rsidRPr="006A1DF1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6A1DF1">
              <w:rPr>
                <w:sz w:val="20"/>
                <w:szCs w:val="20"/>
                <w:lang w:val="sk-SK"/>
              </w:rPr>
              <w:t xml:space="preserve">, vložka č.: 120689/B. </w:t>
            </w:r>
          </w:p>
        </w:tc>
      </w:tr>
      <w:tr w:rsidR="002E5CB5" w:rsidRPr="006A1DF1" w:rsidTr="00970780">
        <w:trPr>
          <w:trHeight w:val="1026"/>
        </w:trPr>
        <w:tc>
          <w:tcPr>
            <w:tcW w:w="421" w:type="dxa"/>
          </w:tcPr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6A1DF1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1F33A9">
              <w:rPr>
                <w:sz w:val="20"/>
                <w:szCs w:val="20"/>
                <w:lang w:val="sk-SK"/>
              </w:rPr>
              <w:t xml:space="preserve">dodatkom č. </w:t>
            </w:r>
            <w:r>
              <w:rPr>
                <w:sz w:val="20"/>
                <w:szCs w:val="20"/>
                <w:lang w:val="sk-SK"/>
              </w:rPr>
              <w:t>1 k Nájomnej zmluve č. 68/2020 R-STU s dobou nájmu od 01.10</w:t>
            </w:r>
            <w:r w:rsidRPr="001F33A9">
              <w:rPr>
                <w:sz w:val="20"/>
                <w:szCs w:val="20"/>
                <w:lang w:val="sk-SK"/>
              </w:rPr>
              <w:t>.20</w:t>
            </w:r>
            <w:r>
              <w:rPr>
                <w:sz w:val="20"/>
                <w:szCs w:val="20"/>
                <w:lang w:val="sk-SK"/>
              </w:rPr>
              <w:t>2</w:t>
            </w:r>
            <w:r w:rsidRPr="001F33A9">
              <w:rPr>
                <w:sz w:val="20"/>
                <w:szCs w:val="20"/>
                <w:lang w:val="sk-SK"/>
              </w:rPr>
              <w:t>1 do</w:t>
            </w:r>
            <w:r>
              <w:rPr>
                <w:sz w:val="20"/>
                <w:szCs w:val="20"/>
                <w:lang w:val="sk-SK"/>
              </w:rPr>
              <w:t> 30.09.2025</w:t>
            </w:r>
            <w:r w:rsidRPr="001F33A9">
              <w:rPr>
                <w:sz w:val="20"/>
                <w:szCs w:val="20"/>
                <w:lang w:val="sk-SK"/>
              </w:rPr>
              <w:t xml:space="preserve"> sa </w:t>
            </w:r>
            <w:r w:rsidRPr="001F33A9">
              <w:rPr>
                <w:b/>
                <w:sz w:val="20"/>
                <w:szCs w:val="20"/>
                <w:lang w:val="sk-SK"/>
              </w:rPr>
              <w:t>od 01.04.2022 rozširuje predmet nájmu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6A1DF1">
              <w:rPr>
                <w:sz w:val="20"/>
                <w:szCs w:val="20"/>
                <w:lang w:val="sk-SK"/>
              </w:rPr>
              <w:t>nebytový priestor nachádzajúci sa na ulici Ilkovičova č. 3 v BA, budova D, 5. poschodí, kancelársky priestor č. 501 o výmere 40,96m</w:t>
            </w:r>
            <w:r w:rsidRPr="006A1DF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1DF1">
              <w:rPr>
                <w:sz w:val="20"/>
                <w:szCs w:val="20"/>
                <w:lang w:val="sk-SK"/>
              </w:rPr>
              <w:t>, č. 502 o výmere 43,01m</w:t>
            </w:r>
            <w:r w:rsidRPr="006A1DF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1DF1">
              <w:rPr>
                <w:sz w:val="20"/>
                <w:szCs w:val="20"/>
                <w:lang w:val="sk-SK"/>
              </w:rPr>
              <w:t>, č. 503 o výmere 18,96m</w:t>
            </w:r>
            <w:r w:rsidRPr="006A1DF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1DF1">
              <w:rPr>
                <w:sz w:val="20"/>
                <w:szCs w:val="20"/>
                <w:lang w:val="sk-SK"/>
              </w:rPr>
              <w:t>, č. 508 o výmere 13,24m</w:t>
            </w:r>
            <w:r w:rsidRPr="006A1DF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1DF1">
              <w:rPr>
                <w:sz w:val="20"/>
                <w:szCs w:val="20"/>
                <w:lang w:val="sk-SK"/>
              </w:rPr>
              <w:t>, č. 509 o výmere 14,76m</w:t>
            </w:r>
            <w:r w:rsidRPr="006A1DF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1DF1">
              <w:rPr>
                <w:sz w:val="20"/>
                <w:szCs w:val="20"/>
                <w:lang w:val="sk-SK"/>
              </w:rPr>
              <w:t xml:space="preserve"> a č. 510 o výmere 13,24m</w:t>
            </w:r>
            <w:r w:rsidRPr="006A1DF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1F33A9">
              <w:rPr>
                <w:sz w:val="20"/>
                <w:szCs w:val="20"/>
                <w:lang w:val="sk-SK"/>
              </w:rPr>
              <w:t xml:space="preserve"> </w:t>
            </w:r>
            <w:r w:rsidRPr="001F33A9">
              <w:rPr>
                <w:b/>
                <w:sz w:val="20"/>
                <w:szCs w:val="20"/>
                <w:lang w:val="sk-SK"/>
              </w:rPr>
              <w:t>o laboratórny priestor č. 521 o výmere 43,04 m</w:t>
            </w:r>
            <w:r w:rsidRPr="001F33A9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1F33A9">
              <w:rPr>
                <w:b/>
                <w:sz w:val="20"/>
                <w:szCs w:val="20"/>
                <w:lang w:val="sk-SK"/>
              </w:rPr>
              <w:t xml:space="preserve"> a kancelársky priestor č. 503a o výmere 23,00 m</w:t>
            </w:r>
            <w:r w:rsidRPr="001F33A9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</w:p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6A1DF1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210,21 </w:t>
            </w:r>
            <w:r w:rsidRPr="006A1DF1">
              <w:rPr>
                <w:b/>
                <w:sz w:val="20"/>
                <w:szCs w:val="20"/>
                <w:lang w:val="sk-SK"/>
              </w:rPr>
              <w:t>m</w:t>
            </w:r>
            <w:r w:rsidRPr="006A1DF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6A1DF1">
              <w:rPr>
                <w:sz w:val="20"/>
                <w:szCs w:val="20"/>
                <w:lang w:val="sk-SK"/>
              </w:rPr>
              <w:t>.</w:t>
            </w:r>
          </w:p>
        </w:tc>
      </w:tr>
      <w:tr w:rsidR="002E5CB5" w:rsidRPr="006A1DF1" w:rsidTr="00970780">
        <w:tc>
          <w:tcPr>
            <w:tcW w:w="421" w:type="dxa"/>
          </w:tcPr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6A1DF1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2E5CB5" w:rsidRPr="006A1DF1" w:rsidRDefault="002E5CB5" w:rsidP="00970780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6A1DF1">
              <w:rPr>
                <w:rFonts w:cs="Times New Roman"/>
                <w:sz w:val="20"/>
                <w:szCs w:val="20"/>
                <w:lang w:val="sk-SK"/>
              </w:rPr>
              <w:t xml:space="preserve">kancelársky priestor 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a laboratórny priestor </w:t>
            </w:r>
            <w:r w:rsidRPr="006A1DF1">
              <w:rPr>
                <w:rFonts w:cs="Times New Roman"/>
                <w:sz w:val="20"/>
                <w:szCs w:val="20"/>
                <w:lang w:val="sk-SK"/>
              </w:rPr>
              <w:t>na výkon podnikateľskej činnosti nájomcu</w:t>
            </w:r>
          </w:p>
        </w:tc>
      </w:tr>
      <w:tr w:rsidR="002E5CB5" w:rsidRPr="006A1DF1" w:rsidTr="00970780">
        <w:trPr>
          <w:trHeight w:val="259"/>
        </w:trPr>
        <w:tc>
          <w:tcPr>
            <w:tcW w:w="421" w:type="dxa"/>
          </w:tcPr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6A1DF1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2E5CB5" w:rsidRPr="006A1DF1" w:rsidRDefault="002E5CB5" w:rsidP="00970780">
            <w:pPr>
              <w:rPr>
                <w:b/>
                <w:sz w:val="20"/>
                <w:szCs w:val="20"/>
                <w:lang w:val="sk-SK"/>
              </w:rPr>
            </w:pPr>
            <w:r w:rsidRPr="006A1DF1">
              <w:rPr>
                <w:b/>
                <w:sz w:val="20"/>
                <w:szCs w:val="20"/>
                <w:lang w:val="sk-SK"/>
              </w:rPr>
              <w:t>01.10.2021 – 3</w:t>
            </w:r>
            <w:r>
              <w:rPr>
                <w:b/>
                <w:sz w:val="20"/>
                <w:szCs w:val="20"/>
                <w:lang w:val="sk-SK"/>
              </w:rPr>
              <w:t>0</w:t>
            </w:r>
            <w:r w:rsidRPr="006A1DF1">
              <w:rPr>
                <w:b/>
                <w:sz w:val="20"/>
                <w:szCs w:val="20"/>
                <w:lang w:val="sk-SK"/>
              </w:rPr>
              <w:t xml:space="preserve">.09.2025 </w:t>
            </w:r>
          </w:p>
        </w:tc>
      </w:tr>
      <w:tr w:rsidR="002E5CB5" w:rsidRPr="006A1DF1" w:rsidTr="00970780">
        <w:trPr>
          <w:trHeight w:val="250"/>
        </w:trPr>
        <w:tc>
          <w:tcPr>
            <w:tcW w:w="421" w:type="dxa"/>
            <w:tcBorders>
              <w:right w:val="single" w:sz="4" w:space="0" w:color="auto"/>
            </w:tcBorders>
          </w:tcPr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6A1DF1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2E5CB5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6A1DF1">
              <w:rPr>
                <w:sz w:val="20"/>
                <w:szCs w:val="20"/>
                <w:lang w:val="sk-SK"/>
              </w:rPr>
              <w:t>kancelárske priestory (1</w:t>
            </w:r>
            <w:r>
              <w:rPr>
                <w:sz w:val="20"/>
                <w:szCs w:val="20"/>
                <w:lang w:val="sk-SK"/>
              </w:rPr>
              <w:t>67</w:t>
            </w:r>
            <w:r w:rsidRPr="006A1DF1">
              <w:rPr>
                <w:sz w:val="20"/>
                <w:szCs w:val="20"/>
                <w:lang w:val="sk-SK"/>
              </w:rPr>
              <w:t>,17 m</w:t>
            </w:r>
            <w:r w:rsidRPr="006A1DF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1DF1">
              <w:rPr>
                <w:sz w:val="20"/>
                <w:szCs w:val="20"/>
                <w:lang w:val="sk-SK"/>
              </w:rPr>
              <w:t>) – 75,00 €/m</w:t>
            </w:r>
            <w:r w:rsidRPr="006A1DF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1DF1">
              <w:rPr>
                <w:sz w:val="20"/>
                <w:szCs w:val="20"/>
                <w:lang w:val="sk-SK"/>
              </w:rPr>
              <w:t>/rok, t. j. 1</w:t>
            </w:r>
            <w:r>
              <w:rPr>
                <w:sz w:val="20"/>
                <w:szCs w:val="20"/>
                <w:lang w:val="sk-SK"/>
              </w:rPr>
              <w:t>2</w:t>
            </w:r>
            <w:r w:rsidRPr="006A1DF1">
              <w:rPr>
                <w:sz w:val="20"/>
                <w:szCs w:val="20"/>
                <w:lang w:val="sk-SK"/>
              </w:rPr>
              <w:t> </w:t>
            </w:r>
            <w:r>
              <w:rPr>
                <w:sz w:val="20"/>
                <w:szCs w:val="20"/>
                <w:lang w:val="sk-SK"/>
              </w:rPr>
              <w:t>537</w:t>
            </w:r>
            <w:r w:rsidRPr="006A1DF1">
              <w:rPr>
                <w:sz w:val="20"/>
                <w:szCs w:val="20"/>
                <w:lang w:val="sk-SK"/>
              </w:rPr>
              <w:t>,75 €/rok,</w:t>
            </w:r>
          </w:p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laboratórne pr</w:t>
            </w:r>
            <w:r w:rsidRPr="006A1DF1">
              <w:rPr>
                <w:sz w:val="20"/>
                <w:szCs w:val="20"/>
                <w:lang w:val="sk-SK"/>
              </w:rPr>
              <w:t>iestory (</w:t>
            </w:r>
            <w:r>
              <w:rPr>
                <w:sz w:val="20"/>
                <w:szCs w:val="20"/>
                <w:lang w:val="sk-SK"/>
              </w:rPr>
              <w:t>43,04</w:t>
            </w:r>
            <w:r w:rsidRPr="006A1DF1">
              <w:rPr>
                <w:sz w:val="20"/>
                <w:szCs w:val="20"/>
                <w:lang w:val="sk-SK"/>
              </w:rPr>
              <w:t xml:space="preserve"> m</w:t>
            </w:r>
            <w:r w:rsidRPr="006A1DF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1DF1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46</w:t>
            </w:r>
            <w:r w:rsidRPr="006A1DF1">
              <w:rPr>
                <w:sz w:val="20"/>
                <w:szCs w:val="20"/>
                <w:lang w:val="sk-SK"/>
              </w:rPr>
              <w:t>,00 €/m</w:t>
            </w:r>
            <w:r w:rsidRPr="006A1DF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1DF1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</w:t>
            </w:r>
            <w:r w:rsidRPr="006A1DF1">
              <w:rPr>
                <w:sz w:val="20"/>
                <w:szCs w:val="20"/>
                <w:lang w:val="sk-SK"/>
              </w:rPr>
              <w:t> </w:t>
            </w:r>
            <w:r>
              <w:rPr>
                <w:sz w:val="20"/>
                <w:szCs w:val="20"/>
                <w:lang w:val="sk-SK"/>
              </w:rPr>
              <w:t>979,84</w:t>
            </w:r>
            <w:r w:rsidRPr="006A1DF1">
              <w:rPr>
                <w:sz w:val="20"/>
                <w:szCs w:val="20"/>
                <w:lang w:val="sk-SK"/>
              </w:rPr>
              <w:t xml:space="preserve"> €/rok,</w:t>
            </w:r>
          </w:p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6A1DF1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3 629,40</w:t>
            </w:r>
            <w:r w:rsidRPr="006A1DF1">
              <w:rPr>
                <w:sz w:val="20"/>
                <w:szCs w:val="20"/>
                <w:lang w:val="sk-SK"/>
              </w:rPr>
              <w:t xml:space="preserve"> €,</w:t>
            </w:r>
          </w:p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6A1DF1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14</w:t>
            </w:r>
            <w:r w:rsidRPr="006A1DF1">
              <w:rPr>
                <w:b/>
                <w:sz w:val="20"/>
                <w:szCs w:val="20"/>
                <w:lang w:val="sk-SK"/>
              </w:rPr>
              <w:t> </w:t>
            </w:r>
            <w:r>
              <w:rPr>
                <w:b/>
                <w:sz w:val="20"/>
                <w:szCs w:val="20"/>
                <w:lang w:val="sk-SK"/>
              </w:rPr>
              <w:t>517,59</w:t>
            </w:r>
            <w:r w:rsidRPr="006A1DF1">
              <w:rPr>
                <w:b/>
                <w:sz w:val="20"/>
                <w:szCs w:val="20"/>
                <w:lang w:val="sk-SK"/>
              </w:rPr>
              <w:t xml:space="preserve"> €/rok.</w:t>
            </w:r>
          </w:p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6A1DF1">
              <w:rPr>
                <w:sz w:val="20"/>
                <w:szCs w:val="20"/>
                <w:lang w:val="sk-SK"/>
              </w:rPr>
              <w:t>nájomné je v súlade so smernicou</w:t>
            </w:r>
            <w:r w:rsidRPr="006A1DF1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6A1DF1">
              <w:rPr>
                <w:sz w:val="20"/>
                <w:szCs w:val="20"/>
                <w:lang w:val="sk-SK"/>
              </w:rPr>
              <w:t>.</w:t>
            </w:r>
          </w:p>
        </w:tc>
      </w:tr>
      <w:tr w:rsidR="002E5CB5" w:rsidRPr="006A1DF1" w:rsidTr="00970780">
        <w:trPr>
          <w:trHeight w:val="50"/>
        </w:trPr>
        <w:tc>
          <w:tcPr>
            <w:tcW w:w="421" w:type="dxa"/>
          </w:tcPr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6A1DF1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2E5CB5" w:rsidRPr="006A1DF1" w:rsidRDefault="002E5CB5" w:rsidP="00970780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6A1DF1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6A1DF1">
              <w:rPr>
                <w:sz w:val="20"/>
                <w:u w:val="single"/>
                <w:lang w:val="sk-SK"/>
              </w:rPr>
              <w:t>zálohovo</w:t>
            </w:r>
            <w:r w:rsidRPr="006A1DF1">
              <w:rPr>
                <w:sz w:val="20"/>
                <w:lang w:val="sk-SK"/>
              </w:rPr>
              <w:t xml:space="preserve"> štvrťročne vopred</w:t>
            </w:r>
          </w:p>
          <w:p w:rsidR="002E5CB5" w:rsidRPr="006A1DF1" w:rsidRDefault="002E5CB5" w:rsidP="00970780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6A1DF1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2E5CB5" w:rsidRPr="006A1DF1" w:rsidRDefault="002E5CB5" w:rsidP="00970780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6A1DF1">
              <w:rPr>
                <w:sz w:val="20"/>
                <w:lang w:val="sk-SK"/>
              </w:rPr>
              <w:t>nainštalované zariadenie na meranie spotreby el. energie. Základ pre stanovenie paušálnej</w:t>
            </w:r>
          </w:p>
          <w:p w:rsidR="002E5CB5" w:rsidRPr="006A1DF1" w:rsidRDefault="002E5CB5" w:rsidP="00970780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6A1DF1">
              <w:rPr>
                <w:sz w:val="20"/>
                <w:lang w:val="sk-SK"/>
              </w:rPr>
              <w:t>sadzby tvoria náklady predchádzajúceho obdobia za dodanie vody, tepla, teplej vody</w:t>
            </w:r>
          </w:p>
          <w:p w:rsidR="002E5CB5" w:rsidRPr="006A1DF1" w:rsidRDefault="002E5CB5" w:rsidP="00970780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6A1DF1">
              <w:rPr>
                <w:sz w:val="20"/>
                <w:lang w:val="sk-SK"/>
              </w:rPr>
              <w:t>a služieb celkových priestorov FEI STU a pre nájomcu určené prepočtom podľa prenajatej</w:t>
            </w:r>
          </w:p>
          <w:p w:rsidR="002E5CB5" w:rsidRPr="006A1DF1" w:rsidRDefault="002E5CB5" w:rsidP="00970780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A1DF1">
              <w:rPr>
                <w:sz w:val="20"/>
                <w:lang w:val="sk-SK"/>
              </w:rPr>
              <w:t>plochy.</w:t>
            </w:r>
          </w:p>
        </w:tc>
      </w:tr>
      <w:tr w:rsidR="002E5CB5" w:rsidRPr="006A1DF1" w:rsidTr="00970780">
        <w:tc>
          <w:tcPr>
            <w:tcW w:w="421" w:type="dxa"/>
          </w:tcPr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E5CB5" w:rsidRPr="006A1DF1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6A1DF1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2E5CB5" w:rsidRPr="006A1DF1" w:rsidRDefault="002E5CB5" w:rsidP="00970780">
            <w:pPr>
              <w:ind w:left="720" w:hanging="720"/>
              <w:rPr>
                <w:sz w:val="20"/>
                <w:szCs w:val="20"/>
                <w:lang w:val="sk-SK"/>
              </w:rPr>
            </w:pPr>
            <w:r w:rsidRPr="006A1DF1">
              <w:rPr>
                <w:sz w:val="20"/>
                <w:szCs w:val="20"/>
                <w:lang w:val="sk-SK"/>
              </w:rPr>
              <w:t>dekan FEI STU</w:t>
            </w:r>
          </w:p>
        </w:tc>
      </w:tr>
      <w:tr w:rsidR="002E5CB5" w:rsidRPr="006A1DF1" w:rsidTr="00970780">
        <w:tc>
          <w:tcPr>
            <w:tcW w:w="421" w:type="dxa"/>
          </w:tcPr>
          <w:p w:rsidR="002E5CB5" w:rsidRPr="006A1DF1" w:rsidRDefault="002E5CB5" w:rsidP="00970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2E5CB5" w:rsidRDefault="002E5CB5" w:rsidP="002E5CB5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2E5CB5" w:rsidRPr="006A1DF1" w:rsidRDefault="00D1292D" w:rsidP="002E5C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</w:t>
            </w:r>
            <w:r w:rsidR="002E5CB5">
              <w:rPr>
                <w:sz w:val="20"/>
                <w:szCs w:val="20"/>
                <w:lang w:val="sk-SK"/>
              </w:rPr>
              <w:t>rerokovalo</w:t>
            </w:r>
            <w:r>
              <w:rPr>
                <w:color w:val="FFFFFF" w:themeColor="background1"/>
                <w:sz w:val="20"/>
                <w:szCs w:val="20"/>
                <w:lang w:val="sk-SK"/>
              </w:rPr>
              <w:t xml:space="preserve"> </w:t>
            </w:r>
            <w:r w:rsidR="002E5CB5"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2E5CB5" w:rsidRPr="006A1DF1" w:rsidRDefault="002E5CB5" w:rsidP="00970780">
            <w:pPr>
              <w:ind w:left="720" w:hanging="720"/>
              <w:rPr>
                <w:sz w:val="20"/>
                <w:szCs w:val="20"/>
              </w:rPr>
            </w:pPr>
            <w:r w:rsidRPr="002E5CB5">
              <w:rPr>
                <w:sz w:val="20"/>
                <w:szCs w:val="20"/>
              </w:rPr>
              <w:t>07.02.2022</w:t>
            </w:r>
          </w:p>
        </w:tc>
      </w:tr>
    </w:tbl>
    <w:p w:rsidR="007E4379" w:rsidRPr="00F143B6" w:rsidRDefault="007E4379" w:rsidP="002E5CB5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2E5CB5" w:rsidRPr="00F143B6" w:rsidTr="00970780">
        <w:tc>
          <w:tcPr>
            <w:tcW w:w="421" w:type="dxa"/>
          </w:tcPr>
          <w:p w:rsidR="002E5CB5" w:rsidRPr="00F143B6" w:rsidRDefault="00A140C3" w:rsidP="00970780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4</w:t>
            </w:r>
            <w:r w:rsidR="002E5CB5" w:rsidRPr="00F143B6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2E5CB5" w:rsidRPr="00F143B6" w:rsidRDefault="002E5CB5" w:rsidP="00970780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143B6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2E5CB5" w:rsidRPr="00F143B6" w:rsidRDefault="002E5CB5" w:rsidP="00970780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143B6">
              <w:rPr>
                <w:b/>
                <w:sz w:val="20"/>
                <w:szCs w:val="20"/>
                <w:lang w:val="sk-SK"/>
              </w:rPr>
              <w:t xml:space="preserve">KONTOKORENT s.r.o., </w:t>
            </w:r>
            <w:r w:rsidRPr="00F143B6">
              <w:rPr>
                <w:sz w:val="20"/>
                <w:szCs w:val="20"/>
                <w:lang w:val="sk-SK"/>
              </w:rPr>
              <w:t xml:space="preserve">M. </w:t>
            </w:r>
            <w:proofErr w:type="spellStart"/>
            <w:r w:rsidRPr="00F143B6">
              <w:rPr>
                <w:sz w:val="20"/>
                <w:szCs w:val="20"/>
                <w:lang w:val="sk-SK"/>
              </w:rPr>
              <w:t>Schneidra</w:t>
            </w:r>
            <w:proofErr w:type="spellEnd"/>
            <w:r w:rsidRPr="00F143B6">
              <w:rPr>
                <w:sz w:val="20"/>
                <w:szCs w:val="20"/>
                <w:lang w:val="sk-SK"/>
              </w:rPr>
              <w:t xml:space="preserve"> Trnavského 3606/2E</w:t>
            </w:r>
            <w:r>
              <w:rPr>
                <w:sz w:val="20"/>
                <w:szCs w:val="20"/>
                <w:lang w:val="sk-SK"/>
              </w:rPr>
              <w:t xml:space="preserve">, </w:t>
            </w:r>
            <w:r w:rsidRPr="00F143B6">
              <w:rPr>
                <w:sz w:val="20"/>
                <w:szCs w:val="20"/>
                <w:lang w:val="sk-SK"/>
              </w:rPr>
              <w:t xml:space="preserve">841 01 Bratislava - mestská časť </w:t>
            </w:r>
          </w:p>
          <w:p w:rsidR="002E5CB5" w:rsidRPr="00F143B6" w:rsidRDefault="002E5CB5" w:rsidP="00970780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Dúbravka, IČO: 35 966 572</w:t>
            </w:r>
          </w:p>
          <w:p w:rsidR="002E5CB5" w:rsidRPr="00F143B6" w:rsidRDefault="002E5CB5" w:rsidP="00970780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 xml:space="preserve">nájomca je zapísaný v OR OS Bratislava I, oddiel </w:t>
            </w:r>
            <w:proofErr w:type="spellStart"/>
            <w:r w:rsidRPr="00F143B6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F143B6">
              <w:rPr>
                <w:sz w:val="20"/>
                <w:szCs w:val="20"/>
                <w:lang w:val="sk-SK"/>
              </w:rPr>
              <w:t>, vložka č.: 38464/B</w:t>
            </w:r>
          </w:p>
        </w:tc>
      </w:tr>
      <w:tr w:rsidR="002E5CB5" w:rsidRPr="00F143B6" w:rsidTr="00970780">
        <w:trPr>
          <w:trHeight w:val="708"/>
        </w:trPr>
        <w:tc>
          <w:tcPr>
            <w:tcW w:w="421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2E5CB5" w:rsidRPr="00F143B6" w:rsidRDefault="002E5CB5" w:rsidP="00970780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143B6">
              <w:rPr>
                <w:b/>
                <w:sz w:val="20"/>
                <w:szCs w:val="20"/>
                <w:lang w:val="sk-SK"/>
              </w:rPr>
              <w:t>dodatkom č. 4</w:t>
            </w:r>
            <w:r w:rsidRPr="00F143B6">
              <w:rPr>
                <w:sz w:val="20"/>
                <w:szCs w:val="20"/>
                <w:lang w:val="sk-SK"/>
              </w:rPr>
              <w:t xml:space="preserve"> k Nájomnej zmluve č. 47/2012 R-STU spolu s dodatkami č.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F143B6">
              <w:rPr>
                <w:sz w:val="20"/>
                <w:szCs w:val="20"/>
                <w:lang w:val="sk-SK"/>
              </w:rPr>
              <w:t>1 a č.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F143B6">
              <w:rPr>
                <w:sz w:val="20"/>
                <w:szCs w:val="20"/>
                <w:lang w:val="sk-SK"/>
              </w:rPr>
              <w:t xml:space="preserve">3 s dobou nájmu od 01.01.2013 do 31.12.2021 </w:t>
            </w:r>
            <w:r w:rsidRPr="00F143B6">
              <w:rPr>
                <w:b/>
                <w:sz w:val="20"/>
                <w:szCs w:val="20"/>
                <w:lang w:val="sk-SK"/>
              </w:rPr>
              <w:t>sa 01.01.2022 predlžuje doba trvania nájmu;</w:t>
            </w:r>
            <w:r w:rsidRPr="00F143B6">
              <w:rPr>
                <w:sz w:val="20"/>
                <w:szCs w:val="20"/>
                <w:lang w:val="sk-SK"/>
              </w:rPr>
              <w:t xml:space="preserve"> dočasne nepotrebný majetok nachádzajúci sa v budove FEI STU, Ilkovičova 3 v BA, v bloku </w:t>
            </w:r>
            <w:r>
              <w:rPr>
                <w:sz w:val="20"/>
                <w:szCs w:val="20"/>
                <w:lang w:val="sk-SK"/>
              </w:rPr>
              <w:t>D na 4. </w:t>
            </w:r>
            <w:r w:rsidRPr="00F143B6">
              <w:rPr>
                <w:sz w:val="20"/>
                <w:szCs w:val="20"/>
                <w:lang w:val="sk-SK"/>
              </w:rPr>
              <w:t>poschodí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F143B6">
              <w:rPr>
                <w:sz w:val="20"/>
                <w:szCs w:val="20"/>
                <w:lang w:val="sk-SK"/>
              </w:rPr>
              <w:t>č. dverí 418</w:t>
            </w:r>
            <w:r>
              <w:rPr>
                <w:sz w:val="20"/>
                <w:szCs w:val="20"/>
                <w:lang w:val="sk-SK"/>
              </w:rPr>
              <w:t>,</w:t>
            </w:r>
            <w:r w:rsidRPr="00F143B6">
              <w:rPr>
                <w:sz w:val="20"/>
                <w:szCs w:val="20"/>
                <w:lang w:val="sk-SK"/>
              </w:rPr>
              <w:t xml:space="preserve"> č. 419 </w:t>
            </w:r>
            <w:r>
              <w:rPr>
                <w:sz w:val="20"/>
                <w:szCs w:val="20"/>
                <w:lang w:val="sk-SK"/>
              </w:rPr>
              <w:t xml:space="preserve">a č. 420 </w:t>
            </w:r>
            <w:r w:rsidRPr="00F143B6">
              <w:rPr>
                <w:sz w:val="20"/>
                <w:szCs w:val="20"/>
                <w:lang w:val="sk-SK"/>
              </w:rPr>
              <w:t xml:space="preserve">spolu o výmere </w:t>
            </w:r>
            <w:r>
              <w:rPr>
                <w:sz w:val="20"/>
                <w:szCs w:val="20"/>
                <w:lang w:val="sk-SK"/>
              </w:rPr>
              <w:t>41,24</w:t>
            </w:r>
            <w:r w:rsidRPr="00F143B6">
              <w:rPr>
                <w:sz w:val="20"/>
                <w:szCs w:val="20"/>
                <w:lang w:val="sk-SK"/>
              </w:rPr>
              <w:t xml:space="preserve">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 xml:space="preserve">2 </w:t>
            </w:r>
            <w:r w:rsidRPr="00F143B6">
              <w:rPr>
                <w:b/>
                <w:sz w:val="20"/>
                <w:szCs w:val="20"/>
                <w:lang w:val="sk-SK"/>
              </w:rPr>
              <w:t>do 31.12.2026,</w:t>
            </w:r>
          </w:p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 xml:space="preserve"> predmet nájmu spolu: </w:t>
            </w:r>
            <w:r>
              <w:rPr>
                <w:b/>
                <w:sz w:val="20"/>
                <w:szCs w:val="20"/>
                <w:lang w:val="sk-SK"/>
              </w:rPr>
              <w:t>41,24</w:t>
            </w:r>
            <w:r w:rsidRPr="00F143B6">
              <w:rPr>
                <w:b/>
                <w:sz w:val="20"/>
                <w:szCs w:val="20"/>
                <w:lang w:val="sk-SK"/>
              </w:rPr>
              <w:t xml:space="preserve"> m</w:t>
            </w:r>
            <w:r w:rsidRPr="00F143B6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.</w:t>
            </w:r>
          </w:p>
        </w:tc>
      </w:tr>
      <w:tr w:rsidR="002E5CB5" w:rsidRPr="00F143B6" w:rsidTr="00970780">
        <w:tc>
          <w:tcPr>
            <w:tcW w:w="421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2E5CB5" w:rsidRPr="00F143B6" w:rsidRDefault="002E5CB5" w:rsidP="00970780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F143B6">
              <w:rPr>
                <w:rFonts w:cs="Times New Roman"/>
                <w:sz w:val="20"/>
                <w:szCs w:val="20"/>
                <w:lang w:val="sk-SK"/>
              </w:rPr>
              <w:t>kancelársky a skladový priestor na výkon podnikateľskej činnosti nájomcu</w:t>
            </w:r>
          </w:p>
        </w:tc>
      </w:tr>
      <w:tr w:rsidR="002E5CB5" w:rsidRPr="00F143B6" w:rsidTr="00970780">
        <w:trPr>
          <w:trHeight w:val="259"/>
        </w:trPr>
        <w:tc>
          <w:tcPr>
            <w:tcW w:w="421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2E5CB5" w:rsidRPr="00F143B6" w:rsidRDefault="002E5CB5" w:rsidP="00970780">
            <w:pPr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01.01.2013 – 31.12.2026</w:t>
            </w:r>
          </w:p>
        </w:tc>
      </w:tr>
      <w:tr w:rsidR="002E5CB5" w:rsidRPr="00F143B6" w:rsidTr="00970780">
        <w:trPr>
          <w:trHeight w:val="816"/>
        </w:trPr>
        <w:tc>
          <w:tcPr>
            <w:tcW w:w="421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kancelársky priestor (</w:t>
            </w:r>
            <w:r>
              <w:rPr>
                <w:sz w:val="20"/>
                <w:szCs w:val="20"/>
                <w:lang w:val="sk-SK"/>
              </w:rPr>
              <w:t>41,42</w:t>
            </w:r>
            <w:r w:rsidRPr="00F143B6">
              <w:rPr>
                <w:sz w:val="20"/>
                <w:szCs w:val="20"/>
                <w:lang w:val="sk-SK"/>
              </w:rPr>
              <w:t xml:space="preserve">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56,54</w:t>
            </w:r>
            <w:r w:rsidRPr="00F143B6">
              <w:rPr>
                <w:sz w:val="20"/>
                <w:szCs w:val="20"/>
                <w:lang w:val="sk-SK"/>
              </w:rPr>
              <w:t xml:space="preserve"> €/m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2.331,71</w:t>
            </w:r>
            <w:r w:rsidRPr="00F143B6">
              <w:rPr>
                <w:sz w:val="20"/>
                <w:szCs w:val="20"/>
                <w:lang w:val="sk-SK"/>
              </w:rPr>
              <w:t xml:space="preserve"> €/rok,</w:t>
            </w:r>
          </w:p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582,93</w:t>
            </w:r>
            <w:r w:rsidRPr="00F143B6">
              <w:rPr>
                <w:sz w:val="20"/>
                <w:szCs w:val="20"/>
                <w:lang w:val="sk-SK"/>
              </w:rPr>
              <w:t xml:space="preserve"> €,</w:t>
            </w:r>
          </w:p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2.331,71</w:t>
            </w:r>
            <w:r w:rsidRPr="00F143B6">
              <w:rPr>
                <w:b/>
                <w:sz w:val="20"/>
                <w:szCs w:val="20"/>
                <w:lang w:val="sk-SK"/>
              </w:rPr>
              <w:t xml:space="preserve"> €/rok.</w:t>
            </w:r>
          </w:p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nájomné je v súlade so smernicou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F143B6">
              <w:rPr>
                <w:sz w:val="20"/>
                <w:szCs w:val="20"/>
                <w:lang w:val="sk-SK"/>
              </w:rPr>
              <w:t>.</w:t>
            </w:r>
          </w:p>
        </w:tc>
      </w:tr>
      <w:tr w:rsidR="002E5CB5" w:rsidRPr="00F143B6" w:rsidTr="00970780">
        <w:trPr>
          <w:trHeight w:val="50"/>
        </w:trPr>
        <w:tc>
          <w:tcPr>
            <w:tcW w:w="421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2E5CB5" w:rsidRPr="00F143B6" w:rsidRDefault="002E5CB5" w:rsidP="00970780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143B6">
              <w:rPr>
                <w:sz w:val="20"/>
                <w:lang w:val="sk-SK"/>
              </w:rPr>
              <w:t>preddavky na náklady za dodanie energií a služieb sú stanovené zálohovo štvrťročne vopred.</w:t>
            </w:r>
          </w:p>
          <w:p w:rsidR="002E5CB5" w:rsidRPr="00F143B6" w:rsidRDefault="002E5CB5" w:rsidP="00970780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143B6">
              <w:rPr>
                <w:sz w:val="20"/>
                <w:lang w:val="sk-SK"/>
              </w:rPr>
              <w:t>Nájomca má v predmete nájmu nainštalované zariadenie na meranie spotreby el. energie.</w:t>
            </w:r>
          </w:p>
          <w:p w:rsidR="002E5CB5" w:rsidRPr="00F143B6" w:rsidRDefault="002E5CB5" w:rsidP="00970780">
            <w:pPr>
              <w:ind w:left="709" w:hanging="709"/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Základ pre stanovenie paušálnej sadzby tvoria </w:t>
            </w:r>
            <w:r w:rsidRPr="00F143B6">
              <w:rPr>
                <w:sz w:val="20"/>
                <w:lang w:val="sk-SK"/>
              </w:rPr>
              <w:t>náklady pred</w:t>
            </w:r>
            <w:r>
              <w:rPr>
                <w:sz w:val="20"/>
                <w:lang w:val="sk-SK"/>
              </w:rPr>
              <w:t>chádzajúceho obdobia za dodanie</w:t>
            </w:r>
          </w:p>
          <w:p w:rsidR="002E5CB5" w:rsidRPr="00F143B6" w:rsidRDefault="002E5CB5" w:rsidP="00970780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143B6">
              <w:rPr>
                <w:sz w:val="20"/>
                <w:lang w:val="sk-SK"/>
              </w:rPr>
              <w:t>vody, tepla, teplej vody a služieb celkových priestorov FEI STU a pre nájomcu určené</w:t>
            </w:r>
          </w:p>
          <w:p w:rsidR="002E5CB5" w:rsidRPr="00F143B6" w:rsidRDefault="002E5CB5" w:rsidP="00970780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lang w:val="sk-SK"/>
              </w:rPr>
              <w:t>prepočtom podľa prenajatej plochy.</w:t>
            </w:r>
          </w:p>
        </w:tc>
      </w:tr>
      <w:tr w:rsidR="002E5CB5" w:rsidRPr="00F143B6" w:rsidTr="00970780">
        <w:tc>
          <w:tcPr>
            <w:tcW w:w="421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2E5CB5" w:rsidRPr="00F143B6" w:rsidRDefault="002E5CB5" w:rsidP="00970780">
            <w:pPr>
              <w:ind w:left="720" w:hanging="720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dekan FEI STU</w:t>
            </w:r>
          </w:p>
        </w:tc>
      </w:tr>
      <w:tr w:rsidR="004748C5" w:rsidRPr="00F143B6" w:rsidTr="00970780">
        <w:tc>
          <w:tcPr>
            <w:tcW w:w="421" w:type="dxa"/>
          </w:tcPr>
          <w:p w:rsidR="004748C5" w:rsidRPr="00F143B6" w:rsidRDefault="004748C5" w:rsidP="00970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4748C5" w:rsidRDefault="004748C5" w:rsidP="004748C5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4748C5" w:rsidRPr="00F143B6" w:rsidRDefault="007E4379" w:rsidP="00474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</w:t>
            </w:r>
            <w:r w:rsidR="004748C5">
              <w:rPr>
                <w:sz w:val="20"/>
                <w:szCs w:val="20"/>
                <w:lang w:val="sk-SK"/>
              </w:rPr>
              <w:t>rerokovalo</w:t>
            </w:r>
            <w:r>
              <w:rPr>
                <w:color w:val="FFFFFF" w:themeColor="background1"/>
                <w:sz w:val="20"/>
                <w:szCs w:val="20"/>
                <w:lang w:val="sk-SK"/>
              </w:rPr>
              <w:t xml:space="preserve"> </w:t>
            </w:r>
            <w:r w:rsidR="004748C5"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4748C5" w:rsidRPr="00F143B6" w:rsidRDefault="007E4379" w:rsidP="00970780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</w:t>
            </w:r>
          </w:p>
        </w:tc>
      </w:tr>
    </w:tbl>
    <w:p w:rsidR="002E5CB5" w:rsidRPr="00F143B6" w:rsidRDefault="002E5CB5" w:rsidP="002E5CB5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2E5CB5" w:rsidRPr="00F143B6" w:rsidTr="00970780">
        <w:tc>
          <w:tcPr>
            <w:tcW w:w="421" w:type="dxa"/>
          </w:tcPr>
          <w:p w:rsidR="002E5CB5" w:rsidRPr="00F143B6" w:rsidRDefault="00A140C3" w:rsidP="00970780">
            <w:pPr>
              <w:ind w:left="360" w:hanging="326"/>
              <w:rPr>
                <w:rFonts w:cstheme="minorHAnsi"/>
                <w:b/>
                <w:sz w:val="20"/>
                <w:szCs w:val="20"/>
                <w:lang w:val="sk-SK"/>
              </w:rPr>
            </w:pPr>
            <w:r>
              <w:rPr>
                <w:rFonts w:cstheme="minorHAnsi"/>
                <w:b/>
                <w:sz w:val="20"/>
                <w:szCs w:val="20"/>
                <w:lang w:val="sk-SK"/>
              </w:rPr>
              <w:t>5</w:t>
            </w:r>
            <w:r w:rsidR="002E5CB5" w:rsidRPr="00F143B6">
              <w:rPr>
                <w:rFonts w:cstheme="min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b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Slovenský výbor Svetovej energetickej rady</w:t>
            </w:r>
            <w:r w:rsidRPr="00D5188F">
              <w:rPr>
                <w:rFonts w:cstheme="minorHAnsi"/>
                <w:sz w:val="20"/>
                <w:szCs w:val="20"/>
                <w:lang w:val="sk-SK"/>
              </w:rPr>
              <w:t>, Ilkovičova 3, 841 04 Bratislava</w:t>
            </w:r>
            <w:r>
              <w:rPr>
                <w:rFonts w:cstheme="minorHAnsi"/>
                <w:sz w:val="20"/>
                <w:szCs w:val="20"/>
                <w:lang w:val="sk-SK"/>
              </w:rPr>
              <w:t xml:space="preserve">, IČO: </w:t>
            </w:r>
            <w:r w:rsidRPr="00D5188F">
              <w:rPr>
                <w:rFonts w:cstheme="minorHAnsi"/>
                <w:sz w:val="20"/>
                <w:szCs w:val="20"/>
                <w:lang w:val="sk-SK"/>
              </w:rPr>
              <w:t>30805244</w:t>
            </w:r>
          </w:p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nájomca je občianske združenie, registrované na MV SR, SVS, zn. VVS/1-900/90-8439.</w:t>
            </w:r>
          </w:p>
        </w:tc>
      </w:tr>
      <w:tr w:rsidR="002E5CB5" w:rsidRPr="00F143B6" w:rsidTr="00970780">
        <w:trPr>
          <w:trHeight w:val="950"/>
        </w:trPr>
        <w:tc>
          <w:tcPr>
            <w:tcW w:w="421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b/>
                <w:sz w:val="20"/>
                <w:szCs w:val="20"/>
                <w:lang w:val="sk-SK"/>
              </w:rPr>
              <w:t xml:space="preserve">dodatkom č. 1 </w:t>
            </w:r>
            <w:r w:rsidRPr="00F143B6">
              <w:rPr>
                <w:sz w:val="20"/>
                <w:szCs w:val="20"/>
                <w:lang w:val="sk-SK"/>
              </w:rPr>
              <w:t>k Nájomnej zmluve č. 15/2017 R-STU s dobou nájmu od 01.0</w:t>
            </w:r>
            <w:r>
              <w:rPr>
                <w:sz w:val="20"/>
                <w:szCs w:val="20"/>
                <w:lang w:val="sk-SK"/>
              </w:rPr>
              <w:t>5</w:t>
            </w:r>
            <w:r w:rsidRPr="00F143B6">
              <w:rPr>
                <w:sz w:val="20"/>
                <w:szCs w:val="20"/>
                <w:lang w:val="sk-SK"/>
              </w:rPr>
              <w:t>.2017</w:t>
            </w:r>
            <w:r>
              <w:rPr>
                <w:sz w:val="20"/>
                <w:szCs w:val="20"/>
                <w:lang w:val="sk-SK"/>
              </w:rPr>
              <w:t xml:space="preserve"> do </w:t>
            </w:r>
            <w:r w:rsidRPr="00F143B6">
              <w:rPr>
                <w:sz w:val="20"/>
                <w:szCs w:val="20"/>
                <w:lang w:val="sk-SK"/>
              </w:rPr>
              <w:t xml:space="preserve">31.12.2021 </w:t>
            </w:r>
            <w:r w:rsidRPr="00F143B6">
              <w:rPr>
                <w:b/>
                <w:sz w:val="20"/>
                <w:szCs w:val="20"/>
                <w:lang w:val="sk-SK"/>
              </w:rPr>
              <w:t>sa 01.01.2022 predlžuje doba trvania nájmu;</w:t>
            </w:r>
            <w:r w:rsidRPr="00F143B6">
              <w:rPr>
                <w:sz w:val="20"/>
                <w:szCs w:val="20"/>
                <w:lang w:val="sk-SK"/>
              </w:rPr>
              <w:t xml:space="preserve"> 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>dočasne nepotrebný majetok, nebytové priestory nachádzajúce sa v administratívnej budove FEI STU, Ilkovičova 3, Bratislava, v objekte „C“, druhé poschodie, kancelársky priestor č. 206 o výmere 11,78m</w:t>
            </w:r>
            <w:r w:rsidRPr="00F143B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cstheme="minorHAnsi"/>
                <w:b/>
                <w:sz w:val="20"/>
                <w:szCs w:val="20"/>
                <w:lang w:val="sk-SK"/>
              </w:rPr>
              <w:t xml:space="preserve"> do </w:t>
            </w: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31.12.2022,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 </w:t>
            </w:r>
          </w:p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predmet nájmu celkom o výmer </w:t>
            </w: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11,78m</w:t>
            </w:r>
            <w:r w:rsidRPr="00F143B6">
              <w:rPr>
                <w:rFonts w:cstheme="min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 . </w:t>
            </w:r>
          </w:p>
        </w:tc>
      </w:tr>
      <w:tr w:rsidR="002E5CB5" w:rsidRPr="00F143B6" w:rsidTr="00970780">
        <w:tc>
          <w:tcPr>
            <w:tcW w:w="421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využívanie predmetu nájmu na bežnú kancelársku činnosť v súlade so Stanovami</w:t>
            </w:r>
          </w:p>
        </w:tc>
      </w:tr>
      <w:tr w:rsidR="002E5CB5" w:rsidRPr="00F143B6" w:rsidTr="00970780">
        <w:trPr>
          <w:trHeight w:val="259"/>
        </w:trPr>
        <w:tc>
          <w:tcPr>
            <w:tcW w:w="421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01.05.2017 - 31.12.2022</w:t>
            </w:r>
          </w:p>
        </w:tc>
      </w:tr>
      <w:tr w:rsidR="002E5CB5" w:rsidRPr="00F143B6" w:rsidTr="00970780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Nájomné:             </w:t>
            </w:r>
          </w:p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2E5CB5" w:rsidRPr="00F143B6" w:rsidRDefault="002E5CB5" w:rsidP="00970780">
            <w:pPr>
              <w:jc w:val="both"/>
              <w:rPr>
                <w:rFonts w:cstheme="minorHAnsi"/>
                <w:b/>
                <w:sz w:val="20"/>
                <w:szCs w:val="20"/>
                <w:lang w:val="sk-SK"/>
              </w:rPr>
            </w:pPr>
            <w:r>
              <w:rPr>
                <w:rFonts w:cstheme="minorHAnsi"/>
                <w:sz w:val="20"/>
                <w:szCs w:val="20"/>
                <w:lang w:val="sk-SK"/>
              </w:rPr>
              <w:t>nebytové priestory spolu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 - 60,00€/m</w:t>
            </w:r>
            <w:r w:rsidRPr="00F143B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/rok </w:t>
            </w: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t. j. spolu ročne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 </w:t>
            </w: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 xml:space="preserve">706,80 €. </w:t>
            </w:r>
          </w:p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Nájomné hradí nájomca štvrťročne vopred vždy k 15. dňu prvého mes</w:t>
            </w:r>
            <w:r>
              <w:rPr>
                <w:rFonts w:cstheme="minorHAnsi"/>
                <w:sz w:val="20"/>
                <w:szCs w:val="20"/>
                <w:lang w:val="sk-SK"/>
              </w:rPr>
              <w:t xml:space="preserve">iaca daného štvrťroka vo výške 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>176,70 €,</w:t>
            </w:r>
          </w:p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nájomné je v súlade so smernicou</w:t>
            </w:r>
            <w:r w:rsidRPr="00F143B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1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. </w:t>
            </w:r>
          </w:p>
        </w:tc>
      </w:tr>
      <w:tr w:rsidR="002E5CB5" w:rsidRPr="00F143B6" w:rsidTr="00970780">
        <w:trPr>
          <w:trHeight w:val="50"/>
        </w:trPr>
        <w:tc>
          <w:tcPr>
            <w:tcW w:w="421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2E5CB5" w:rsidRPr="00F143B6" w:rsidRDefault="002E5CB5" w:rsidP="00970780">
            <w:pPr>
              <w:pStyle w:val="Zkladntext"/>
              <w:rPr>
                <w:rFonts w:asciiTheme="minorHAnsi" w:hAnsiTheme="minorHAnsi" w:cstheme="minorHAnsi"/>
                <w:sz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lang w:val="sk-SK"/>
              </w:rPr>
              <w:t xml:space="preserve">preddavky na náklady za </w:t>
            </w:r>
            <w:r w:rsidRPr="00F143B6">
              <w:rPr>
                <w:rFonts w:asciiTheme="minorHAnsi" w:hAnsiTheme="minorHAnsi" w:cstheme="minorHAnsi"/>
                <w:sz w:val="20"/>
                <w:lang w:val="sk-SK"/>
              </w:rPr>
              <w:t xml:space="preserve">dodanie energií a služieb sú stanovené </w:t>
            </w:r>
            <w:r w:rsidRPr="00F143B6">
              <w:rPr>
                <w:rFonts w:asciiTheme="minorHAnsi" w:hAnsiTheme="minorHAnsi" w:cstheme="minorHAnsi"/>
                <w:sz w:val="20"/>
                <w:u w:val="single"/>
                <w:lang w:val="sk-SK"/>
              </w:rPr>
              <w:t>zálohovo</w:t>
            </w:r>
            <w:r w:rsidRPr="00F143B6">
              <w:rPr>
                <w:rFonts w:asciiTheme="minorHAnsi" w:hAnsiTheme="minorHAnsi" w:cstheme="minorHAnsi"/>
                <w:sz w:val="20"/>
                <w:lang w:val="sk-SK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</w:t>
            </w:r>
            <w:r>
              <w:rPr>
                <w:rFonts w:asciiTheme="minorHAnsi" w:hAnsiTheme="minorHAnsi" w:cstheme="minorHAnsi"/>
                <w:sz w:val="20"/>
                <w:lang w:val="sk-SK"/>
              </w:rPr>
              <w:t>e</w:t>
            </w:r>
            <w:r w:rsidRPr="00F143B6">
              <w:rPr>
                <w:rFonts w:asciiTheme="minorHAnsi" w:hAnsiTheme="minorHAnsi" w:cstheme="minorHAnsi"/>
                <w:sz w:val="20"/>
                <w:lang w:val="sk-SK"/>
              </w:rPr>
              <w:t xml:space="preserve"> vody, tepla, teplej vody a služieb celkových priestorov FEI STU a pre nájomcu určené prepočtom podľa prenajatej plochy.</w:t>
            </w:r>
          </w:p>
        </w:tc>
      </w:tr>
      <w:tr w:rsidR="002E5CB5" w:rsidRPr="00F143B6" w:rsidTr="00970780">
        <w:tc>
          <w:tcPr>
            <w:tcW w:w="421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2E5CB5" w:rsidRPr="00F143B6" w:rsidRDefault="002E5CB5" w:rsidP="00970780">
            <w:pPr>
              <w:ind w:left="720" w:hanging="720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dekan FEI  STU</w:t>
            </w:r>
          </w:p>
        </w:tc>
      </w:tr>
      <w:tr w:rsidR="004748C5" w:rsidRPr="00F143B6" w:rsidTr="00970780">
        <w:tc>
          <w:tcPr>
            <w:tcW w:w="421" w:type="dxa"/>
          </w:tcPr>
          <w:p w:rsidR="004748C5" w:rsidRPr="00F143B6" w:rsidRDefault="004748C5" w:rsidP="009707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748C5" w:rsidRDefault="00D1292D" w:rsidP="004748C5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Vedenie STU</w:t>
            </w:r>
          </w:p>
          <w:p w:rsidR="004748C5" w:rsidRPr="00F143B6" w:rsidRDefault="00D1292D" w:rsidP="00D1292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</w:t>
            </w:r>
            <w:r w:rsidR="004748C5">
              <w:rPr>
                <w:sz w:val="20"/>
                <w:szCs w:val="20"/>
                <w:lang w:val="sk-SK"/>
              </w:rPr>
              <w:t>rerokovalo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="004748C5"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4748C5" w:rsidRPr="00F143B6" w:rsidRDefault="007E4379" w:rsidP="00970780">
            <w:pPr>
              <w:ind w:left="720" w:hanging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</w:t>
            </w:r>
          </w:p>
        </w:tc>
      </w:tr>
    </w:tbl>
    <w:p w:rsidR="002E5CB5" w:rsidRPr="00F143B6" w:rsidRDefault="002E5CB5" w:rsidP="002E5CB5"/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54"/>
        <w:gridCol w:w="1702"/>
        <w:gridCol w:w="7768"/>
      </w:tblGrid>
      <w:tr w:rsidR="002E5CB5" w:rsidRPr="00F143B6" w:rsidTr="00970780">
        <w:tc>
          <w:tcPr>
            <w:tcW w:w="454" w:type="dxa"/>
          </w:tcPr>
          <w:p w:rsidR="002E5CB5" w:rsidRPr="00F143B6" w:rsidRDefault="00A140C3" w:rsidP="00970780">
            <w:pPr>
              <w:ind w:left="360" w:hanging="326"/>
              <w:rPr>
                <w:rFonts w:cstheme="minorHAnsi"/>
                <w:b/>
                <w:sz w:val="20"/>
                <w:szCs w:val="20"/>
                <w:lang w:val="sk-SK"/>
              </w:rPr>
            </w:pPr>
            <w:r>
              <w:rPr>
                <w:rFonts w:cstheme="minorHAnsi"/>
                <w:b/>
                <w:sz w:val="20"/>
                <w:szCs w:val="20"/>
                <w:lang w:val="sk-SK"/>
              </w:rPr>
              <w:t>6</w:t>
            </w:r>
            <w:r w:rsidR="002E5CB5" w:rsidRPr="00F143B6">
              <w:rPr>
                <w:rFonts w:cstheme="min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b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2E5CB5" w:rsidRPr="00F143B6" w:rsidRDefault="002E5CB5" w:rsidP="00970780">
            <w:pPr>
              <w:pStyle w:val="Odsekzoznamu"/>
              <w:ind w:left="644" w:hanging="611"/>
              <w:rPr>
                <w:rFonts w:cstheme="minorHAnsi"/>
                <w:b/>
                <w:sz w:val="20"/>
                <w:szCs w:val="20"/>
                <w:lang w:val="sk-SK"/>
              </w:rPr>
            </w:pPr>
            <w:proofErr w:type="spellStart"/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Algate</w:t>
            </w:r>
            <w:proofErr w:type="spellEnd"/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, s. r. o.</w:t>
            </w:r>
            <w:r>
              <w:rPr>
                <w:rFonts w:cstheme="minorHAnsi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F143B6">
              <w:rPr>
                <w:rFonts w:cstheme="minorHAnsi"/>
                <w:sz w:val="20"/>
                <w:szCs w:val="20"/>
                <w:lang w:val="sk-SK"/>
              </w:rPr>
              <w:t>Švabinského</w:t>
            </w:r>
            <w:proofErr w:type="spellEnd"/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 5, 851 01 Bratislava, IČO: 44 769 890,</w:t>
            </w:r>
          </w:p>
          <w:p w:rsidR="002E5CB5" w:rsidRPr="00F143B6" w:rsidRDefault="002E5CB5" w:rsidP="00970780">
            <w:pPr>
              <w:pStyle w:val="Odsekzoznamu"/>
              <w:ind w:left="644" w:hanging="611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nájomca je zapísaný v OR OS Bratislava I, od</w:t>
            </w:r>
            <w:r>
              <w:rPr>
                <w:rFonts w:cstheme="minorHAnsi"/>
                <w:sz w:val="20"/>
                <w:szCs w:val="20"/>
                <w:lang w:val="sk-SK"/>
              </w:rPr>
              <w:t xml:space="preserve">diel: </w:t>
            </w:r>
            <w:proofErr w:type="spellStart"/>
            <w:r>
              <w:rPr>
                <w:rFonts w:cstheme="minorHAnsi"/>
                <w:sz w:val="20"/>
                <w:szCs w:val="20"/>
                <w:lang w:val="sk-SK"/>
              </w:rPr>
              <w:t>Sro</w:t>
            </w:r>
            <w:proofErr w:type="spellEnd"/>
            <w:r>
              <w:rPr>
                <w:rFonts w:cstheme="minorHAnsi"/>
                <w:sz w:val="20"/>
                <w:szCs w:val="20"/>
                <w:lang w:val="sk-SK"/>
              </w:rPr>
              <w:t>, vložka č. 58350/B</w:t>
            </w:r>
          </w:p>
        </w:tc>
      </w:tr>
      <w:tr w:rsidR="002E5CB5" w:rsidRPr="00F143B6" w:rsidTr="00970780">
        <w:trPr>
          <w:trHeight w:val="1788"/>
        </w:trPr>
        <w:tc>
          <w:tcPr>
            <w:tcW w:w="454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dočasne nepotrebný majetok; nebytové priestory nachádzajúce v priestoroch Centrálnych laboratórií Stavebnej fakulty STU na Technickej ulici č. 5 v Bratislave: kancelária č. 101.1 o výmere 19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kancelária č. 101.2 o výmere 19,40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kancelária č. 102.2 o výmere 19,80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chodba</w:t>
            </w:r>
            <w:r w:rsidRPr="00F143B6">
              <w:rPr>
                <w:sz w:val="20"/>
                <w:szCs w:val="20"/>
                <w:lang w:val="sk-SK"/>
              </w:rPr>
              <w:t xml:space="preserve"> č. 103.1 o výmere 14,50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kancelária č. 103.2 o výmere 41,20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sklad</w:t>
            </w:r>
            <w:r w:rsidRPr="00F143B6">
              <w:rPr>
                <w:sz w:val="20"/>
                <w:szCs w:val="20"/>
                <w:lang w:val="sk-SK"/>
              </w:rPr>
              <w:t xml:space="preserve"> č. 104.1 o výmere 49,00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kancelária č. 105 o výmere 19,80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kancelária č. 106 o výmere 19,80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kancelária č. 107 o výmere 19,80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hala č. 112 o výmere 241,20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</w:t>
            </w:r>
            <w:r w:rsidRPr="00F143B6">
              <w:rPr>
                <w:sz w:val="20"/>
                <w:szCs w:val="20"/>
                <w:lang w:val="sk-SK"/>
              </w:rPr>
              <w:t>garáž č. 114 o výmere 14,90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</w:t>
            </w:r>
            <w:r w:rsidRPr="00F143B6">
              <w:rPr>
                <w:sz w:val="20"/>
                <w:szCs w:val="20"/>
                <w:lang w:val="sk-SK"/>
              </w:rPr>
              <w:t>garáž č. 117 o výmere 14,90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voľné plochy o výmere 51,00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</w:t>
            </w:r>
            <w:r w:rsidRPr="00F143B6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143B6">
              <w:rPr>
                <w:sz w:val="20"/>
                <w:szCs w:val="20"/>
                <w:lang w:val="sk-SK"/>
              </w:rPr>
              <w:t>alikvot</w:t>
            </w:r>
            <w:proofErr w:type="spellEnd"/>
            <w:r w:rsidRPr="00F143B6">
              <w:rPr>
                <w:sz w:val="20"/>
                <w:szCs w:val="20"/>
                <w:lang w:val="sk-SK"/>
              </w:rPr>
              <w:t>. časť predmetu nájmu užívaného s inými užívateľmi: chodba č. 100.1 o výmere 13,20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schodisko č. 100.2 o výmere 10,80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chodba č. 100.3 o výmere 7,68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chodba č. 100.4 o výmere 28,68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soc. zariadenie č. 108 o výmere 4,14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umyváreň č. 109</w:t>
            </w:r>
            <w:r w:rsidRPr="00F143B6">
              <w:rPr>
                <w:sz w:val="20"/>
                <w:szCs w:val="20"/>
                <w:lang w:val="sk-SK"/>
              </w:rPr>
              <w:t xml:space="preserve"> o výmere </w:t>
            </w:r>
            <w:r>
              <w:rPr>
                <w:sz w:val="20"/>
                <w:szCs w:val="20"/>
                <w:lang w:val="sk-SK"/>
              </w:rPr>
              <w:t>5,46</w:t>
            </w:r>
            <w:r w:rsidRPr="00F143B6">
              <w:rPr>
                <w:sz w:val="20"/>
                <w:szCs w:val="20"/>
                <w:lang w:val="sk-SK"/>
              </w:rPr>
              <w:t xml:space="preserve">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umyváreň č. </w:t>
            </w:r>
            <w:r w:rsidRPr="00F143B6">
              <w:rPr>
                <w:sz w:val="20"/>
                <w:szCs w:val="20"/>
                <w:lang w:val="sk-SK"/>
              </w:rPr>
              <w:t>111.1 o výmere 5,60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</w:t>
            </w:r>
          </w:p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 xml:space="preserve">predmet nájmu spolu: </w:t>
            </w:r>
            <w:r w:rsidRPr="00F143B6">
              <w:rPr>
                <w:b/>
                <w:sz w:val="20"/>
                <w:szCs w:val="20"/>
                <w:lang w:val="sk-SK"/>
              </w:rPr>
              <w:t>634,56 m</w:t>
            </w:r>
            <w:r w:rsidRPr="00F143B6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.</w:t>
            </w:r>
          </w:p>
        </w:tc>
      </w:tr>
      <w:tr w:rsidR="002E5CB5" w:rsidRPr="00F143B6" w:rsidTr="00970780">
        <w:tc>
          <w:tcPr>
            <w:tcW w:w="454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Nájomca bude využívať prenajaté priestory na účel v súlade s predmetom svojej podnikateľskej činnosti.</w:t>
            </w:r>
          </w:p>
        </w:tc>
      </w:tr>
      <w:tr w:rsidR="002E5CB5" w:rsidRPr="00F143B6" w:rsidTr="00970780">
        <w:trPr>
          <w:trHeight w:val="259"/>
        </w:trPr>
        <w:tc>
          <w:tcPr>
            <w:tcW w:w="454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01.01.2022 – 31.12.2025</w:t>
            </w:r>
          </w:p>
        </w:tc>
      </w:tr>
      <w:tr w:rsidR="002E5CB5" w:rsidRPr="00F143B6" w:rsidTr="00970780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Nájomné:             </w:t>
            </w:r>
          </w:p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kancelárie (158,80 m</w:t>
            </w:r>
            <w:r w:rsidRPr="00F143B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>) – 50,00 €/m</w:t>
            </w:r>
            <w:r w:rsidRPr="00F143B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>/rok, t. j. 7 940,00 €/rok,</w:t>
            </w:r>
          </w:p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haly, dielne (241,20 m</w:t>
            </w:r>
            <w:r w:rsidRPr="00F143B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>) – 25,00 €/m</w:t>
            </w:r>
            <w:r w:rsidRPr="00F143B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>/rok, t. j. 6 030,00 €/rok,</w:t>
            </w:r>
          </w:p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skladové priestory, garáže (93,70 m</w:t>
            </w:r>
            <w:r w:rsidRPr="00F143B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>) – 15,00 €/m</w:t>
            </w:r>
            <w:r w:rsidRPr="00F143B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>/rok, t. j. 1 405,50 €/rok,</w:t>
            </w:r>
          </w:p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sociálne zariadenia (15,20 m</w:t>
            </w:r>
            <w:r w:rsidRPr="00F143B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>) – 25,00 €/m</w:t>
            </w:r>
            <w:r w:rsidRPr="00F143B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>/rok, t. j. 380,00 €/rok,</w:t>
            </w:r>
          </w:p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chodby a schodiská (60,36 m</w:t>
            </w:r>
            <w:r w:rsidRPr="00F143B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>) – 17,00 €/m</w:t>
            </w:r>
            <w:r w:rsidRPr="00F143B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>/rok, t. j. 1 026,12€/rok,</w:t>
            </w:r>
          </w:p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voľné plochy (51,00 m</w:t>
            </w:r>
            <w:r w:rsidRPr="00F143B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>) – 10,00 €/m</w:t>
            </w:r>
            <w:r w:rsidRPr="00F143B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>/rok, t. j. 510,00 €/rok,</w:t>
            </w:r>
          </w:p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štvrťročná výška nájomného je 4 322,90 €,</w:t>
            </w:r>
          </w:p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nájomné spolu ročne: </w:t>
            </w: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17 291,62 €/rok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>.</w:t>
            </w:r>
          </w:p>
          <w:p w:rsidR="002E5CB5" w:rsidRPr="00F143B6" w:rsidRDefault="002E5CB5" w:rsidP="00970780">
            <w:pPr>
              <w:pStyle w:val="Odsekzoznamu"/>
              <w:ind w:left="644" w:hanging="644"/>
              <w:rPr>
                <w:rFonts w:cstheme="minorHAnsi"/>
                <w:sz w:val="20"/>
                <w:szCs w:val="20"/>
                <w:vertAlign w:val="superscript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nájomné je v súlade so smernicou</w:t>
            </w:r>
            <w:r w:rsidRPr="00F143B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2E5CB5" w:rsidRPr="00F143B6" w:rsidTr="00970780">
        <w:trPr>
          <w:trHeight w:val="468"/>
        </w:trPr>
        <w:tc>
          <w:tcPr>
            <w:tcW w:w="454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8" w:type="dxa"/>
          </w:tcPr>
          <w:p w:rsidR="002E5CB5" w:rsidRPr="00F143B6" w:rsidRDefault="002E5CB5" w:rsidP="00970780">
            <w:pPr>
              <w:pStyle w:val="Zkladntext"/>
              <w:rPr>
                <w:rFonts w:asciiTheme="minorHAnsi" w:hAnsiTheme="minorHAnsi" w:cstheme="minorHAnsi"/>
                <w:sz w:val="20"/>
                <w:lang w:val="sk-SK"/>
              </w:rPr>
            </w:pPr>
            <w:r w:rsidRPr="00F143B6">
              <w:rPr>
                <w:rFonts w:asciiTheme="minorHAnsi" w:hAnsiTheme="minorHAnsi" w:cstheme="minorHAnsi"/>
                <w:sz w:val="20"/>
                <w:lang w:val="sk-SK"/>
              </w:rPr>
              <w:t>Náklady za dodávku energií a poskytovanie služieb budú zálohovo fakturované nájomcovi do</w:t>
            </w:r>
            <w:r>
              <w:rPr>
                <w:rFonts w:asciiTheme="minorHAnsi" w:hAnsiTheme="minorHAnsi" w:cstheme="minorHAnsi"/>
                <w:sz w:val="20"/>
                <w:lang w:val="sk-SK"/>
              </w:rPr>
              <w:t> </w:t>
            </w:r>
            <w:r w:rsidRPr="00F143B6">
              <w:rPr>
                <w:rFonts w:asciiTheme="minorHAnsi" w:hAnsiTheme="minorHAnsi" w:cstheme="minorHAnsi"/>
                <w:sz w:val="20"/>
                <w:lang w:val="sk-SK"/>
              </w:rPr>
              <w:t>15. dňa 1. mesiaca daného štvrťroka a to v súlade s § 19 ods. 3 zákona č. 222/2004 Z. z. o</w:t>
            </w:r>
            <w:r>
              <w:rPr>
                <w:rFonts w:asciiTheme="minorHAnsi" w:hAnsiTheme="minorHAnsi" w:cstheme="minorHAnsi"/>
                <w:sz w:val="20"/>
                <w:lang w:val="sk-SK"/>
              </w:rPr>
              <w:t> </w:t>
            </w:r>
            <w:r w:rsidRPr="00F143B6">
              <w:rPr>
                <w:rFonts w:asciiTheme="minorHAnsi" w:hAnsiTheme="minorHAnsi" w:cstheme="minorHAnsi"/>
                <w:sz w:val="20"/>
                <w:lang w:val="sk-SK"/>
              </w:rPr>
              <w:t xml:space="preserve">dani z pridanej hodnoty v znení zmien a doplnení, ako opakované plnenie. Splatnosť </w:t>
            </w:r>
            <w:r w:rsidRPr="00F143B6">
              <w:rPr>
                <w:rFonts w:asciiTheme="minorHAnsi" w:hAnsiTheme="minorHAnsi" w:cstheme="minorHAnsi"/>
                <w:sz w:val="20"/>
                <w:lang w:val="sk-SK"/>
              </w:rPr>
              <w:lastRenderedPageBreak/>
              <w:t>zálohových faktúr je 7 kalendárnych dní. Výška zálohových platieb bude vypočítaná ako aritmetický priemer z platieb za uplynulý kalendárny rok.</w:t>
            </w:r>
          </w:p>
        </w:tc>
      </w:tr>
      <w:tr w:rsidR="002E5CB5" w:rsidRPr="00F143B6" w:rsidTr="00970780">
        <w:tc>
          <w:tcPr>
            <w:tcW w:w="454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dekan </w:t>
            </w:r>
            <w:proofErr w:type="spellStart"/>
            <w:r w:rsidRPr="00F143B6">
              <w:rPr>
                <w:rFonts w:cstheme="minorHAnsi"/>
                <w:sz w:val="20"/>
                <w:szCs w:val="20"/>
                <w:lang w:val="sk-SK"/>
              </w:rPr>
              <w:t>SvF</w:t>
            </w:r>
            <w:proofErr w:type="spellEnd"/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 STU</w:t>
            </w:r>
          </w:p>
        </w:tc>
      </w:tr>
      <w:tr w:rsidR="004748C5" w:rsidRPr="00F143B6" w:rsidTr="00970780">
        <w:tc>
          <w:tcPr>
            <w:tcW w:w="454" w:type="dxa"/>
          </w:tcPr>
          <w:p w:rsidR="004748C5" w:rsidRPr="00F143B6" w:rsidRDefault="004748C5" w:rsidP="009707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748C5" w:rsidRDefault="004748C5" w:rsidP="004748C5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4748C5" w:rsidRPr="00F143B6" w:rsidRDefault="00D1292D" w:rsidP="004748C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</w:t>
            </w:r>
            <w:r w:rsidR="004748C5">
              <w:rPr>
                <w:sz w:val="20"/>
                <w:szCs w:val="20"/>
                <w:lang w:val="sk-SK"/>
              </w:rPr>
              <w:t>rerokovalo</w:t>
            </w:r>
            <w:r>
              <w:rPr>
                <w:color w:val="FFFFFF" w:themeColor="background1"/>
                <w:sz w:val="20"/>
                <w:szCs w:val="20"/>
                <w:lang w:val="sk-SK"/>
              </w:rPr>
              <w:t xml:space="preserve"> </w:t>
            </w:r>
            <w:r w:rsidR="004748C5"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68" w:type="dxa"/>
          </w:tcPr>
          <w:p w:rsidR="004748C5" w:rsidRPr="00F143B6" w:rsidRDefault="004748C5" w:rsidP="00970780">
            <w:pPr>
              <w:rPr>
                <w:rFonts w:cstheme="minorHAnsi"/>
                <w:sz w:val="20"/>
                <w:szCs w:val="20"/>
              </w:rPr>
            </w:pPr>
            <w:r w:rsidRPr="004748C5">
              <w:rPr>
                <w:sz w:val="20"/>
                <w:szCs w:val="20"/>
              </w:rPr>
              <w:t>06.12.2021</w:t>
            </w:r>
          </w:p>
        </w:tc>
      </w:tr>
    </w:tbl>
    <w:p w:rsidR="002E5CB5" w:rsidRPr="00F143B6" w:rsidRDefault="002E5CB5" w:rsidP="002E5CB5"/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54"/>
        <w:gridCol w:w="1702"/>
        <w:gridCol w:w="7768"/>
      </w:tblGrid>
      <w:tr w:rsidR="002E5CB5" w:rsidRPr="00F143B6" w:rsidTr="00970780">
        <w:tc>
          <w:tcPr>
            <w:tcW w:w="454" w:type="dxa"/>
          </w:tcPr>
          <w:p w:rsidR="002E5CB5" w:rsidRPr="00F143B6" w:rsidRDefault="00A140C3" w:rsidP="00970780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7</w:t>
            </w:r>
            <w:r w:rsidR="002E5CB5" w:rsidRPr="00F143B6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143B6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2E5CB5" w:rsidRPr="00F143B6" w:rsidRDefault="002E5CB5" w:rsidP="00970780">
            <w:pPr>
              <w:pStyle w:val="Odsekzoznamu"/>
              <w:ind w:left="644" w:hanging="611"/>
              <w:rPr>
                <w:b/>
                <w:sz w:val="20"/>
                <w:szCs w:val="20"/>
                <w:lang w:val="sk-SK"/>
              </w:rPr>
            </w:pPr>
            <w:proofErr w:type="spellStart"/>
            <w:r w:rsidRPr="00F143B6">
              <w:rPr>
                <w:b/>
                <w:sz w:val="20"/>
                <w:szCs w:val="20"/>
                <w:lang w:val="sk-SK"/>
              </w:rPr>
              <w:t>Algate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>, s. r. o.</w:t>
            </w:r>
            <w:r w:rsidRPr="0094504F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F143B6">
              <w:rPr>
                <w:sz w:val="20"/>
                <w:szCs w:val="20"/>
                <w:lang w:val="sk-SK"/>
              </w:rPr>
              <w:t>Švabinského</w:t>
            </w:r>
            <w:proofErr w:type="spellEnd"/>
            <w:r w:rsidRPr="00F143B6">
              <w:rPr>
                <w:sz w:val="20"/>
                <w:szCs w:val="20"/>
                <w:lang w:val="sk-SK"/>
              </w:rPr>
              <w:t xml:space="preserve"> 5, 851 01 Bratislava, IČO: 44 769 890,</w:t>
            </w:r>
          </w:p>
          <w:p w:rsidR="002E5CB5" w:rsidRPr="00F143B6" w:rsidRDefault="002E5CB5" w:rsidP="00970780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nájomca je zapísaný v OR OS Bratislava I, odd</w:t>
            </w:r>
            <w:r>
              <w:rPr>
                <w:sz w:val="20"/>
                <w:szCs w:val="20"/>
                <w:lang w:val="sk-SK"/>
              </w:rPr>
              <w:t xml:space="preserve">iel: </w:t>
            </w:r>
            <w:proofErr w:type="spellStart"/>
            <w:r>
              <w:rPr>
                <w:sz w:val="20"/>
                <w:szCs w:val="20"/>
                <w:lang w:val="sk-SK"/>
              </w:rPr>
              <w:t>Sro</w:t>
            </w:r>
            <w:proofErr w:type="spellEnd"/>
            <w:r>
              <w:rPr>
                <w:sz w:val="20"/>
                <w:szCs w:val="20"/>
                <w:lang w:val="sk-SK"/>
              </w:rPr>
              <w:t>, vložka č. 58350/B</w:t>
            </w:r>
          </w:p>
        </w:tc>
      </w:tr>
      <w:tr w:rsidR="002E5CB5" w:rsidRPr="00F143B6" w:rsidTr="00970780">
        <w:trPr>
          <w:trHeight w:val="1048"/>
        </w:trPr>
        <w:tc>
          <w:tcPr>
            <w:tcW w:w="454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 xml:space="preserve">dočasne nepotrebný majetok, 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časť nehnuteľnosti – </w:t>
            </w:r>
            <w:r w:rsidRPr="00F143B6">
              <w:rPr>
                <w:sz w:val="20"/>
                <w:szCs w:val="20"/>
                <w:lang w:val="sk-SK"/>
              </w:rPr>
              <w:t>12 parkovacích miest</w:t>
            </w:r>
          </w:p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nachádzajúcich sa v </w:t>
            </w:r>
            <w:r>
              <w:rPr>
                <w:sz w:val="20"/>
                <w:szCs w:val="20"/>
                <w:lang w:val="sk-SK"/>
              </w:rPr>
              <w:t xml:space="preserve">areáli Centrálnych laboratórií </w:t>
            </w:r>
            <w:proofErr w:type="spellStart"/>
            <w:r w:rsidRPr="00F143B6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F143B6">
              <w:rPr>
                <w:sz w:val="20"/>
                <w:szCs w:val="20"/>
                <w:lang w:val="sk-SK"/>
              </w:rPr>
              <w:t xml:space="preserve"> STU na Technickej ulici č. 5 v BA, z toho 2 státia v zastrešených boxoch.</w:t>
            </w:r>
          </w:p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 xml:space="preserve">predmet nájmu spolu: </w:t>
            </w:r>
            <w:r w:rsidRPr="00F143B6">
              <w:rPr>
                <w:b/>
                <w:sz w:val="20"/>
                <w:szCs w:val="20"/>
                <w:lang w:val="sk-SK"/>
              </w:rPr>
              <w:t>12 pakovacích miest</w:t>
            </w:r>
            <w:r w:rsidRPr="00F143B6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2E5CB5" w:rsidRPr="00F143B6" w:rsidTr="00970780">
        <w:tc>
          <w:tcPr>
            <w:tcW w:w="454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Parkovanie osobných motorových vozidiel prenajímateľa.</w:t>
            </w:r>
          </w:p>
        </w:tc>
      </w:tr>
      <w:tr w:rsidR="002E5CB5" w:rsidRPr="00F143B6" w:rsidTr="00970780">
        <w:trPr>
          <w:trHeight w:val="259"/>
        </w:trPr>
        <w:tc>
          <w:tcPr>
            <w:tcW w:w="454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2E5CB5" w:rsidRPr="00F143B6" w:rsidRDefault="002E5CB5" w:rsidP="00970780">
            <w:pPr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01.01.2022 – 31.12.2025</w:t>
            </w:r>
          </w:p>
        </w:tc>
      </w:tr>
      <w:tr w:rsidR="002E5CB5" w:rsidRPr="00F143B6" w:rsidTr="00970780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zmluvné strany sa dohodli na nájomnom vo výške 183,34 €/rok/1 státie,</w:t>
            </w:r>
          </w:p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nájomné spolu ročne: </w:t>
            </w: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2 220,00 €/ 1</w:t>
            </w:r>
            <w:r>
              <w:rPr>
                <w:rFonts w:cstheme="minorHAnsi"/>
                <w:b/>
                <w:sz w:val="20"/>
                <w:szCs w:val="20"/>
                <w:lang w:val="sk-SK"/>
              </w:rPr>
              <w:t>2</w:t>
            </w: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 xml:space="preserve"> státi</w:t>
            </w:r>
          </w:p>
          <w:p w:rsidR="002E5CB5" w:rsidRPr="00F143B6" w:rsidRDefault="002E5CB5" w:rsidP="00970780">
            <w:pPr>
              <w:pStyle w:val="Odsekzoznamu"/>
              <w:ind w:left="644" w:hanging="644"/>
              <w:rPr>
                <w:sz w:val="20"/>
                <w:szCs w:val="20"/>
                <w:vertAlign w:val="superscript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nájomné je v súlade so smernicou</w:t>
            </w:r>
            <w:r w:rsidRPr="00F143B6">
              <w:rPr>
                <w:rStyle w:val="Odkaznapoznmkupodiarou"/>
                <w:rFonts w:cstheme="minorHAnsi"/>
                <w:sz w:val="20"/>
                <w:szCs w:val="20"/>
                <w:lang w:val="sk-SK"/>
              </w:rPr>
              <w:footnoteReference w:id="1"/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 </w:t>
            </w:r>
            <w:r w:rsidRPr="00F143B6">
              <w:rPr>
                <w:sz w:val="20"/>
                <w:szCs w:val="20"/>
                <w:lang w:val="sk-SK"/>
              </w:rPr>
              <w:t>nájomné je v súlade so smernicou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2E5CB5" w:rsidRPr="00F143B6" w:rsidTr="00970780">
        <w:trPr>
          <w:trHeight w:val="468"/>
        </w:trPr>
        <w:tc>
          <w:tcPr>
            <w:tcW w:w="454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8" w:type="dxa"/>
          </w:tcPr>
          <w:p w:rsidR="002E5CB5" w:rsidRPr="00F143B6" w:rsidRDefault="002E5CB5" w:rsidP="00970780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F143B6">
              <w:rPr>
                <w:rFonts w:asciiTheme="minorHAnsi" w:hAnsiTheme="minorHAnsi" w:cstheme="minorHAnsi"/>
                <w:sz w:val="20"/>
                <w:lang w:val="sk-SK"/>
              </w:rPr>
              <w:t>-------------</w:t>
            </w:r>
          </w:p>
        </w:tc>
      </w:tr>
      <w:tr w:rsidR="002E5CB5" w:rsidRPr="00F143B6" w:rsidTr="00970780">
        <w:tc>
          <w:tcPr>
            <w:tcW w:w="454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2E5CB5" w:rsidRPr="00F143B6" w:rsidRDefault="002E5CB5" w:rsidP="00970780">
            <w:pPr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 xml:space="preserve">dekan </w:t>
            </w:r>
            <w:proofErr w:type="spellStart"/>
            <w:r w:rsidRPr="00F143B6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F143B6">
              <w:rPr>
                <w:sz w:val="20"/>
                <w:szCs w:val="20"/>
                <w:lang w:val="sk-SK"/>
              </w:rPr>
              <w:t xml:space="preserve"> STU</w:t>
            </w:r>
          </w:p>
        </w:tc>
      </w:tr>
      <w:tr w:rsidR="004748C5" w:rsidRPr="00F143B6" w:rsidTr="00970780">
        <w:tc>
          <w:tcPr>
            <w:tcW w:w="454" w:type="dxa"/>
          </w:tcPr>
          <w:p w:rsidR="004748C5" w:rsidRPr="00F143B6" w:rsidRDefault="004748C5" w:rsidP="00970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748C5" w:rsidRDefault="004748C5" w:rsidP="004748C5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4748C5" w:rsidRPr="00F143B6" w:rsidRDefault="00D1292D" w:rsidP="00474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</w:t>
            </w:r>
            <w:r w:rsidR="004748C5">
              <w:rPr>
                <w:sz w:val="20"/>
                <w:szCs w:val="20"/>
                <w:lang w:val="sk-SK"/>
              </w:rPr>
              <w:t>rerokovalo</w:t>
            </w:r>
            <w:r>
              <w:rPr>
                <w:color w:val="FFFFFF" w:themeColor="background1"/>
                <w:sz w:val="20"/>
                <w:szCs w:val="20"/>
                <w:lang w:val="sk-SK"/>
              </w:rPr>
              <w:t xml:space="preserve"> </w:t>
            </w:r>
            <w:r w:rsidR="004748C5"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68" w:type="dxa"/>
          </w:tcPr>
          <w:p w:rsidR="004748C5" w:rsidRPr="00F143B6" w:rsidRDefault="004748C5" w:rsidP="00970780">
            <w:pPr>
              <w:rPr>
                <w:sz w:val="20"/>
                <w:szCs w:val="20"/>
              </w:rPr>
            </w:pPr>
            <w:r w:rsidRPr="004748C5">
              <w:rPr>
                <w:sz w:val="20"/>
                <w:szCs w:val="20"/>
              </w:rPr>
              <w:t>06.12.2021</w:t>
            </w:r>
          </w:p>
        </w:tc>
      </w:tr>
    </w:tbl>
    <w:p w:rsidR="00D1292D" w:rsidRPr="00F143B6" w:rsidRDefault="00D1292D" w:rsidP="002E5CB5"/>
    <w:tbl>
      <w:tblPr>
        <w:tblStyle w:val="Mriekatabuky"/>
        <w:tblW w:w="1003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7909"/>
      </w:tblGrid>
      <w:tr w:rsidR="002E5CB5" w:rsidRPr="00F143B6" w:rsidTr="004748C5">
        <w:trPr>
          <w:trHeight w:val="554"/>
        </w:trPr>
        <w:tc>
          <w:tcPr>
            <w:tcW w:w="425" w:type="dxa"/>
          </w:tcPr>
          <w:p w:rsidR="002E5CB5" w:rsidRPr="00F143B6" w:rsidRDefault="00A140C3" w:rsidP="00970780">
            <w:pPr>
              <w:ind w:left="360" w:hanging="326"/>
              <w:rPr>
                <w:rFonts w:cstheme="minorHAnsi"/>
                <w:sz w:val="20"/>
                <w:szCs w:val="20"/>
                <w:lang w:val="sk-SK"/>
              </w:rPr>
            </w:pPr>
            <w:r>
              <w:rPr>
                <w:rFonts w:cstheme="minorHAnsi"/>
                <w:b/>
                <w:sz w:val="20"/>
                <w:szCs w:val="20"/>
                <w:lang w:val="sk-SK"/>
              </w:rPr>
              <w:t>8</w:t>
            </w:r>
            <w:r w:rsidR="002E5CB5" w:rsidRPr="00F143B6">
              <w:rPr>
                <w:rFonts w:cstheme="min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b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shd w:val="clear" w:color="auto" w:fill="auto"/>
          </w:tcPr>
          <w:p w:rsidR="002E5CB5" w:rsidRPr="00F143B6" w:rsidRDefault="002E5CB5" w:rsidP="00970780">
            <w:pPr>
              <w:pStyle w:val="Odsekzoznamu"/>
              <w:ind w:left="644" w:hanging="611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POOLWALK s.</w:t>
            </w:r>
            <w:r>
              <w:rPr>
                <w:rFonts w:cstheme="minorHAnsi"/>
                <w:b/>
                <w:sz w:val="20"/>
                <w:szCs w:val="20"/>
                <w:lang w:val="sk-SK"/>
              </w:rPr>
              <w:t xml:space="preserve"> </w:t>
            </w: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r.</w:t>
            </w:r>
            <w:r>
              <w:rPr>
                <w:rFonts w:cstheme="minorHAnsi"/>
                <w:b/>
                <w:sz w:val="20"/>
                <w:szCs w:val="20"/>
                <w:lang w:val="sk-SK"/>
              </w:rPr>
              <w:t xml:space="preserve"> </w:t>
            </w: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o.</w:t>
            </w:r>
            <w:r w:rsidRPr="001C221B">
              <w:rPr>
                <w:rFonts w:cstheme="minorHAnsi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F143B6">
              <w:rPr>
                <w:rFonts w:cstheme="minorHAnsi"/>
                <w:sz w:val="20"/>
                <w:szCs w:val="20"/>
                <w:lang w:val="sk-SK"/>
              </w:rPr>
              <w:t>Panorama</w:t>
            </w:r>
            <w:proofErr w:type="spellEnd"/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 City, </w:t>
            </w:r>
            <w:proofErr w:type="spellStart"/>
            <w:r w:rsidRPr="00F143B6">
              <w:rPr>
                <w:rFonts w:cstheme="minorHAnsi"/>
                <w:sz w:val="20"/>
                <w:szCs w:val="20"/>
                <w:lang w:val="sk-SK"/>
              </w:rPr>
              <w:t>Landererova</w:t>
            </w:r>
            <w:proofErr w:type="spellEnd"/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 6, 811 09 Bratislava, IČO: 47 555 </w:t>
            </w:r>
            <w:r>
              <w:rPr>
                <w:rFonts w:cstheme="minorHAnsi"/>
                <w:sz w:val="20"/>
                <w:szCs w:val="20"/>
                <w:lang w:val="sk-SK"/>
              </w:rPr>
              <w:t>637</w:t>
            </w:r>
          </w:p>
          <w:p w:rsidR="002E5CB5" w:rsidRPr="00F143B6" w:rsidRDefault="002E5CB5" w:rsidP="00970780">
            <w:pPr>
              <w:pStyle w:val="Odsekzoznamu"/>
              <w:ind w:left="644" w:hanging="611"/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ná</w:t>
            </w:r>
            <w:r>
              <w:rPr>
                <w:rFonts w:cstheme="minorHAnsi"/>
                <w:sz w:val="20"/>
                <w:szCs w:val="20"/>
                <w:lang w:val="sk-SK"/>
              </w:rPr>
              <w:t>jomca je podnikateľom zapísaným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 v OR OS Ba I, oddiel: </w:t>
            </w:r>
            <w:proofErr w:type="spellStart"/>
            <w:r w:rsidRPr="00F143B6">
              <w:rPr>
                <w:rFonts w:cstheme="minorHAnsi"/>
                <w:sz w:val="20"/>
                <w:szCs w:val="20"/>
                <w:lang w:val="sk-SK"/>
              </w:rPr>
              <w:t>Sro</w:t>
            </w:r>
            <w:proofErr w:type="spellEnd"/>
            <w:r w:rsidRPr="00F143B6">
              <w:rPr>
                <w:rFonts w:cstheme="minorHAnsi"/>
                <w:sz w:val="20"/>
                <w:szCs w:val="20"/>
                <w:lang w:val="sk-SK"/>
              </w:rPr>
              <w:t>, vložka č. 94976/B.</w:t>
            </w:r>
          </w:p>
        </w:tc>
      </w:tr>
      <w:tr w:rsidR="002E5CB5" w:rsidRPr="00F143B6" w:rsidTr="004748C5">
        <w:tc>
          <w:tcPr>
            <w:tcW w:w="425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909" w:type="dxa"/>
            <w:tcBorders>
              <w:top w:val="single" w:sz="4" w:space="0" w:color="auto"/>
            </w:tcBorders>
            <w:shd w:val="clear" w:color="auto" w:fill="auto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 xml:space="preserve">dočasne nepotrebný majetok, </w:t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časť nehnuteľnosti – </w:t>
            </w:r>
            <w:r w:rsidRPr="00F143B6">
              <w:rPr>
                <w:sz w:val="20"/>
                <w:szCs w:val="20"/>
                <w:lang w:val="sk-SK"/>
              </w:rPr>
              <w:t>2 parkovacie miesta</w:t>
            </w:r>
          </w:p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nachádzajúce sa v</w:t>
            </w:r>
            <w:r>
              <w:rPr>
                <w:sz w:val="20"/>
                <w:szCs w:val="20"/>
                <w:lang w:val="sk-SK"/>
              </w:rPr>
              <w:t> areáli Centrálnych laboratórií</w:t>
            </w:r>
            <w:r w:rsidRPr="00F143B6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143B6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F143B6">
              <w:rPr>
                <w:sz w:val="20"/>
                <w:szCs w:val="20"/>
                <w:lang w:val="sk-SK"/>
              </w:rPr>
              <w:t xml:space="preserve"> STU na Technickej ulici č. 5 v BA, </w:t>
            </w:r>
          </w:p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 xml:space="preserve">predmet nájmu spolu: </w:t>
            </w:r>
            <w:r w:rsidRPr="00F143B6">
              <w:rPr>
                <w:b/>
                <w:sz w:val="20"/>
                <w:szCs w:val="20"/>
                <w:lang w:val="sk-SK"/>
              </w:rPr>
              <w:t>2 pakovacie miesta</w:t>
            </w:r>
          </w:p>
        </w:tc>
      </w:tr>
      <w:tr w:rsidR="002E5CB5" w:rsidRPr="00F143B6" w:rsidTr="004748C5">
        <w:tc>
          <w:tcPr>
            <w:tcW w:w="425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909" w:type="dxa"/>
          </w:tcPr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Parkovanie osobných motorových vozidiel prenajímateľa.</w:t>
            </w:r>
          </w:p>
        </w:tc>
      </w:tr>
      <w:tr w:rsidR="002E5CB5" w:rsidRPr="00F143B6" w:rsidTr="004748C5">
        <w:trPr>
          <w:trHeight w:val="259"/>
        </w:trPr>
        <w:tc>
          <w:tcPr>
            <w:tcW w:w="425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909" w:type="dxa"/>
          </w:tcPr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01.01.2022 – 31.12.2025</w:t>
            </w:r>
          </w:p>
        </w:tc>
      </w:tr>
      <w:tr w:rsidR="002E5CB5" w:rsidRPr="00F143B6" w:rsidTr="004748C5">
        <w:tc>
          <w:tcPr>
            <w:tcW w:w="425" w:type="dxa"/>
            <w:tcBorders>
              <w:right w:val="single" w:sz="4" w:space="0" w:color="auto"/>
            </w:tcBorders>
          </w:tcPr>
          <w:p w:rsidR="002E5CB5" w:rsidRPr="00F143B6" w:rsidRDefault="002E5CB5" w:rsidP="00970780">
            <w:pPr>
              <w:jc w:val="both"/>
              <w:rPr>
                <w:rFonts w:cstheme="min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909" w:type="dxa"/>
            <w:tcBorders>
              <w:left w:val="single" w:sz="4" w:space="0" w:color="auto"/>
              <w:right w:val="single" w:sz="4" w:space="0" w:color="auto"/>
            </w:tcBorders>
          </w:tcPr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zmluvné strany sa dohodli na nájomnom vo výške 370 €/rok/1 státie,</w:t>
            </w:r>
          </w:p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nájomné spolu ročne: </w:t>
            </w: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740,00 €/ 2 státia</w:t>
            </w:r>
          </w:p>
          <w:p w:rsidR="002E5CB5" w:rsidRPr="00F143B6" w:rsidRDefault="002E5CB5" w:rsidP="00970780">
            <w:pPr>
              <w:pStyle w:val="Odsekzoznamu"/>
              <w:ind w:left="644" w:hanging="644"/>
              <w:rPr>
                <w:sz w:val="20"/>
                <w:szCs w:val="20"/>
                <w:vertAlign w:val="superscript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nájomné je v súlade so smernicou</w:t>
            </w:r>
            <w:r w:rsidRPr="00F143B6">
              <w:rPr>
                <w:rStyle w:val="Odkaznapoznmkupodiarou"/>
                <w:rFonts w:cstheme="minorHAnsi"/>
                <w:sz w:val="20"/>
                <w:szCs w:val="20"/>
                <w:lang w:val="sk-SK"/>
              </w:rPr>
              <w:footnoteReference w:id="2"/>
            </w: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 </w:t>
            </w:r>
            <w:r w:rsidRPr="00F143B6">
              <w:rPr>
                <w:sz w:val="20"/>
                <w:szCs w:val="20"/>
                <w:lang w:val="sk-SK"/>
              </w:rPr>
              <w:t>nájomné je v súlade so smernicou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2E5CB5" w:rsidRPr="00F143B6" w:rsidTr="004748C5">
        <w:trPr>
          <w:trHeight w:val="50"/>
        </w:trPr>
        <w:tc>
          <w:tcPr>
            <w:tcW w:w="425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909" w:type="dxa"/>
          </w:tcPr>
          <w:p w:rsidR="002E5CB5" w:rsidRPr="00F143B6" w:rsidRDefault="002E5CB5" w:rsidP="00970780">
            <w:pPr>
              <w:pStyle w:val="Zkladntext"/>
              <w:rPr>
                <w:rFonts w:asciiTheme="minorHAnsi" w:hAnsiTheme="minorHAnsi" w:cstheme="minorHAnsi"/>
                <w:sz w:val="20"/>
                <w:lang w:val="sk-SK"/>
              </w:rPr>
            </w:pPr>
            <w:r w:rsidRPr="00F143B6">
              <w:rPr>
                <w:rFonts w:asciiTheme="minorHAnsi" w:hAnsiTheme="minorHAnsi" w:cstheme="minorHAnsi"/>
                <w:sz w:val="20"/>
                <w:lang w:val="sk-SK"/>
              </w:rPr>
              <w:t xml:space="preserve">------------- </w:t>
            </w:r>
          </w:p>
        </w:tc>
      </w:tr>
      <w:tr w:rsidR="002E5CB5" w:rsidRPr="00F143B6" w:rsidTr="004748C5">
        <w:tc>
          <w:tcPr>
            <w:tcW w:w="425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909" w:type="dxa"/>
          </w:tcPr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dekan </w:t>
            </w:r>
            <w:proofErr w:type="spellStart"/>
            <w:r w:rsidRPr="00F143B6">
              <w:rPr>
                <w:rFonts w:cstheme="minorHAnsi"/>
                <w:sz w:val="20"/>
                <w:szCs w:val="20"/>
                <w:lang w:val="sk-SK"/>
              </w:rPr>
              <w:t>SvF</w:t>
            </w:r>
            <w:proofErr w:type="spellEnd"/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 STU</w:t>
            </w:r>
          </w:p>
        </w:tc>
      </w:tr>
      <w:tr w:rsidR="004748C5" w:rsidRPr="00F143B6" w:rsidTr="004748C5">
        <w:tc>
          <w:tcPr>
            <w:tcW w:w="425" w:type="dxa"/>
          </w:tcPr>
          <w:p w:rsidR="004748C5" w:rsidRPr="00F143B6" w:rsidRDefault="004748C5" w:rsidP="009707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748C5" w:rsidRDefault="004748C5" w:rsidP="004748C5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4748C5" w:rsidRPr="00F143B6" w:rsidRDefault="00D1292D" w:rsidP="00D1292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</w:t>
            </w:r>
            <w:r w:rsidR="004748C5">
              <w:rPr>
                <w:sz w:val="20"/>
                <w:szCs w:val="20"/>
                <w:lang w:val="sk-SK"/>
              </w:rPr>
              <w:t>rerokovalo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="004748C5"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909" w:type="dxa"/>
          </w:tcPr>
          <w:p w:rsidR="004748C5" w:rsidRPr="00F143B6" w:rsidRDefault="004748C5" w:rsidP="00970780">
            <w:pPr>
              <w:rPr>
                <w:rFonts w:cstheme="minorHAnsi"/>
                <w:sz w:val="20"/>
                <w:szCs w:val="20"/>
              </w:rPr>
            </w:pPr>
            <w:r w:rsidRPr="004748C5">
              <w:rPr>
                <w:sz w:val="20"/>
                <w:szCs w:val="20"/>
              </w:rPr>
              <w:t>06.12.2021</w:t>
            </w:r>
          </w:p>
        </w:tc>
      </w:tr>
    </w:tbl>
    <w:p w:rsidR="002E5CB5" w:rsidRPr="00F143B6" w:rsidRDefault="002E5CB5" w:rsidP="002E5CB5"/>
    <w:tbl>
      <w:tblPr>
        <w:tblStyle w:val="Mriekatabuky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702"/>
        <w:gridCol w:w="7909"/>
      </w:tblGrid>
      <w:tr w:rsidR="002E5CB5" w:rsidRPr="00F143B6" w:rsidTr="004748C5">
        <w:trPr>
          <w:trHeight w:val="554"/>
        </w:trPr>
        <w:tc>
          <w:tcPr>
            <w:tcW w:w="454" w:type="dxa"/>
          </w:tcPr>
          <w:p w:rsidR="002E5CB5" w:rsidRPr="00F143B6" w:rsidRDefault="00A140C3" w:rsidP="00970780">
            <w:pPr>
              <w:ind w:left="360" w:hanging="326"/>
              <w:rPr>
                <w:rFonts w:cstheme="minorHAnsi"/>
                <w:sz w:val="20"/>
                <w:szCs w:val="20"/>
                <w:lang w:val="sk-SK"/>
              </w:rPr>
            </w:pPr>
            <w:r>
              <w:rPr>
                <w:rFonts w:cstheme="minorHAnsi"/>
                <w:b/>
                <w:sz w:val="20"/>
                <w:szCs w:val="20"/>
                <w:lang w:val="sk-SK"/>
              </w:rPr>
              <w:t>9</w:t>
            </w:r>
            <w:r w:rsidR="002E5CB5" w:rsidRPr="00F143B6">
              <w:rPr>
                <w:rFonts w:cstheme="min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b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shd w:val="clear" w:color="auto" w:fill="auto"/>
          </w:tcPr>
          <w:p w:rsidR="002E5CB5" w:rsidRPr="00F143B6" w:rsidRDefault="002E5CB5" w:rsidP="00970780">
            <w:pPr>
              <w:pStyle w:val="Odsekzoznamu"/>
              <w:ind w:left="644" w:hanging="611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POOLWALK s.</w:t>
            </w:r>
            <w:r>
              <w:rPr>
                <w:rFonts w:cstheme="minorHAnsi"/>
                <w:b/>
                <w:sz w:val="20"/>
                <w:szCs w:val="20"/>
                <w:lang w:val="sk-SK"/>
              </w:rPr>
              <w:t xml:space="preserve"> </w:t>
            </w: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r.</w:t>
            </w:r>
            <w:r>
              <w:rPr>
                <w:rFonts w:cstheme="minorHAnsi"/>
                <w:b/>
                <w:sz w:val="20"/>
                <w:szCs w:val="20"/>
                <w:lang w:val="sk-SK"/>
              </w:rPr>
              <w:t xml:space="preserve"> </w:t>
            </w:r>
            <w:r w:rsidRPr="00F143B6">
              <w:rPr>
                <w:rFonts w:cstheme="minorHAnsi"/>
                <w:b/>
                <w:sz w:val="20"/>
                <w:szCs w:val="20"/>
                <w:lang w:val="sk-SK"/>
              </w:rPr>
              <w:t>o.</w:t>
            </w:r>
            <w:r w:rsidRPr="001C221B">
              <w:rPr>
                <w:rFonts w:cstheme="minorHAnsi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F143B6">
              <w:rPr>
                <w:rFonts w:cstheme="minorHAnsi"/>
                <w:sz w:val="20"/>
                <w:szCs w:val="20"/>
                <w:lang w:val="sk-SK"/>
              </w:rPr>
              <w:t>Panorama</w:t>
            </w:r>
            <w:proofErr w:type="spellEnd"/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 City, </w:t>
            </w:r>
            <w:proofErr w:type="spellStart"/>
            <w:r w:rsidRPr="00F143B6">
              <w:rPr>
                <w:rFonts w:cstheme="minorHAnsi"/>
                <w:sz w:val="20"/>
                <w:szCs w:val="20"/>
                <w:lang w:val="sk-SK"/>
              </w:rPr>
              <w:t>Landererova</w:t>
            </w:r>
            <w:proofErr w:type="spellEnd"/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 6, 811 09 Bratislava, IČO: 47 555 </w:t>
            </w:r>
            <w:r>
              <w:rPr>
                <w:rFonts w:cstheme="minorHAnsi"/>
                <w:sz w:val="20"/>
                <w:szCs w:val="20"/>
                <w:lang w:val="sk-SK"/>
              </w:rPr>
              <w:t>637</w:t>
            </w:r>
          </w:p>
          <w:p w:rsidR="002E5CB5" w:rsidRPr="00F143B6" w:rsidRDefault="002E5CB5" w:rsidP="00970780">
            <w:pPr>
              <w:pStyle w:val="Odsekzoznamu"/>
              <w:ind w:left="644" w:hanging="611"/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nájomca je podnikateľom zapísaným v OR OS Ba I, oddiel: </w:t>
            </w:r>
            <w:proofErr w:type="spellStart"/>
            <w:r w:rsidRPr="00F143B6">
              <w:rPr>
                <w:rFonts w:cstheme="minorHAnsi"/>
                <w:sz w:val="20"/>
                <w:szCs w:val="20"/>
                <w:lang w:val="sk-SK"/>
              </w:rPr>
              <w:t>Sro</w:t>
            </w:r>
            <w:proofErr w:type="spellEnd"/>
            <w:r w:rsidRPr="00F143B6">
              <w:rPr>
                <w:rFonts w:cstheme="minorHAnsi"/>
                <w:sz w:val="20"/>
                <w:szCs w:val="20"/>
                <w:lang w:val="sk-SK"/>
              </w:rPr>
              <w:t>, vložka č. 94976/B.</w:t>
            </w:r>
          </w:p>
        </w:tc>
      </w:tr>
      <w:tr w:rsidR="002E5CB5" w:rsidRPr="00F143B6" w:rsidTr="004748C5">
        <w:tc>
          <w:tcPr>
            <w:tcW w:w="454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909" w:type="dxa"/>
            <w:tcBorders>
              <w:top w:val="single" w:sz="4" w:space="0" w:color="auto"/>
            </w:tcBorders>
            <w:shd w:val="clear" w:color="auto" w:fill="auto"/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 xml:space="preserve">dočasne nepotrebný majetok; časť nehnuteľnosti – (hala vrátane pozemku) nachádzajúci sa </w:t>
            </w:r>
          </w:p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 xml:space="preserve">v katastrálnom území Bratislava - Trnávka, parcelné číslo 16954/21, vedenom na LV č. 904, nachádzajúcej sa v areáli Centrálnych laboratórií na Technickej ul. 5, Bratislava, miestnosť č. </w:t>
            </w:r>
            <w:r w:rsidRPr="00F143B6">
              <w:rPr>
                <w:sz w:val="20"/>
                <w:szCs w:val="20"/>
                <w:lang w:val="sk-SK"/>
              </w:rPr>
              <w:lastRenderedPageBreak/>
              <w:t>113 (hala) o výmere 106,3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miestnosť č. 115 garáž o výmere 14,9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miestnosť č. 111.1 (umyváreň) o výmere 5,6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miestnosť č. 214 schodisko o výmere 4,6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miestnosť č. 215 chodba o výmere 6,3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miestnosť č. 216 dielňa o výmere 23,3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miestnosť č. 217 (sklad) o výmere 9,8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, dielňa č. 218 o výmere 17,9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.</w:t>
            </w:r>
          </w:p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predmet nájmu spolu: 188,7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.</w:t>
            </w:r>
          </w:p>
        </w:tc>
      </w:tr>
      <w:tr w:rsidR="002E5CB5" w:rsidRPr="00F143B6" w:rsidTr="004748C5">
        <w:tc>
          <w:tcPr>
            <w:tcW w:w="454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909" w:type="dxa"/>
          </w:tcPr>
          <w:p w:rsidR="002E5CB5" w:rsidRPr="00F143B6" w:rsidRDefault="002E5CB5" w:rsidP="00970780">
            <w:pPr>
              <w:jc w:val="both"/>
              <w:rPr>
                <w:rFonts w:cs="Times New Roman"/>
                <w:sz w:val="20"/>
                <w:szCs w:val="20"/>
                <w:lang w:val="sk-SK"/>
              </w:rPr>
            </w:pPr>
            <w:r w:rsidRPr="00F143B6">
              <w:rPr>
                <w:rFonts w:cs="Times New Roman"/>
                <w:sz w:val="20"/>
                <w:szCs w:val="20"/>
                <w:lang w:val="sk-SK"/>
              </w:rPr>
              <w:t>Nájom sa zriaďuje na vykonávanie podnikateľskej činnosti podľa aktuálneho výpisu z</w:t>
            </w:r>
            <w:r>
              <w:rPr>
                <w:rFonts w:cs="Times New Roman"/>
                <w:sz w:val="20"/>
                <w:szCs w:val="20"/>
                <w:lang w:val="sk-SK"/>
              </w:rPr>
              <w:t> </w:t>
            </w:r>
            <w:r w:rsidRPr="00F143B6">
              <w:rPr>
                <w:rFonts w:cs="Times New Roman"/>
                <w:sz w:val="20"/>
                <w:szCs w:val="20"/>
                <w:lang w:val="sk-SK"/>
              </w:rPr>
              <w:t>Obchodného registra nájomcu, spočívajúcej vo výrobe a opracovaní jednoduchých výrobkov z kovu a vo vypracovaní dokumentácie a projektu jednoduchých stavieb, drobných stavieb a zmien týchto stavieb.</w:t>
            </w:r>
          </w:p>
        </w:tc>
      </w:tr>
      <w:tr w:rsidR="002E5CB5" w:rsidRPr="00F143B6" w:rsidTr="004748C5">
        <w:trPr>
          <w:trHeight w:val="259"/>
        </w:trPr>
        <w:tc>
          <w:tcPr>
            <w:tcW w:w="454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909" w:type="dxa"/>
          </w:tcPr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01.01.2022 – 31.12.2025</w:t>
            </w:r>
          </w:p>
        </w:tc>
      </w:tr>
      <w:tr w:rsidR="002E5CB5" w:rsidRPr="00F143B6" w:rsidTr="004748C5">
        <w:tc>
          <w:tcPr>
            <w:tcW w:w="454" w:type="dxa"/>
            <w:tcBorders>
              <w:right w:val="single" w:sz="4" w:space="0" w:color="auto"/>
            </w:tcBorders>
          </w:tcPr>
          <w:p w:rsidR="002E5CB5" w:rsidRPr="00F143B6" w:rsidRDefault="002E5CB5" w:rsidP="00970780">
            <w:pPr>
              <w:jc w:val="both"/>
              <w:rPr>
                <w:rFonts w:cstheme="min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909" w:type="dxa"/>
            <w:tcBorders>
              <w:left w:val="single" w:sz="4" w:space="0" w:color="auto"/>
              <w:right w:val="single" w:sz="4" w:space="0" w:color="auto"/>
            </w:tcBorders>
          </w:tcPr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haly, dielne (147,50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) – 25,00 €/m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/rok, t. j. 3 687,50 €/rok,</w:t>
            </w:r>
          </w:p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skladové priestory (24,70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) –15,00 €/m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/rok, t. j. 370,50 €/rok,</w:t>
            </w:r>
          </w:p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sociálne zariadenia (5,6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) – 25,00 €/m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/rok, t. j. 140,00 €/rok,</w:t>
            </w:r>
          </w:p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chodby a schodiská (10,9 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) – 17,00 €/m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143B6">
              <w:rPr>
                <w:sz w:val="20"/>
                <w:szCs w:val="20"/>
                <w:lang w:val="sk-SK"/>
              </w:rPr>
              <w:t>/rok, t. j. 185,30 €/rok,</w:t>
            </w:r>
          </w:p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štvrťročná výška nájomného je 1 095,83 €,</w:t>
            </w:r>
          </w:p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F143B6">
              <w:rPr>
                <w:b/>
                <w:sz w:val="20"/>
                <w:szCs w:val="20"/>
                <w:lang w:val="sk-SK"/>
              </w:rPr>
              <w:t>4 383,30 €/rok.</w:t>
            </w:r>
          </w:p>
          <w:p w:rsidR="002E5CB5" w:rsidRPr="00F143B6" w:rsidRDefault="002E5CB5" w:rsidP="00970780">
            <w:pPr>
              <w:jc w:val="both"/>
              <w:rPr>
                <w:sz w:val="20"/>
                <w:szCs w:val="20"/>
                <w:lang w:val="sk-SK"/>
              </w:rPr>
            </w:pPr>
            <w:r w:rsidRPr="00F143B6">
              <w:rPr>
                <w:sz w:val="20"/>
                <w:szCs w:val="20"/>
                <w:lang w:val="sk-SK"/>
              </w:rPr>
              <w:t>nájomné je v súlade so smernicou</w:t>
            </w:r>
            <w:r w:rsidRPr="00F143B6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F143B6">
              <w:rPr>
                <w:sz w:val="20"/>
                <w:szCs w:val="20"/>
                <w:lang w:val="sk-SK"/>
              </w:rPr>
              <w:t>.</w:t>
            </w:r>
          </w:p>
        </w:tc>
      </w:tr>
      <w:tr w:rsidR="002E5CB5" w:rsidRPr="00F143B6" w:rsidTr="004748C5">
        <w:trPr>
          <w:trHeight w:val="50"/>
        </w:trPr>
        <w:tc>
          <w:tcPr>
            <w:tcW w:w="454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909" w:type="dxa"/>
          </w:tcPr>
          <w:p w:rsidR="002E5CB5" w:rsidRPr="00F143B6" w:rsidRDefault="002E5CB5" w:rsidP="00970780">
            <w:pPr>
              <w:pStyle w:val="Zkladntext"/>
              <w:rPr>
                <w:rFonts w:asciiTheme="minorHAnsi" w:hAnsiTheme="minorHAnsi" w:cstheme="minorHAnsi"/>
                <w:sz w:val="20"/>
                <w:lang w:val="sk-SK"/>
              </w:rPr>
            </w:pPr>
            <w:r w:rsidRPr="00F143B6">
              <w:rPr>
                <w:rFonts w:asciiTheme="minorHAnsi" w:hAnsiTheme="minorHAnsi" w:cstheme="minorHAnsi"/>
                <w:sz w:val="20"/>
                <w:lang w:val="sk-SK"/>
              </w:rPr>
              <w:t xml:space="preserve">preddavky na náklady za opakované dodanie energií a služieb budú nájomcovi fakturované zálohovo do 15 dňa 1. mesiaca príslušného štvrťroka. Nájomca </w:t>
            </w:r>
            <w:r>
              <w:rPr>
                <w:rFonts w:asciiTheme="minorHAnsi" w:hAnsiTheme="minorHAnsi" w:cstheme="minorHAnsi"/>
                <w:sz w:val="20"/>
                <w:lang w:val="sk-SK"/>
              </w:rPr>
              <w:t>je povinný uhradiť faktúru do </w:t>
            </w:r>
            <w:r w:rsidRPr="00F143B6">
              <w:rPr>
                <w:rFonts w:asciiTheme="minorHAnsi" w:hAnsiTheme="minorHAnsi" w:cstheme="minorHAnsi"/>
                <w:sz w:val="20"/>
                <w:lang w:val="sk-SK"/>
              </w:rPr>
              <w:t>14 dní odo dňa vystavenia faktúry. Výška zálohových platieb bude vypočítaná ako aritmetický priemer z platieb za uplynulý kalendárny rok. Prenajímateľ vyhotoví po uplynutí zúčtovacieho obdobia, najneskôr do 20 dní zúčtovaciu faktúru so splatnosťou 14 kalendárnych dní odo dňa jej vyhotovenia.</w:t>
            </w:r>
          </w:p>
        </w:tc>
      </w:tr>
      <w:tr w:rsidR="002E5CB5" w:rsidRPr="00F143B6" w:rsidTr="004748C5">
        <w:tc>
          <w:tcPr>
            <w:tcW w:w="454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2E5CB5" w:rsidRPr="00F143B6" w:rsidRDefault="002E5CB5" w:rsidP="00970780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909" w:type="dxa"/>
          </w:tcPr>
          <w:p w:rsidR="002E5CB5" w:rsidRPr="00F143B6" w:rsidRDefault="002E5CB5" w:rsidP="00970780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dekan </w:t>
            </w:r>
            <w:proofErr w:type="spellStart"/>
            <w:r w:rsidRPr="00F143B6">
              <w:rPr>
                <w:rFonts w:cstheme="minorHAnsi"/>
                <w:sz w:val="20"/>
                <w:szCs w:val="20"/>
                <w:lang w:val="sk-SK"/>
              </w:rPr>
              <w:t>SvF</w:t>
            </w:r>
            <w:proofErr w:type="spellEnd"/>
            <w:r w:rsidRPr="00F143B6">
              <w:rPr>
                <w:rFonts w:cstheme="minorHAnsi"/>
                <w:sz w:val="20"/>
                <w:szCs w:val="20"/>
                <w:lang w:val="sk-SK"/>
              </w:rPr>
              <w:t xml:space="preserve"> STU</w:t>
            </w:r>
          </w:p>
        </w:tc>
      </w:tr>
      <w:tr w:rsidR="004748C5" w:rsidRPr="00F143B6" w:rsidTr="004748C5">
        <w:tc>
          <w:tcPr>
            <w:tcW w:w="454" w:type="dxa"/>
          </w:tcPr>
          <w:p w:rsidR="004748C5" w:rsidRPr="00F143B6" w:rsidRDefault="004748C5" w:rsidP="009707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748C5" w:rsidRDefault="004748C5" w:rsidP="004748C5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4748C5" w:rsidRPr="00F143B6" w:rsidRDefault="00D1292D" w:rsidP="004748C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</w:t>
            </w:r>
            <w:r w:rsidR="004748C5">
              <w:rPr>
                <w:sz w:val="20"/>
                <w:szCs w:val="20"/>
                <w:lang w:val="sk-SK"/>
              </w:rPr>
              <w:t>rerokovalo</w:t>
            </w:r>
            <w:r>
              <w:rPr>
                <w:color w:val="FFFFFF" w:themeColor="background1"/>
                <w:sz w:val="20"/>
                <w:szCs w:val="20"/>
                <w:lang w:val="sk-SK"/>
              </w:rPr>
              <w:t xml:space="preserve"> </w:t>
            </w:r>
            <w:r w:rsidR="004748C5"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909" w:type="dxa"/>
          </w:tcPr>
          <w:p w:rsidR="004748C5" w:rsidRPr="00F143B6" w:rsidRDefault="004748C5" w:rsidP="00970780">
            <w:pPr>
              <w:rPr>
                <w:rFonts w:cstheme="minorHAnsi"/>
                <w:sz w:val="20"/>
                <w:szCs w:val="20"/>
              </w:rPr>
            </w:pPr>
            <w:r w:rsidRPr="004748C5">
              <w:rPr>
                <w:sz w:val="20"/>
                <w:szCs w:val="20"/>
              </w:rPr>
              <w:t>06.12.2021</w:t>
            </w:r>
          </w:p>
        </w:tc>
      </w:tr>
    </w:tbl>
    <w:p w:rsidR="002E5CB5" w:rsidRPr="00F143B6" w:rsidRDefault="002E5CB5" w:rsidP="002E5CB5"/>
    <w:sectPr w:rsidR="002E5CB5" w:rsidRPr="00F143B6" w:rsidSect="00CC7B05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CF" w:rsidRDefault="000778CF" w:rsidP="00E64522">
      <w:r>
        <w:separator/>
      </w:r>
    </w:p>
  </w:endnote>
  <w:endnote w:type="continuationSeparator" w:id="0">
    <w:p w:rsidR="000778CF" w:rsidRDefault="000778CF" w:rsidP="00E6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1E" w:rsidRPr="00F72759" w:rsidRDefault="0028311E" w:rsidP="00CC7B05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0C19FD">
      <w:rPr>
        <w:rStyle w:val="slostrany"/>
        <w:rFonts w:asciiTheme="majorHAnsi" w:hAnsiTheme="majorHAnsi"/>
        <w:noProof/>
      </w:rPr>
      <w:t>6</w:t>
    </w:r>
    <w:r w:rsidRPr="00F72759">
      <w:rPr>
        <w:rStyle w:val="slostrany"/>
        <w:rFonts w:asciiTheme="majorHAnsi" w:hAnsiTheme="majorHAnsi"/>
      </w:rPr>
      <w:fldChar w:fldCharType="end"/>
    </w:r>
  </w:p>
  <w:p w:rsidR="0028311E" w:rsidRDefault="0028311E" w:rsidP="00CC7B05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CF" w:rsidRDefault="000778CF" w:rsidP="00E64522">
      <w:r>
        <w:separator/>
      </w:r>
    </w:p>
  </w:footnote>
  <w:footnote w:type="continuationSeparator" w:id="0">
    <w:p w:rsidR="000778CF" w:rsidRDefault="000778CF" w:rsidP="00E64522">
      <w:r>
        <w:continuationSeparator/>
      </w:r>
    </w:p>
  </w:footnote>
  <w:footnote w:id="1">
    <w:p w:rsidR="002E5CB5" w:rsidRDefault="002E5CB5" w:rsidP="002E5CB5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</w:rPr>
        <w:t>Príloha č. 1 Smernice rektora číslo 9/2013-SR „Nájom nehnuteľného majetku vo vlastníctve Slovens</w:t>
      </w:r>
      <w:r>
        <w:rPr>
          <w:sz w:val="16"/>
          <w:szCs w:val="16"/>
        </w:rPr>
        <w:t>kej technickej univerzity</w:t>
      </w:r>
    </w:p>
    <w:p w:rsidR="002E5CB5" w:rsidRDefault="002E5CB5" w:rsidP="002E5CB5">
      <w:pPr>
        <w:pStyle w:val="Textpoznmkypodiarou"/>
      </w:pPr>
      <w:r>
        <w:rPr>
          <w:sz w:val="16"/>
          <w:szCs w:val="16"/>
        </w:rPr>
        <w:t xml:space="preserve">  v Bratislave“  zo dňa 12.12.2013.</w:t>
      </w:r>
    </w:p>
  </w:footnote>
  <w:footnote w:id="2">
    <w:p w:rsidR="002E5CB5" w:rsidRDefault="002E5CB5" w:rsidP="002E5CB5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</w:rPr>
        <w:t>Príloha č. 1 Smernice rektora číslo 9/2013-SR „Nájom nehnuteľného majetku vo vlastníctve Slovens</w:t>
      </w:r>
      <w:r>
        <w:rPr>
          <w:sz w:val="16"/>
          <w:szCs w:val="16"/>
        </w:rPr>
        <w:t>kej technickej univerzity</w:t>
      </w:r>
    </w:p>
    <w:p w:rsidR="002E5CB5" w:rsidRDefault="002E5CB5" w:rsidP="002E5CB5">
      <w:pPr>
        <w:pStyle w:val="Textpoznmkypodiarou"/>
      </w:pPr>
      <w:r>
        <w:rPr>
          <w:sz w:val="16"/>
          <w:szCs w:val="16"/>
        </w:rPr>
        <w:t xml:space="preserve">  v Bratislave“  zo dňa 12.12.2013.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1E" w:rsidRDefault="0028311E" w:rsidP="00CC7B05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20957" wp14:editId="795D461D">
              <wp:simplePos x="0" y="0"/>
              <wp:positionH relativeFrom="margin">
                <wp:posOffset>1266825</wp:posOffset>
              </wp:positionH>
              <wp:positionV relativeFrom="paragraph">
                <wp:posOffset>169544</wp:posOffset>
              </wp:positionV>
              <wp:extent cx="4152900" cy="7715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529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11E" w:rsidRDefault="0028311E" w:rsidP="00CC7B0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Akademický senát </w:t>
                          </w:r>
                          <w:r w:rsidR="007E4379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28.02.2022</w:t>
                          </w:r>
                        </w:p>
                        <w:p w:rsidR="0028311E" w:rsidRDefault="0028311E" w:rsidP="00D9363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Žiadosť o predchádzajúci písomný súhlas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AS STU</w:t>
                          </w:r>
                        </w:p>
                        <w:p w:rsidR="0028311E" w:rsidRDefault="0028311E" w:rsidP="00D9363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na nájom nehnuteľného majetku vo vlastníctve STU v Bratislave</w:t>
                          </w:r>
                        </w:p>
                        <w:p w:rsidR="0028311E" w:rsidRPr="00A20866" w:rsidRDefault="007E4379" w:rsidP="007E437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Dr.</w:t>
                          </w:r>
                          <w:r w:rsidR="0028311E" w:rsidRPr="0028311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</w:t>
                          </w:r>
                          <w:r w:rsidR="0028311E" w:rsidRPr="0028311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c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</w:t>
                          </w:r>
                          <w:r w:rsidR="0028311E" w:rsidRPr="0028311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28311E" w:rsidRPr="0028311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prof.h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</w:t>
                          </w:r>
                          <w:r w:rsidR="0028311E" w:rsidRPr="0028311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c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</w:t>
                          </w:r>
                          <w:r w:rsidR="0028311E" w:rsidRPr="0028311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, prof. Dr. Ing. Oliver Moravčík</w:t>
                          </w:r>
                          <w:r w:rsidR="0028311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, rektor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DF209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75pt;margin-top:13.35pt;width:327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CtswIAALw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" filled="f" stroked="f">
              <v:path arrowok="t"/>
              <v:textbox>
                <w:txbxContent>
                  <w:p w:rsidR="0028311E" w:rsidRDefault="0028311E" w:rsidP="00CC7B0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Akademický senát </w:t>
                    </w:r>
                    <w:r w:rsidR="007E4379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28.02.2022</w:t>
                    </w:r>
                  </w:p>
                  <w:p w:rsidR="0028311E" w:rsidRDefault="0028311E" w:rsidP="00D9363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>Žiadosť o predchádzajúci písomný súhlas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AS STU</w:t>
                    </w:r>
                  </w:p>
                  <w:p w:rsidR="0028311E" w:rsidRDefault="0028311E" w:rsidP="00D9363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na nájom nehnuteľného majetku vo vlastníctve STU v Bratislave</w:t>
                    </w:r>
                  </w:p>
                  <w:p w:rsidR="0028311E" w:rsidRPr="00A20866" w:rsidRDefault="007E4379" w:rsidP="007E437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Dr.</w:t>
                    </w:r>
                    <w:r w:rsidR="0028311E" w:rsidRPr="0028311E">
                      <w:rPr>
                        <w:rFonts w:asciiTheme="majorHAnsi" w:hAnsiTheme="majorHAnsi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</w:t>
                    </w:r>
                    <w:r w:rsidR="0028311E" w:rsidRPr="0028311E">
                      <w:rPr>
                        <w:rFonts w:asciiTheme="majorHAnsi" w:hAnsiTheme="majorHAnsi"/>
                        <w:sz w:val="16"/>
                        <w:szCs w:val="16"/>
                      </w:rPr>
                      <w:t>c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</w:t>
                    </w:r>
                    <w:r w:rsidR="0028311E" w:rsidRPr="0028311E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28311E" w:rsidRPr="0028311E">
                      <w:rPr>
                        <w:rFonts w:asciiTheme="majorHAnsi" w:hAnsiTheme="majorHAnsi"/>
                        <w:sz w:val="16"/>
                        <w:szCs w:val="16"/>
                      </w:rPr>
                      <w:t>prof.h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</w:t>
                    </w:r>
                    <w:r w:rsidR="0028311E" w:rsidRPr="0028311E">
                      <w:rPr>
                        <w:rFonts w:asciiTheme="majorHAnsi" w:hAnsiTheme="majorHAnsi"/>
                        <w:sz w:val="16"/>
                        <w:szCs w:val="16"/>
                      </w:rPr>
                      <w:t>c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</w:t>
                    </w:r>
                    <w:r w:rsidR="0028311E" w:rsidRPr="0028311E">
                      <w:rPr>
                        <w:rFonts w:asciiTheme="majorHAnsi" w:hAnsiTheme="majorHAnsi"/>
                        <w:sz w:val="16"/>
                        <w:szCs w:val="16"/>
                      </w:rPr>
                      <w:t>, prof. Dr. Ing. Oliver Moravčík</w:t>
                    </w:r>
                    <w:r w:rsidR="0028311E">
                      <w:rPr>
                        <w:rFonts w:asciiTheme="majorHAnsi" w:hAnsiTheme="majorHAnsi"/>
                        <w:sz w:val="16"/>
                        <w:szCs w:val="16"/>
                      </w:rPr>
                      <w:t>, rektor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8311E" w:rsidRDefault="0028311E" w:rsidP="00CC7B05">
    <w:pPr>
      <w:pStyle w:val="Hlavika"/>
    </w:pPr>
    <w:r>
      <w:rPr>
        <w:noProof/>
        <w:lang w:eastAsia="sk-SK"/>
      </w:rPr>
      <w:drawing>
        <wp:inline distT="0" distB="0" distL="0" distR="0" wp14:anchorId="0A57BBF4" wp14:editId="62D2250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311E" w:rsidRDefault="0028311E" w:rsidP="00CC7B05">
    <w:pPr>
      <w:pStyle w:val="Hlavika"/>
    </w:pPr>
  </w:p>
  <w:p w:rsidR="007E4379" w:rsidRDefault="007E4379" w:rsidP="00CC7B0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1E" w:rsidRDefault="0028311E">
    <w:pPr>
      <w:pStyle w:val="Hlavika"/>
    </w:pPr>
    <w:r>
      <w:rPr>
        <w:noProof/>
        <w:lang w:eastAsia="sk-SK"/>
      </w:rPr>
      <w:drawing>
        <wp:inline distT="0" distB="0" distL="0" distR="0" wp14:anchorId="32E36FE2" wp14:editId="5A4811FC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1C5"/>
    <w:multiLevelType w:val="hybridMultilevel"/>
    <w:tmpl w:val="F7FE5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22"/>
    <w:rsid w:val="00005758"/>
    <w:rsid w:val="000277FF"/>
    <w:rsid w:val="00027B4F"/>
    <w:rsid w:val="00046E0E"/>
    <w:rsid w:val="000778CF"/>
    <w:rsid w:val="00080154"/>
    <w:rsid w:val="000A0848"/>
    <w:rsid w:val="000C19FD"/>
    <w:rsid w:val="000C4B24"/>
    <w:rsid w:val="000F3E24"/>
    <w:rsid w:val="001042E6"/>
    <w:rsid w:val="0010430A"/>
    <w:rsid w:val="00110852"/>
    <w:rsid w:val="00120918"/>
    <w:rsid w:val="00123D3B"/>
    <w:rsid w:val="00126693"/>
    <w:rsid w:val="001826BE"/>
    <w:rsid w:val="00184769"/>
    <w:rsid w:val="0018768B"/>
    <w:rsid w:val="00192F2F"/>
    <w:rsid w:val="00194C3C"/>
    <w:rsid w:val="001A4E39"/>
    <w:rsid w:val="001B4B81"/>
    <w:rsid w:val="001B6EF2"/>
    <w:rsid w:val="001C2F26"/>
    <w:rsid w:val="001D044E"/>
    <w:rsid w:val="00254BFF"/>
    <w:rsid w:val="00266214"/>
    <w:rsid w:val="00273B59"/>
    <w:rsid w:val="0028311E"/>
    <w:rsid w:val="002873D9"/>
    <w:rsid w:val="00294893"/>
    <w:rsid w:val="002A514F"/>
    <w:rsid w:val="002B06F5"/>
    <w:rsid w:val="002B6AA8"/>
    <w:rsid w:val="002D569A"/>
    <w:rsid w:val="002E5CB5"/>
    <w:rsid w:val="002F1925"/>
    <w:rsid w:val="0036114F"/>
    <w:rsid w:val="003B7CE8"/>
    <w:rsid w:val="003C1E34"/>
    <w:rsid w:val="003C279C"/>
    <w:rsid w:val="003C34BC"/>
    <w:rsid w:val="003C579F"/>
    <w:rsid w:val="003E187F"/>
    <w:rsid w:val="003E571C"/>
    <w:rsid w:val="003F5467"/>
    <w:rsid w:val="003F72D0"/>
    <w:rsid w:val="00401F6D"/>
    <w:rsid w:val="0042662C"/>
    <w:rsid w:val="00430773"/>
    <w:rsid w:val="00446011"/>
    <w:rsid w:val="00457A47"/>
    <w:rsid w:val="0047104E"/>
    <w:rsid w:val="004748C5"/>
    <w:rsid w:val="00496FC3"/>
    <w:rsid w:val="004A0A0F"/>
    <w:rsid w:val="004A1073"/>
    <w:rsid w:val="004D1C67"/>
    <w:rsid w:val="004D56C9"/>
    <w:rsid w:val="004D72D9"/>
    <w:rsid w:val="005236C1"/>
    <w:rsid w:val="00532C1D"/>
    <w:rsid w:val="005462B5"/>
    <w:rsid w:val="00551963"/>
    <w:rsid w:val="00564934"/>
    <w:rsid w:val="005668EE"/>
    <w:rsid w:val="00575D86"/>
    <w:rsid w:val="00580DE9"/>
    <w:rsid w:val="0058346B"/>
    <w:rsid w:val="00587B45"/>
    <w:rsid w:val="005953E0"/>
    <w:rsid w:val="005C227E"/>
    <w:rsid w:val="005C3012"/>
    <w:rsid w:val="005C7663"/>
    <w:rsid w:val="005C7EAA"/>
    <w:rsid w:val="005F27CA"/>
    <w:rsid w:val="005F56CC"/>
    <w:rsid w:val="00601AA1"/>
    <w:rsid w:val="00620A45"/>
    <w:rsid w:val="0062658F"/>
    <w:rsid w:val="00627B53"/>
    <w:rsid w:val="00636117"/>
    <w:rsid w:val="0063748B"/>
    <w:rsid w:val="0064039A"/>
    <w:rsid w:val="006A39F9"/>
    <w:rsid w:val="006C6174"/>
    <w:rsid w:val="006D61FB"/>
    <w:rsid w:val="006D7FB0"/>
    <w:rsid w:val="006F1EFD"/>
    <w:rsid w:val="007330CD"/>
    <w:rsid w:val="007337FC"/>
    <w:rsid w:val="00771E75"/>
    <w:rsid w:val="00791E3B"/>
    <w:rsid w:val="007A639B"/>
    <w:rsid w:val="007B1C01"/>
    <w:rsid w:val="007B4A1F"/>
    <w:rsid w:val="007C48B8"/>
    <w:rsid w:val="007E1A28"/>
    <w:rsid w:val="007E4379"/>
    <w:rsid w:val="007E5487"/>
    <w:rsid w:val="007F5142"/>
    <w:rsid w:val="007F55EE"/>
    <w:rsid w:val="008321CF"/>
    <w:rsid w:val="0084213D"/>
    <w:rsid w:val="008565B3"/>
    <w:rsid w:val="00864EC3"/>
    <w:rsid w:val="008943FA"/>
    <w:rsid w:val="008A4267"/>
    <w:rsid w:val="008D61F2"/>
    <w:rsid w:val="008E71EC"/>
    <w:rsid w:val="009116E7"/>
    <w:rsid w:val="009404DA"/>
    <w:rsid w:val="00945338"/>
    <w:rsid w:val="009511AA"/>
    <w:rsid w:val="00953C0A"/>
    <w:rsid w:val="0095571E"/>
    <w:rsid w:val="00957CB1"/>
    <w:rsid w:val="00965B2A"/>
    <w:rsid w:val="009A73A9"/>
    <w:rsid w:val="009C490A"/>
    <w:rsid w:val="009D0D04"/>
    <w:rsid w:val="009E3CC3"/>
    <w:rsid w:val="009F09CF"/>
    <w:rsid w:val="009F3401"/>
    <w:rsid w:val="009F6C52"/>
    <w:rsid w:val="00A132E3"/>
    <w:rsid w:val="00A140C3"/>
    <w:rsid w:val="00A17394"/>
    <w:rsid w:val="00A7221F"/>
    <w:rsid w:val="00A734A8"/>
    <w:rsid w:val="00A9238F"/>
    <w:rsid w:val="00AA2F00"/>
    <w:rsid w:val="00AA6362"/>
    <w:rsid w:val="00AC4353"/>
    <w:rsid w:val="00AD0445"/>
    <w:rsid w:val="00B02065"/>
    <w:rsid w:val="00B0232A"/>
    <w:rsid w:val="00B148B8"/>
    <w:rsid w:val="00B164DD"/>
    <w:rsid w:val="00B17210"/>
    <w:rsid w:val="00B27DDD"/>
    <w:rsid w:val="00B473BD"/>
    <w:rsid w:val="00B90D9A"/>
    <w:rsid w:val="00BB36EC"/>
    <w:rsid w:val="00BC25F7"/>
    <w:rsid w:val="00BE4890"/>
    <w:rsid w:val="00BE5A70"/>
    <w:rsid w:val="00BE660E"/>
    <w:rsid w:val="00BE6CF1"/>
    <w:rsid w:val="00C16F4B"/>
    <w:rsid w:val="00C34796"/>
    <w:rsid w:val="00C6331A"/>
    <w:rsid w:val="00C808ED"/>
    <w:rsid w:val="00CB04FB"/>
    <w:rsid w:val="00CC7B05"/>
    <w:rsid w:val="00CD641B"/>
    <w:rsid w:val="00CE00EA"/>
    <w:rsid w:val="00D0112D"/>
    <w:rsid w:val="00D1292D"/>
    <w:rsid w:val="00D93638"/>
    <w:rsid w:val="00DA5E6C"/>
    <w:rsid w:val="00DB50A9"/>
    <w:rsid w:val="00DB7729"/>
    <w:rsid w:val="00DE73FE"/>
    <w:rsid w:val="00DF03F3"/>
    <w:rsid w:val="00E14ACE"/>
    <w:rsid w:val="00E1579C"/>
    <w:rsid w:val="00E20D0A"/>
    <w:rsid w:val="00E243B9"/>
    <w:rsid w:val="00E2596D"/>
    <w:rsid w:val="00E26DA4"/>
    <w:rsid w:val="00E4741F"/>
    <w:rsid w:val="00E64522"/>
    <w:rsid w:val="00E7473D"/>
    <w:rsid w:val="00E94200"/>
    <w:rsid w:val="00E95BC8"/>
    <w:rsid w:val="00EA7F33"/>
    <w:rsid w:val="00EB16EA"/>
    <w:rsid w:val="00ED1F02"/>
    <w:rsid w:val="00ED726E"/>
    <w:rsid w:val="00EE0E8C"/>
    <w:rsid w:val="00EF5AFE"/>
    <w:rsid w:val="00F2404B"/>
    <w:rsid w:val="00F349B2"/>
    <w:rsid w:val="00F5109E"/>
    <w:rsid w:val="00F5266A"/>
    <w:rsid w:val="00F52EF8"/>
    <w:rsid w:val="00F906DB"/>
    <w:rsid w:val="00F92FCC"/>
    <w:rsid w:val="00FA4EAF"/>
    <w:rsid w:val="00FB37E6"/>
    <w:rsid w:val="00FC4662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4522"/>
    <w:pPr>
      <w:spacing w:after="0" w:line="240" w:lineRule="auto"/>
    </w:pPr>
    <w:rPr>
      <w:rFonts w:eastAsiaTheme="minorEastAsia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54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82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4522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E64522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E64522"/>
  </w:style>
  <w:style w:type="paragraph" w:customStyle="1" w:styleId="Default">
    <w:name w:val="Default"/>
    <w:rsid w:val="00E64522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E64522"/>
    <w:pPr>
      <w:ind w:left="720"/>
      <w:contextualSpacing/>
    </w:pPr>
  </w:style>
  <w:style w:type="paragraph" w:styleId="Zkladntext">
    <w:name w:val="Body Text"/>
    <w:basedOn w:val="Normlny"/>
    <w:link w:val="ZkladntextChar"/>
    <w:rsid w:val="00E64522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4522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E6452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E645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64522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452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758"/>
    <w:rPr>
      <w:rFonts w:ascii="Segoe UI" w:eastAsiaTheme="minorEastAsia" w:hAnsi="Segoe UI" w:cs="Segoe UI"/>
      <w:sz w:val="18"/>
      <w:szCs w:val="18"/>
    </w:rPr>
  </w:style>
  <w:style w:type="paragraph" w:styleId="Bezriadkovania">
    <w:name w:val="No Spacing"/>
    <w:uiPriority w:val="1"/>
    <w:qFormat/>
    <w:rsid w:val="0058346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7E5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a">
    <w:name w:val="ra"/>
    <w:basedOn w:val="Predvolenpsmoodseku"/>
    <w:rsid w:val="00B90D9A"/>
  </w:style>
  <w:style w:type="character" w:customStyle="1" w:styleId="Nadpis3Char">
    <w:name w:val="Nadpis 3 Char"/>
    <w:basedOn w:val="Predvolenpsmoodseku"/>
    <w:link w:val="Nadpis3"/>
    <w:uiPriority w:val="9"/>
    <w:semiHidden/>
    <w:rsid w:val="001826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4522"/>
    <w:pPr>
      <w:spacing w:after="0" w:line="240" w:lineRule="auto"/>
    </w:pPr>
    <w:rPr>
      <w:rFonts w:eastAsiaTheme="minorEastAsia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54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82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4522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E64522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E64522"/>
  </w:style>
  <w:style w:type="paragraph" w:customStyle="1" w:styleId="Default">
    <w:name w:val="Default"/>
    <w:rsid w:val="00E64522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E64522"/>
    <w:pPr>
      <w:ind w:left="720"/>
      <w:contextualSpacing/>
    </w:pPr>
  </w:style>
  <w:style w:type="paragraph" w:styleId="Zkladntext">
    <w:name w:val="Body Text"/>
    <w:basedOn w:val="Normlny"/>
    <w:link w:val="ZkladntextChar"/>
    <w:rsid w:val="00E64522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4522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E6452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E645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64522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452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758"/>
    <w:rPr>
      <w:rFonts w:ascii="Segoe UI" w:eastAsiaTheme="minorEastAsia" w:hAnsi="Segoe UI" w:cs="Segoe UI"/>
      <w:sz w:val="18"/>
      <w:szCs w:val="18"/>
    </w:rPr>
  </w:style>
  <w:style w:type="paragraph" w:styleId="Bezriadkovania">
    <w:name w:val="No Spacing"/>
    <w:uiPriority w:val="1"/>
    <w:qFormat/>
    <w:rsid w:val="0058346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7E5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a">
    <w:name w:val="ra"/>
    <w:basedOn w:val="Predvolenpsmoodseku"/>
    <w:rsid w:val="00B90D9A"/>
  </w:style>
  <w:style w:type="character" w:customStyle="1" w:styleId="Nadpis3Char">
    <w:name w:val="Nadpis 3 Char"/>
    <w:basedOn w:val="Predvolenpsmoodseku"/>
    <w:link w:val="Nadpis3"/>
    <w:uiPriority w:val="9"/>
    <w:semiHidden/>
    <w:rsid w:val="001826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865B-0819-49D2-9C49-379B1BD4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Jancovicova</dc:creator>
  <cp:lastModifiedBy>Gogorova</cp:lastModifiedBy>
  <cp:revision>2</cp:revision>
  <cp:lastPrinted>2021-03-17T12:17:00Z</cp:lastPrinted>
  <dcterms:created xsi:type="dcterms:W3CDTF">2022-02-16T10:37:00Z</dcterms:created>
  <dcterms:modified xsi:type="dcterms:W3CDTF">2022-02-16T10:37:00Z</dcterms:modified>
</cp:coreProperties>
</file>