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B8158" w14:textId="77777777" w:rsidR="00EE58FF" w:rsidRPr="00BA4A69" w:rsidRDefault="00EE58FF" w:rsidP="00AF5EE2">
      <w:pPr>
        <w:pStyle w:val="Default"/>
        <w:spacing w:line="276" w:lineRule="auto"/>
        <w:rPr>
          <w:rFonts w:ascii="Calibri" w:hAnsi="Calibri" w:cs="Times New Roman"/>
          <w:lang w:val="sk-SK"/>
        </w:rPr>
      </w:pPr>
      <w:bookmarkStart w:id="0" w:name="_GoBack"/>
      <w:bookmarkEnd w:id="0"/>
    </w:p>
    <w:p w14:paraId="4C5E0228" w14:textId="77777777" w:rsidR="00EE58FF" w:rsidRPr="00BA4A69" w:rsidRDefault="00EE58FF" w:rsidP="00AF5EE2">
      <w:pPr>
        <w:pStyle w:val="Default"/>
        <w:spacing w:line="276" w:lineRule="auto"/>
        <w:rPr>
          <w:rFonts w:ascii="Calibri" w:hAnsi="Calibri" w:cs="Times New Roman"/>
          <w:lang w:val="sk-SK"/>
        </w:rPr>
      </w:pPr>
    </w:p>
    <w:p w14:paraId="4D8595AB" w14:textId="77777777" w:rsidR="00EE58FF" w:rsidRPr="00BA4A69" w:rsidRDefault="00EE58FF" w:rsidP="00AF5EE2">
      <w:pPr>
        <w:pStyle w:val="Default"/>
        <w:spacing w:line="276" w:lineRule="auto"/>
        <w:rPr>
          <w:rFonts w:ascii="Calibri" w:hAnsi="Calibri" w:cs="Times New Roman"/>
          <w:lang w:val="sk-SK"/>
        </w:rPr>
      </w:pPr>
    </w:p>
    <w:p w14:paraId="18CB927F" w14:textId="77777777" w:rsidR="00EE58FF" w:rsidRPr="00BA4A69" w:rsidRDefault="00EE58FF" w:rsidP="00AF5EE2">
      <w:pPr>
        <w:pStyle w:val="Default"/>
        <w:spacing w:line="276" w:lineRule="auto"/>
        <w:rPr>
          <w:rFonts w:ascii="Calibri" w:hAnsi="Calibri" w:cs="Times New Roman"/>
          <w:lang w:val="sk-SK"/>
        </w:rPr>
      </w:pPr>
    </w:p>
    <w:p w14:paraId="23C60A0A" w14:textId="77777777" w:rsidR="003772DF" w:rsidRPr="003772DF" w:rsidRDefault="003772DF" w:rsidP="003772DF">
      <w:pPr>
        <w:spacing w:line="276" w:lineRule="auto"/>
        <w:rPr>
          <w:rFonts w:ascii="Calibri" w:hAnsi="Calibri"/>
          <w:sz w:val="36"/>
          <w:szCs w:val="36"/>
          <w:lang w:val="sk-SK"/>
        </w:rPr>
      </w:pPr>
      <w:r w:rsidRPr="003772DF">
        <w:rPr>
          <w:rFonts w:ascii="Calibri" w:hAnsi="Calibri"/>
          <w:sz w:val="36"/>
          <w:szCs w:val="36"/>
          <w:lang w:val="sk-SK"/>
        </w:rPr>
        <w:t>Vedenie</w:t>
      </w:r>
    </w:p>
    <w:p w14:paraId="5D8E1860" w14:textId="48E43DF8" w:rsidR="00EE58FF" w:rsidRPr="00BA4A69" w:rsidRDefault="001A3384" w:rsidP="00AF5EE2">
      <w:pPr>
        <w:spacing w:line="276" w:lineRule="auto"/>
        <w:rPr>
          <w:rFonts w:ascii="Calibri" w:hAnsi="Calibri"/>
          <w:color w:val="FF0000"/>
          <w:sz w:val="36"/>
          <w:szCs w:val="36"/>
          <w:lang w:val="sk-SK"/>
        </w:rPr>
      </w:pPr>
      <w:r>
        <w:rPr>
          <w:rFonts w:ascii="Calibri" w:hAnsi="Calibri"/>
          <w:sz w:val="36"/>
          <w:szCs w:val="36"/>
          <w:lang w:val="sk-SK"/>
        </w:rPr>
        <w:t>03</w:t>
      </w:r>
      <w:r w:rsidR="00410DFF" w:rsidRPr="00BA4A69">
        <w:rPr>
          <w:rFonts w:ascii="Calibri" w:hAnsi="Calibri"/>
          <w:sz w:val="36"/>
          <w:szCs w:val="36"/>
          <w:lang w:val="sk-SK"/>
        </w:rPr>
        <w:t>.</w:t>
      </w:r>
      <w:r w:rsidR="00AF5EE2" w:rsidRPr="00BA4A69">
        <w:rPr>
          <w:rFonts w:ascii="Calibri" w:hAnsi="Calibri"/>
          <w:sz w:val="36"/>
          <w:szCs w:val="36"/>
          <w:lang w:val="sk-SK"/>
        </w:rPr>
        <w:t>0</w:t>
      </w:r>
      <w:r>
        <w:rPr>
          <w:rFonts w:ascii="Calibri" w:hAnsi="Calibri"/>
          <w:sz w:val="36"/>
          <w:szCs w:val="36"/>
          <w:lang w:val="sk-SK"/>
        </w:rPr>
        <w:t>7</w:t>
      </w:r>
      <w:r w:rsidR="00EE58FF" w:rsidRPr="00BA4A69">
        <w:rPr>
          <w:rFonts w:ascii="Calibri" w:hAnsi="Calibri"/>
          <w:sz w:val="36"/>
          <w:szCs w:val="36"/>
          <w:lang w:val="sk-SK"/>
        </w:rPr>
        <w:t>.201</w:t>
      </w:r>
      <w:r w:rsidR="00AF5EE2" w:rsidRPr="00BA4A69">
        <w:rPr>
          <w:rFonts w:ascii="Calibri" w:hAnsi="Calibri"/>
          <w:sz w:val="36"/>
          <w:szCs w:val="36"/>
          <w:lang w:val="sk-SK"/>
        </w:rPr>
        <w:t>9</w:t>
      </w:r>
    </w:p>
    <w:p w14:paraId="2F4A0B7E" w14:textId="77777777" w:rsidR="00EE58FF" w:rsidRPr="00BA4A69" w:rsidRDefault="00EE58FF" w:rsidP="00AF5EE2">
      <w:pPr>
        <w:spacing w:line="276" w:lineRule="auto"/>
        <w:rPr>
          <w:rFonts w:ascii="Calibri" w:hAnsi="Calibri"/>
          <w:b/>
          <w:sz w:val="36"/>
          <w:szCs w:val="36"/>
          <w:lang w:val="sk-SK"/>
        </w:rPr>
      </w:pPr>
    </w:p>
    <w:p w14:paraId="46A7BAD6" w14:textId="77777777" w:rsidR="008151C4" w:rsidRPr="00BA4A69" w:rsidRDefault="008151C4" w:rsidP="00AF5EE2">
      <w:pPr>
        <w:spacing w:line="276" w:lineRule="auto"/>
        <w:rPr>
          <w:rFonts w:ascii="Calibri" w:hAnsi="Calibri"/>
          <w:sz w:val="36"/>
          <w:szCs w:val="36"/>
          <w:lang w:val="sk-SK"/>
        </w:rPr>
      </w:pPr>
    </w:p>
    <w:p w14:paraId="0768B89C" w14:textId="5294D1D1" w:rsidR="00F24249" w:rsidRPr="00F24249" w:rsidRDefault="00F24249" w:rsidP="00F24249">
      <w:pPr>
        <w:rPr>
          <w:rFonts w:ascii="Calibri" w:eastAsiaTheme="minorEastAsia" w:hAnsi="Calibri" w:cstheme="minorBidi"/>
          <w:b/>
          <w:bCs/>
          <w:color w:val="000000"/>
          <w:sz w:val="36"/>
          <w:szCs w:val="36"/>
          <w:lang w:val="sk-SK" w:eastAsia="sk-SK"/>
        </w:rPr>
      </w:pPr>
      <w:r w:rsidRPr="00F24249">
        <w:rPr>
          <w:rFonts w:ascii="Calibri" w:eastAsiaTheme="minorEastAsia" w:hAnsi="Calibri" w:cstheme="minorBidi"/>
          <w:b/>
          <w:bCs/>
          <w:color w:val="000000"/>
          <w:sz w:val="36"/>
          <w:szCs w:val="36"/>
          <w:lang w:val="sk-SK" w:eastAsia="sk-SK"/>
        </w:rPr>
        <w:t xml:space="preserve">Diskusia k novému modelu rozdeľovania </w:t>
      </w:r>
      <w:proofErr w:type="spellStart"/>
      <w:r w:rsidRPr="00F24249">
        <w:rPr>
          <w:rFonts w:ascii="Calibri" w:eastAsiaTheme="minorEastAsia" w:hAnsi="Calibri" w:cstheme="minorBidi"/>
          <w:b/>
          <w:bCs/>
          <w:color w:val="000000"/>
          <w:sz w:val="36"/>
          <w:szCs w:val="36"/>
          <w:lang w:val="sk-SK" w:eastAsia="sk-SK"/>
        </w:rPr>
        <w:t>VaV</w:t>
      </w:r>
      <w:proofErr w:type="spellEnd"/>
      <w:r w:rsidRPr="00F24249">
        <w:rPr>
          <w:rFonts w:ascii="Calibri" w:eastAsiaTheme="minorEastAsia" w:hAnsi="Calibri" w:cstheme="minorBidi"/>
          <w:b/>
          <w:bCs/>
          <w:color w:val="000000"/>
          <w:sz w:val="36"/>
          <w:szCs w:val="36"/>
          <w:lang w:val="sk-SK" w:eastAsia="sk-SK"/>
        </w:rPr>
        <w:t xml:space="preserve"> dotácie medzi súčasti STU – verzia 1, 1. 7. 2019</w:t>
      </w:r>
    </w:p>
    <w:p w14:paraId="2BB78A52" w14:textId="4018830F" w:rsidR="003772DF" w:rsidRPr="001A3384" w:rsidRDefault="003772DF" w:rsidP="001A3384">
      <w:pPr>
        <w:ind w:left="-142"/>
        <w:jc w:val="both"/>
        <w:rPr>
          <w:rFonts w:ascii="Calibri" w:eastAsiaTheme="minorEastAsia" w:hAnsi="Calibri" w:cstheme="minorBidi"/>
          <w:b/>
          <w:bCs/>
          <w:color w:val="000000"/>
          <w:sz w:val="36"/>
          <w:szCs w:val="36"/>
          <w:lang w:val="sk-SK" w:eastAsia="sk-SK"/>
        </w:rPr>
      </w:pPr>
    </w:p>
    <w:p w14:paraId="768A7946" w14:textId="6869DB27" w:rsidR="009014AF" w:rsidRPr="00023ACB" w:rsidRDefault="009014AF" w:rsidP="005321F3">
      <w:pPr>
        <w:spacing w:line="276" w:lineRule="auto"/>
        <w:rPr>
          <w:rFonts w:ascii="Calibri" w:hAnsi="Calibri"/>
          <w:b/>
          <w:sz w:val="36"/>
          <w:szCs w:val="36"/>
          <w:lang w:val="sk-SK"/>
        </w:rPr>
      </w:pPr>
    </w:p>
    <w:p w14:paraId="2752CDFE" w14:textId="77777777" w:rsidR="005321F3" w:rsidRPr="00023ACB" w:rsidRDefault="005321F3" w:rsidP="005321F3">
      <w:pPr>
        <w:spacing w:line="276" w:lineRule="auto"/>
        <w:rPr>
          <w:rFonts w:ascii="Calibri" w:hAnsi="Calibri"/>
          <w:lang w:val="sk-SK"/>
        </w:rPr>
      </w:pPr>
    </w:p>
    <w:p w14:paraId="395B59FB" w14:textId="77777777" w:rsidR="00EE58FF" w:rsidRPr="00023ACB" w:rsidRDefault="00EE58FF" w:rsidP="00AF5EE2">
      <w:pPr>
        <w:tabs>
          <w:tab w:val="left" w:pos="1985"/>
        </w:tabs>
        <w:spacing w:line="276" w:lineRule="auto"/>
        <w:rPr>
          <w:rFonts w:ascii="Calibri" w:hAnsi="Calibri"/>
          <w:lang w:val="sk-SK"/>
        </w:rPr>
      </w:pPr>
    </w:p>
    <w:p w14:paraId="5D1CFEBE" w14:textId="77777777" w:rsidR="003772DF" w:rsidRPr="00023ACB" w:rsidRDefault="003772DF" w:rsidP="003772DF">
      <w:pPr>
        <w:tabs>
          <w:tab w:val="left" w:pos="1985"/>
        </w:tabs>
        <w:ind w:left="-993" w:firstLine="851"/>
        <w:rPr>
          <w:rFonts w:asciiTheme="minorHAnsi" w:hAnsiTheme="minorHAnsi" w:cstheme="minorHAnsi"/>
          <w:lang w:val="sk-SK"/>
        </w:rPr>
      </w:pPr>
      <w:r w:rsidRPr="00023ACB">
        <w:rPr>
          <w:rFonts w:asciiTheme="minorHAnsi" w:hAnsiTheme="minorHAnsi" w:cstheme="minorHAnsi"/>
          <w:lang w:val="sk-SK"/>
        </w:rPr>
        <w:t xml:space="preserve">  Predkladá:</w:t>
      </w:r>
      <w:r w:rsidRPr="00023ACB">
        <w:rPr>
          <w:rFonts w:asciiTheme="minorHAnsi" w:hAnsiTheme="minorHAnsi" w:cstheme="minorHAnsi"/>
          <w:lang w:val="sk-SK"/>
        </w:rPr>
        <w:tab/>
      </w:r>
      <w:r w:rsidRPr="00023ACB">
        <w:rPr>
          <w:rFonts w:asciiTheme="minorHAnsi" w:hAnsiTheme="minorHAnsi" w:cstheme="minorHAnsi"/>
          <w:b/>
          <w:lang w:val="sk-SK"/>
        </w:rPr>
        <w:t>prof. Ing. Ján Szolgay, PhD.</w:t>
      </w:r>
    </w:p>
    <w:p w14:paraId="3C65B8EF" w14:textId="63153C28" w:rsidR="003772DF" w:rsidRPr="00023ACB" w:rsidRDefault="003772DF" w:rsidP="003772DF">
      <w:pPr>
        <w:tabs>
          <w:tab w:val="left" w:pos="1985"/>
        </w:tabs>
        <w:ind w:left="-993" w:firstLine="851"/>
        <w:rPr>
          <w:rFonts w:asciiTheme="minorHAnsi" w:hAnsiTheme="minorHAnsi" w:cstheme="minorHAnsi"/>
          <w:lang w:val="sk-SK"/>
        </w:rPr>
      </w:pPr>
      <w:r w:rsidRPr="00023ACB">
        <w:rPr>
          <w:rFonts w:asciiTheme="minorHAnsi" w:hAnsiTheme="minorHAnsi" w:cstheme="minorHAnsi"/>
          <w:lang w:val="sk-SK"/>
        </w:rPr>
        <w:tab/>
        <w:t xml:space="preserve">prorektor pre </w:t>
      </w:r>
      <w:r w:rsidR="00023ACB">
        <w:rPr>
          <w:rFonts w:asciiTheme="minorHAnsi" w:hAnsiTheme="minorHAnsi" w:cstheme="minorHAnsi"/>
          <w:lang w:val="sk-SK"/>
        </w:rPr>
        <w:t>vedu,</w:t>
      </w:r>
      <w:r w:rsidRPr="00023ACB">
        <w:rPr>
          <w:rFonts w:asciiTheme="minorHAnsi" w:hAnsiTheme="minorHAnsi" w:cstheme="minorHAnsi"/>
          <w:lang w:val="sk-SK"/>
        </w:rPr>
        <w:t xml:space="preserve"> výskum</w:t>
      </w:r>
      <w:r w:rsidR="00023ACB">
        <w:rPr>
          <w:rFonts w:asciiTheme="minorHAnsi" w:hAnsiTheme="minorHAnsi" w:cstheme="minorHAnsi"/>
          <w:lang w:val="sk-SK"/>
        </w:rPr>
        <w:t xml:space="preserve"> a doktorandské štúdium</w:t>
      </w:r>
    </w:p>
    <w:p w14:paraId="1984C9D7" w14:textId="77777777" w:rsidR="00EE58FF" w:rsidRPr="00023ACB" w:rsidRDefault="00EE58FF" w:rsidP="00AF5EE2">
      <w:pPr>
        <w:tabs>
          <w:tab w:val="left" w:pos="1985"/>
        </w:tabs>
        <w:spacing w:line="276" w:lineRule="auto"/>
        <w:rPr>
          <w:rFonts w:ascii="Calibri" w:hAnsi="Calibri"/>
          <w:lang w:val="sk-SK"/>
        </w:rPr>
      </w:pPr>
      <w:r w:rsidRPr="00023ACB">
        <w:rPr>
          <w:rFonts w:ascii="Calibri" w:hAnsi="Calibri"/>
          <w:lang w:val="sk-SK"/>
        </w:rPr>
        <w:tab/>
      </w:r>
    </w:p>
    <w:p w14:paraId="4152F6B3" w14:textId="19081C9B" w:rsidR="003772DF" w:rsidRPr="00023ACB" w:rsidRDefault="003772DF" w:rsidP="003772DF">
      <w:pPr>
        <w:tabs>
          <w:tab w:val="left" w:pos="1985"/>
        </w:tabs>
        <w:rPr>
          <w:rFonts w:asciiTheme="minorHAnsi" w:hAnsiTheme="minorHAnsi" w:cstheme="minorHAnsi"/>
          <w:b/>
          <w:lang w:val="sk-SK"/>
        </w:rPr>
      </w:pPr>
      <w:r w:rsidRPr="00023ACB">
        <w:rPr>
          <w:rFonts w:asciiTheme="minorHAnsi" w:hAnsiTheme="minorHAnsi" w:cstheme="minorHAnsi"/>
          <w:lang w:val="sk-SK"/>
        </w:rPr>
        <w:t>Vypracovala:</w:t>
      </w:r>
      <w:r w:rsidRPr="00023ACB">
        <w:rPr>
          <w:rFonts w:asciiTheme="minorHAnsi" w:hAnsiTheme="minorHAnsi" w:cstheme="minorHAnsi"/>
          <w:lang w:val="sk-SK"/>
        </w:rPr>
        <w:tab/>
      </w:r>
      <w:r w:rsidR="00F24249" w:rsidRPr="00023ACB">
        <w:rPr>
          <w:rFonts w:asciiTheme="minorHAnsi" w:hAnsiTheme="minorHAnsi" w:cstheme="minorHAnsi"/>
          <w:b/>
          <w:lang w:val="sk-SK"/>
        </w:rPr>
        <w:t>prof. Ing. Ján Szolgay, PhD.</w:t>
      </w:r>
    </w:p>
    <w:p w14:paraId="26CF180E" w14:textId="63D3E21A" w:rsidR="003772DF" w:rsidRDefault="003772DF" w:rsidP="003772DF">
      <w:pPr>
        <w:tabs>
          <w:tab w:val="left" w:pos="1985"/>
        </w:tabs>
        <w:ind w:left="-993" w:firstLine="851"/>
        <w:rPr>
          <w:rFonts w:asciiTheme="minorHAnsi" w:hAnsiTheme="minorHAnsi" w:cstheme="minorHAnsi"/>
          <w:lang w:val="sk-SK"/>
        </w:rPr>
      </w:pPr>
      <w:r w:rsidRPr="00023ACB">
        <w:rPr>
          <w:rFonts w:asciiTheme="minorHAnsi" w:hAnsiTheme="minorHAnsi" w:cstheme="minorHAnsi"/>
          <w:b/>
          <w:lang w:val="sk-SK"/>
        </w:rPr>
        <w:tab/>
      </w:r>
      <w:r w:rsidR="00F24249">
        <w:rPr>
          <w:rFonts w:asciiTheme="minorHAnsi" w:hAnsiTheme="minorHAnsi" w:cstheme="minorHAnsi"/>
          <w:lang w:val="sk-SK"/>
        </w:rPr>
        <w:t>p</w:t>
      </w:r>
      <w:r w:rsidR="00F24249" w:rsidRPr="00023ACB">
        <w:rPr>
          <w:rFonts w:asciiTheme="minorHAnsi" w:hAnsiTheme="minorHAnsi" w:cstheme="minorHAnsi"/>
          <w:lang w:val="sk-SK"/>
        </w:rPr>
        <w:t>rorektor</w:t>
      </w:r>
      <w:r w:rsidR="00F24249">
        <w:rPr>
          <w:rFonts w:asciiTheme="minorHAnsi" w:hAnsiTheme="minorHAnsi" w:cstheme="minorHAnsi"/>
          <w:lang w:val="sk-SK"/>
        </w:rPr>
        <w:t xml:space="preserve"> </w:t>
      </w:r>
      <w:r w:rsidR="00F24249" w:rsidRPr="00023ACB">
        <w:rPr>
          <w:rFonts w:asciiTheme="minorHAnsi" w:hAnsiTheme="minorHAnsi" w:cstheme="minorHAnsi"/>
          <w:lang w:val="sk-SK"/>
        </w:rPr>
        <w:t xml:space="preserve">pre </w:t>
      </w:r>
      <w:r w:rsidR="00F24249">
        <w:rPr>
          <w:rFonts w:asciiTheme="minorHAnsi" w:hAnsiTheme="minorHAnsi" w:cstheme="minorHAnsi"/>
          <w:lang w:val="sk-SK"/>
        </w:rPr>
        <w:t>vedu,</w:t>
      </w:r>
      <w:r w:rsidR="00F24249" w:rsidRPr="00023ACB">
        <w:rPr>
          <w:rFonts w:asciiTheme="minorHAnsi" w:hAnsiTheme="minorHAnsi" w:cstheme="minorHAnsi"/>
          <w:lang w:val="sk-SK"/>
        </w:rPr>
        <w:t xml:space="preserve"> výskum</w:t>
      </w:r>
      <w:r w:rsidR="00F24249">
        <w:rPr>
          <w:rFonts w:asciiTheme="minorHAnsi" w:hAnsiTheme="minorHAnsi" w:cstheme="minorHAnsi"/>
          <w:lang w:val="sk-SK"/>
        </w:rPr>
        <w:t xml:space="preserve"> a doktorandské štúdium</w:t>
      </w:r>
    </w:p>
    <w:p w14:paraId="0170C655" w14:textId="04E126CD" w:rsidR="00EE58FF" w:rsidRPr="001A3384" w:rsidRDefault="001A3384" w:rsidP="00F24249">
      <w:pPr>
        <w:tabs>
          <w:tab w:val="left" w:pos="1985"/>
        </w:tabs>
        <w:ind w:left="-993" w:firstLine="851"/>
        <w:rPr>
          <w:rFonts w:asciiTheme="minorHAnsi" w:hAnsiTheme="minorHAnsi" w:cstheme="minorHAnsi"/>
          <w:b/>
          <w:lang w:val="sk-SK"/>
        </w:rPr>
      </w:pPr>
      <w:r>
        <w:rPr>
          <w:rFonts w:asciiTheme="minorHAnsi" w:hAnsiTheme="minorHAnsi" w:cstheme="minorHAnsi"/>
          <w:lang w:val="sk-SK"/>
        </w:rPr>
        <w:tab/>
      </w:r>
    </w:p>
    <w:p w14:paraId="5E754A1F" w14:textId="77777777" w:rsidR="00063181" w:rsidRPr="00023ACB" w:rsidRDefault="00063181" w:rsidP="00AF5EE2">
      <w:pPr>
        <w:tabs>
          <w:tab w:val="left" w:pos="1985"/>
        </w:tabs>
        <w:spacing w:line="276" w:lineRule="auto"/>
        <w:rPr>
          <w:rFonts w:ascii="Calibri" w:hAnsi="Calibri"/>
          <w:lang w:val="sk-SK"/>
        </w:rPr>
      </w:pPr>
    </w:p>
    <w:p w14:paraId="05462E50" w14:textId="496FC612" w:rsidR="00EE58FF" w:rsidRPr="001A3384" w:rsidRDefault="00EE58FF" w:rsidP="003772DF">
      <w:pPr>
        <w:tabs>
          <w:tab w:val="left" w:pos="1985"/>
        </w:tabs>
        <w:spacing w:line="276" w:lineRule="auto"/>
        <w:ind w:left="1980" w:hanging="1980"/>
        <w:jc w:val="both"/>
        <w:rPr>
          <w:rFonts w:asciiTheme="minorHAnsi" w:hAnsiTheme="minorHAnsi" w:cstheme="minorHAnsi"/>
          <w:lang w:val="sk-SK"/>
        </w:rPr>
      </w:pPr>
      <w:r w:rsidRPr="00023ACB">
        <w:rPr>
          <w:rFonts w:ascii="Calibri" w:hAnsi="Calibri"/>
          <w:lang w:val="sk-SK"/>
        </w:rPr>
        <w:t>Zdôvodnenie:</w:t>
      </w:r>
      <w:r w:rsidRPr="00023ACB">
        <w:rPr>
          <w:rFonts w:ascii="Calibri" w:hAnsi="Calibri"/>
          <w:lang w:val="sk-SK"/>
        </w:rPr>
        <w:tab/>
      </w:r>
      <w:r w:rsidR="00292821">
        <w:rPr>
          <w:rFonts w:asciiTheme="minorHAnsi" w:hAnsiTheme="minorHAnsi" w:cstheme="minorHAnsi"/>
          <w:lang w:val="sk-SK"/>
        </w:rPr>
        <w:t xml:space="preserve">Informácia </w:t>
      </w:r>
      <w:r w:rsidR="001A3384">
        <w:rPr>
          <w:rFonts w:asciiTheme="minorHAnsi" w:hAnsiTheme="minorHAnsi" w:cstheme="minorHAnsi"/>
          <w:lang w:val="sk-SK"/>
        </w:rPr>
        <w:t>sa predkladá v</w:t>
      </w:r>
      <w:r w:rsidR="001A3384" w:rsidRPr="001A3384">
        <w:rPr>
          <w:rFonts w:asciiTheme="minorHAnsi" w:hAnsiTheme="minorHAnsi" w:cstheme="minorHAnsi"/>
          <w:lang w:val="sk-SK"/>
        </w:rPr>
        <w:t> súlade s</w:t>
      </w:r>
      <w:r w:rsidR="001A3384">
        <w:rPr>
          <w:rFonts w:asciiTheme="minorHAnsi" w:hAnsiTheme="minorHAnsi" w:cstheme="minorHAnsi"/>
          <w:lang w:val="sk-SK"/>
        </w:rPr>
        <w:t xml:space="preserve"> aktivitami </w:t>
      </w:r>
      <w:r w:rsidR="00D03CE3">
        <w:rPr>
          <w:rFonts w:asciiTheme="minorHAnsi" w:hAnsiTheme="minorHAnsi" w:cstheme="minorHAnsi"/>
          <w:lang w:val="sk-SK"/>
        </w:rPr>
        <w:t>úseku</w:t>
      </w:r>
      <w:r w:rsidR="003772DF" w:rsidRPr="00023ACB">
        <w:rPr>
          <w:rFonts w:asciiTheme="minorHAnsi" w:hAnsiTheme="minorHAnsi" w:cstheme="minorHAnsi"/>
          <w:lang w:val="sk-SK"/>
        </w:rPr>
        <w:t>.</w:t>
      </w:r>
    </w:p>
    <w:p w14:paraId="706B60D7" w14:textId="77777777" w:rsidR="00EE58FF" w:rsidRPr="00023ACB" w:rsidRDefault="00EE58FF" w:rsidP="00AF5EE2">
      <w:pPr>
        <w:tabs>
          <w:tab w:val="left" w:pos="1985"/>
        </w:tabs>
        <w:spacing w:line="276" w:lineRule="auto"/>
        <w:rPr>
          <w:rFonts w:ascii="Calibri" w:hAnsi="Calibri"/>
          <w:lang w:val="sk-SK"/>
        </w:rPr>
      </w:pPr>
    </w:p>
    <w:p w14:paraId="009159A1" w14:textId="41F6ABE9" w:rsidR="003772DF" w:rsidRPr="008870FE" w:rsidRDefault="00292821" w:rsidP="003772DF">
      <w:pPr>
        <w:pStyle w:val="Default"/>
        <w:ind w:left="1985" w:hanging="2127"/>
        <w:rPr>
          <w:rFonts w:asciiTheme="minorHAnsi" w:hAnsiTheme="minorHAnsi" w:cstheme="minorHAnsi"/>
          <w:lang w:val="sk-SK"/>
        </w:rPr>
      </w:pPr>
      <w:r>
        <w:rPr>
          <w:rFonts w:ascii="Calibri" w:hAnsi="Calibri"/>
          <w:lang w:val="sk-SK"/>
        </w:rPr>
        <w:t xml:space="preserve">  </w:t>
      </w:r>
      <w:r w:rsidR="00093D7E" w:rsidRPr="00496324">
        <w:rPr>
          <w:rFonts w:ascii="Calibri" w:hAnsi="Calibri"/>
          <w:lang w:val="sk-SK"/>
        </w:rPr>
        <w:t>Návrh uznesenia:</w:t>
      </w:r>
      <w:r w:rsidR="00093D7E" w:rsidRPr="00496324">
        <w:rPr>
          <w:rFonts w:ascii="Calibri" w:hAnsi="Calibri"/>
          <w:lang w:val="sk-SK"/>
        </w:rPr>
        <w:tab/>
      </w:r>
      <w:r w:rsidR="003772DF" w:rsidRPr="008870FE">
        <w:rPr>
          <w:rFonts w:asciiTheme="minorHAnsi" w:hAnsiTheme="minorHAnsi" w:cstheme="minorHAnsi"/>
          <w:lang w:val="sk-SK"/>
        </w:rPr>
        <w:t xml:space="preserve">Vedenie STU </w:t>
      </w:r>
      <w:r w:rsidR="003772DF">
        <w:rPr>
          <w:rFonts w:asciiTheme="minorHAnsi" w:hAnsiTheme="minorHAnsi" w:cstheme="minorHAnsi"/>
          <w:lang w:val="sk-SK"/>
        </w:rPr>
        <w:t>berie na vedomie informáciu</w:t>
      </w:r>
    </w:p>
    <w:p w14:paraId="632813C2" w14:textId="77777777" w:rsidR="003772DF" w:rsidRDefault="003772DF" w:rsidP="003772DF">
      <w:pPr>
        <w:pStyle w:val="Default"/>
        <w:ind w:left="1985" w:hanging="2127"/>
        <w:rPr>
          <w:rFonts w:asciiTheme="minorHAnsi" w:hAnsiTheme="minorHAnsi" w:cstheme="minorHAnsi"/>
          <w:lang w:val="sk-SK"/>
        </w:rPr>
      </w:pPr>
      <w:r w:rsidRPr="008870FE">
        <w:rPr>
          <w:rFonts w:asciiTheme="minorHAnsi" w:hAnsiTheme="minorHAnsi" w:cstheme="minorHAnsi"/>
          <w:lang w:val="sk-SK"/>
        </w:rPr>
        <w:tab/>
      </w:r>
    </w:p>
    <w:p w14:paraId="138AE201" w14:textId="77777777" w:rsidR="003772DF" w:rsidRPr="008870FE" w:rsidRDefault="003772DF" w:rsidP="003772DF">
      <w:pPr>
        <w:pStyle w:val="Default"/>
        <w:ind w:left="1985" w:hanging="2127"/>
        <w:rPr>
          <w:rFonts w:asciiTheme="minorHAnsi" w:hAnsiTheme="minorHAnsi" w:cstheme="minorHAnsi"/>
          <w:lang w:val="sk-SK"/>
        </w:rPr>
      </w:pPr>
      <w:r>
        <w:rPr>
          <w:rFonts w:asciiTheme="minorHAnsi" w:hAnsiTheme="minorHAnsi" w:cstheme="minorHAnsi"/>
          <w:lang w:val="sk-SK"/>
        </w:rPr>
        <w:t xml:space="preserve">                                       a</w:t>
      </w:r>
      <w:r w:rsidRPr="008870FE">
        <w:rPr>
          <w:rFonts w:asciiTheme="minorHAnsi" w:hAnsiTheme="minorHAnsi" w:cstheme="minorHAnsi"/>
          <w:lang w:val="sk-SK"/>
        </w:rPr>
        <w:t>) s pripomienkami</w:t>
      </w:r>
    </w:p>
    <w:p w14:paraId="13405533" w14:textId="012AD86B" w:rsidR="003772DF" w:rsidRPr="008870FE" w:rsidRDefault="003772DF" w:rsidP="00023ACB">
      <w:pPr>
        <w:pStyle w:val="Default"/>
        <w:tabs>
          <w:tab w:val="left" w:pos="1985"/>
        </w:tabs>
        <w:ind w:left="1985" w:hanging="2127"/>
        <w:rPr>
          <w:rFonts w:asciiTheme="minorHAnsi" w:hAnsiTheme="minorHAnsi" w:cstheme="minorHAnsi"/>
          <w:lang w:val="sk-SK"/>
        </w:rPr>
      </w:pPr>
      <w:r w:rsidRPr="008870FE">
        <w:rPr>
          <w:rFonts w:asciiTheme="minorHAnsi" w:hAnsiTheme="minorHAnsi" w:cstheme="minorHAnsi"/>
          <w:lang w:val="sk-SK"/>
        </w:rPr>
        <w:tab/>
      </w:r>
      <w:r>
        <w:rPr>
          <w:rFonts w:asciiTheme="minorHAnsi" w:hAnsiTheme="minorHAnsi" w:cstheme="minorHAnsi"/>
          <w:lang w:val="sk-SK"/>
        </w:rPr>
        <w:t>b</w:t>
      </w:r>
      <w:r w:rsidR="00023ACB">
        <w:rPr>
          <w:rFonts w:asciiTheme="minorHAnsi" w:hAnsiTheme="minorHAnsi" w:cstheme="minorHAnsi"/>
          <w:lang w:val="sk-SK"/>
        </w:rPr>
        <w:t>) bez pripomienok</w:t>
      </w:r>
      <w:r w:rsidRPr="008870FE">
        <w:rPr>
          <w:rFonts w:asciiTheme="minorHAnsi" w:hAnsiTheme="minorHAnsi" w:cstheme="minorHAnsi"/>
          <w:lang w:val="sk-SK"/>
        </w:rPr>
        <w:t xml:space="preserve">. </w:t>
      </w:r>
    </w:p>
    <w:p w14:paraId="2A6DAE98" w14:textId="1E460DEF" w:rsidR="007F06E7" w:rsidRPr="00BA4A69" w:rsidRDefault="007F06E7" w:rsidP="003772DF">
      <w:pPr>
        <w:ind w:left="1980" w:hanging="1980"/>
        <w:rPr>
          <w:rFonts w:ascii="Calibri" w:hAnsi="Calibri"/>
          <w:lang w:val="sk-SK"/>
        </w:rPr>
      </w:pPr>
    </w:p>
    <w:p w14:paraId="4CCFC646" w14:textId="77777777" w:rsidR="007F06E7" w:rsidRPr="00BA4A69" w:rsidRDefault="007F06E7" w:rsidP="00AF5EE2">
      <w:pPr>
        <w:pStyle w:val="Default"/>
        <w:spacing w:line="276" w:lineRule="auto"/>
        <w:rPr>
          <w:rFonts w:ascii="Calibri" w:hAnsi="Calibri" w:cs="Times New Roman"/>
          <w:lang w:val="sk-SK"/>
        </w:rPr>
      </w:pPr>
    </w:p>
    <w:p w14:paraId="59F64917" w14:textId="77777777" w:rsidR="007F06E7" w:rsidRPr="00BA4A69" w:rsidRDefault="007F06E7" w:rsidP="00AF5EE2">
      <w:pPr>
        <w:pStyle w:val="Default"/>
        <w:spacing w:line="276" w:lineRule="auto"/>
        <w:rPr>
          <w:rFonts w:ascii="Calibri" w:hAnsi="Calibri" w:cs="Times New Roman"/>
          <w:lang w:val="sk-SK"/>
        </w:rPr>
      </w:pPr>
    </w:p>
    <w:p w14:paraId="012A18D1" w14:textId="77777777" w:rsidR="002C544D" w:rsidRPr="00BA4A69" w:rsidRDefault="002C544D" w:rsidP="00AF5EE2">
      <w:pPr>
        <w:spacing w:line="276" w:lineRule="auto"/>
        <w:rPr>
          <w:sz w:val="36"/>
          <w:szCs w:val="36"/>
          <w:lang w:val="sk-SK"/>
        </w:rPr>
      </w:pPr>
    </w:p>
    <w:p w14:paraId="4706C1AC" w14:textId="77777777" w:rsidR="002C544D" w:rsidRPr="00BA4A69" w:rsidRDefault="002C544D" w:rsidP="00AF5EE2">
      <w:pPr>
        <w:spacing w:line="276" w:lineRule="auto"/>
        <w:rPr>
          <w:sz w:val="36"/>
          <w:szCs w:val="36"/>
          <w:lang w:val="sk-SK"/>
        </w:rPr>
      </w:pPr>
    </w:p>
    <w:p w14:paraId="6940C2B8" w14:textId="77777777" w:rsidR="002C544D" w:rsidRPr="00BA4A69" w:rsidRDefault="002C544D" w:rsidP="00AF5EE2">
      <w:pPr>
        <w:pStyle w:val="Hlavika"/>
        <w:spacing w:line="276" w:lineRule="auto"/>
        <w:jc w:val="right"/>
        <w:outlineLvl w:val="0"/>
        <w:rPr>
          <w:rFonts w:ascii="Calibri" w:hAnsi="Calibri"/>
          <w:color w:val="000000"/>
          <w:lang w:val="sk-SK"/>
        </w:rPr>
      </w:pPr>
    </w:p>
    <w:p w14:paraId="747AECF9" w14:textId="77777777" w:rsidR="002C544D" w:rsidRPr="00BA4A69" w:rsidRDefault="002C544D" w:rsidP="00AF5EE2">
      <w:pPr>
        <w:pStyle w:val="Hlavika"/>
        <w:spacing w:line="276" w:lineRule="auto"/>
        <w:jc w:val="right"/>
        <w:outlineLvl w:val="0"/>
        <w:rPr>
          <w:rFonts w:ascii="Calibri" w:hAnsi="Calibri"/>
          <w:color w:val="000000"/>
          <w:lang w:val="sk-SK"/>
        </w:rPr>
      </w:pPr>
    </w:p>
    <w:p w14:paraId="2AE20E62" w14:textId="77777777" w:rsidR="00945CB6" w:rsidRPr="00BA4A69" w:rsidRDefault="00945CB6" w:rsidP="00AF5EE2">
      <w:pPr>
        <w:tabs>
          <w:tab w:val="left" w:pos="0"/>
        </w:tabs>
        <w:spacing w:line="276" w:lineRule="auto"/>
        <w:ind w:right="8"/>
        <w:jc w:val="right"/>
        <w:rPr>
          <w:rFonts w:asciiTheme="minorHAnsi" w:hAnsiTheme="minorHAnsi" w:cstheme="minorHAnsi"/>
          <w:b/>
          <w:color w:val="000000" w:themeColor="text1"/>
          <w:lang w:val="sk-SK"/>
        </w:rPr>
      </w:pPr>
    </w:p>
    <w:p w14:paraId="4A2E8B58" w14:textId="77777777" w:rsidR="00945CB6" w:rsidRPr="00D03CE3" w:rsidRDefault="00945CB6" w:rsidP="00AF5EE2">
      <w:pPr>
        <w:spacing w:line="276" w:lineRule="auto"/>
        <w:rPr>
          <w:rFonts w:asciiTheme="minorHAnsi" w:hAnsiTheme="minorHAnsi" w:cstheme="minorHAnsi"/>
          <w:color w:val="000000" w:themeColor="text1"/>
          <w:lang w:val="sk-SK"/>
        </w:rPr>
      </w:pPr>
    </w:p>
    <w:p w14:paraId="50822113" w14:textId="77777777" w:rsidR="00023ACB" w:rsidRDefault="00023ACB" w:rsidP="00023ACB">
      <w:pPr>
        <w:rPr>
          <w:rFonts w:asciiTheme="minorHAnsi" w:hAnsiTheme="minorHAnsi"/>
          <w:b/>
          <w:sz w:val="26"/>
          <w:szCs w:val="26"/>
          <w:lang w:val="sk-SK"/>
        </w:rPr>
      </w:pPr>
    </w:p>
    <w:p w14:paraId="1A75FF31" w14:textId="77777777" w:rsidR="00D03CE3" w:rsidRPr="00D03CE3" w:rsidRDefault="00D03CE3" w:rsidP="00D03CE3">
      <w:pPr>
        <w:pStyle w:val="Odsekzoznamu"/>
        <w:numPr>
          <w:ilvl w:val="0"/>
          <w:numId w:val="35"/>
        </w:numPr>
        <w:spacing w:after="160" w:line="259" w:lineRule="auto"/>
        <w:jc w:val="both"/>
        <w:rPr>
          <w:rFonts w:asciiTheme="minorHAnsi" w:hAnsiTheme="minorHAnsi" w:cstheme="minorHAnsi"/>
          <w:b/>
          <w:bCs/>
          <w:lang w:val="sk-SK"/>
        </w:rPr>
      </w:pPr>
      <w:r w:rsidRPr="00D03CE3">
        <w:rPr>
          <w:rFonts w:asciiTheme="minorHAnsi" w:hAnsiTheme="minorHAnsi" w:cstheme="minorHAnsi"/>
          <w:b/>
          <w:bCs/>
          <w:lang w:val="sk-SK"/>
        </w:rPr>
        <w:t xml:space="preserve">Stručná charakteristika pozície STU v domácom a medzinárodnom výskumnom priestore </w:t>
      </w:r>
    </w:p>
    <w:p w14:paraId="3BCBAF07" w14:textId="77777777" w:rsidR="00D03CE3" w:rsidRPr="00D03CE3" w:rsidRDefault="00D03CE3" w:rsidP="00D03CE3">
      <w:pPr>
        <w:ind w:firstLine="360"/>
        <w:rPr>
          <w:rFonts w:asciiTheme="minorHAnsi" w:hAnsiTheme="minorHAnsi" w:cstheme="minorHAnsi"/>
          <w:lang w:val="sk-SK"/>
        </w:rPr>
      </w:pPr>
    </w:p>
    <w:p w14:paraId="10066A2D" w14:textId="77777777" w:rsidR="00D03CE3" w:rsidRPr="00D03CE3" w:rsidRDefault="00D03CE3" w:rsidP="00D03CE3">
      <w:pPr>
        <w:ind w:firstLine="360"/>
        <w:jc w:val="both"/>
        <w:rPr>
          <w:rFonts w:asciiTheme="minorHAnsi" w:hAnsiTheme="minorHAnsi" w:cstheme="minorHAnsi"/>
          <w:lang w:val="sk-SK"/>
        </w:rPr>
      </w:pPr>
      <w:r w:rsidRPr="00D03CE3">
        <w:rPr>
          <w:rFonts w:asciiTheme="minorHAnsi" w:hAnsiTheme="minorHAnsi" w:cstheme="minorHAnsi"/>
          <w:lang w:val="sk-SK"/>
        </w:rPr>
        <w:t xml:space="preserve">Výkonnosť v oblasti </w:t>
      </w:r>
      <w:proofErr w:type="spellStart"/>
      <w:r w:rsidRPr="00D03CE3">
        <w:rPr>
          <w:rFonts w:asciiTheme="minorHAnsi" w:hAnsiTheme="minorHAnsi" w:cstheme="minorHAnsi"/>
          <w:lang w:val="sk-SK"/>
        </w:rPr>
        <w:t>VaV</w:t>
      </w:r>
      <w:proofErr w:type="spellEnd"/>
      <w:r w:rsidRPr="00D03CE3">
        <w:rPr>
          <w:rFonts w:asciiTheme="minorHAnsi" w:hAnsiTheme="minorHAnsi" w:cstheme="minorHAnsi"/>
          <w:lang w:val="sk-SK"/>
        </w:rPr>
        <w:t xml:space="preserve"> jednotlivých súčastí STU voči konkurentom a vo vnútri STU je podrobne dokumentovaná v Správe o činnosti (výber z nej je v prílohe) a bola diskutovaná vo všetkých grémiách STU. Z nej vyplýva, že jednotlivé fakulty si dlhodobo udržujú svoj charakter silných a slabších stránok v rámci STU a nemajú vyrovnanú výkonnosť vo všetkých hodnotených oblastiach. </w:t>
      </w:r>
    </w:p>
    <w:p w14:paraId="6123F086" w14:textId="77777777" w:rsidR="00D03CE3" w:rsidRPr="00D03CE3" w:rsidRDefault="00D03CE3" w:rsidP="00D03CE3">
      <w:pPr>
        <w:ind w:firstLine="360"/>
        <w:jc w:val="both"/>
        <w:rPr>
          <w:rFonts w:asciiTheme="minorHAnsi" w:hAnsiTheme="minorHAnsi" w:cstheme="minorHAnsi"/>
          <w:lang w:val="sk-SK"/>
        </w:rPr>
      </w:pPr>
      <w:r w:rsidRPr="00D03CE3">
        <w:rPr>
          <w:rFonts w:asciiTheme="minorHAnsi" w:hAnsiTheme="minorHAnsi" w:cstheme="minorHAnsi"/>
          <w:lang w:val="sk-SK"/>
        </w:rPr>
        <w:t xml:space="preserve">Celkovo je možné zjednodušene konštatovať, že pracovníci STU, aj pod tlakom súčasných vnútorných systémov, postupových kritérií, a pravidiel delenia dotácie, vyvinuli úsilie reagovať na vonkajšie aj vnútorné motivačné faktory. STU vcelku preukazuje nárast publikačných výstupov, počtu i finančného objemu projektov. Kým v domácich grantoch je badateľný rast, úspešnosť získavania zahraničných zdrojov je kolísavá. </w:t>
      </w:r>
    </w:p>
    <w:p w14:paraId="3ACF3D04" w14:textId="77777777" w:rsidR="00D03CE3" w:rsidRPr="00D03CE3" w:rsidRDefault="00D03CE3" w:rsidP="00D03CE3">
      <w:pPr>
        <w:ind w:firstLine="360"/>
        <w:jc w:val="both"/>
        <w:rPr>
          <w:rFonts w:asciiTheme="minorHAnsi" w:hAnsiTheme="minorHAnsi" w:cstheme="minorHAnsi"/>
          <w:lang w:val="sk-SK"/>
        </w:rPr>
      </w:pPr>
      <w:r w:rsidRPr="00D03CE3">
        <w:rPr>
          <w:rFonts w:asciiTheme="minorHAnsi" w:hAnsiTheme="minorHAnsi" w:cstheme="minorHAnsi"/>
          <w:lang w:val="sk-SK"/>
        </w:rPr>
        <w:t>V oblasti publikačných výstupov pretrvávala nie celkom vhodná štruktúra dotovaných výstupov a ich nerovnomerné rozdelenie po jednotlivých fakultách a ich pracoviskách. Najviac cenené a pre budúcnosť potrebné výstupy sú v porovnaní s konkurenciou relatívne slabo zastúpené, aj keď sme zaznamenali nárast publikácií kategórie B a C. Z hľadiska súčasných kritérií akreditácie sú vnútorne cenené zborníkové publikácie evidované v databázach WOS a SCOPUS a iné, pre budúcnosť neštandardné výstupy kategórie A, ktoré máme v dostatočnom počte. I keď sa zrejme v budúcnosti nebudú považovať za dosť významné pre hodnotenie, v súčasnosti niektoré z nich dosť preferovalo aj MŠ SR. Tiež sa ukázalo, že miestami pretrvávajú snahy úniku do vyššieho počtu slabšie hodnotených publikácií.</w:t>
      </w:r>
    </w:p>
    <w:p w14:paraId="3B64915A" w14:textId="77777777" w:rsidR="00D03CE3" w:rsidRPr="00D03CE3" w:rsidRDefault="00D03CE3" w:rsidP="00D03CE3">
      <w:pPr>
        <w:ind w:firstLine="360"/>
        <w:jc w:val="both"/>
        <w:rPr>
          <w:rFonts w:asciiTheme="minorHAnsi" w:hAnsiTheme="minorHAnsi" w:cstheme="minorHAnsi"/>
          <w:lang w:val="sk-SK"/>
        </w:rPr>
      </w:pPr>
      <w:r w:rsidRPr="00D03CE3">
        <w:rPr>
          <w:rFonts w:asciiTheme="minorHAnsi" w:hAnsiTheme="minorHAnsi" w:cstheme="minorHAnsi"/>
          <w:lang w:val="sk-SK"/>
        </w:rPr>
        <w:t xml:space="preserve">Navyše, bola tu vykonaná analýza publikačných výstupov podľa členenia z metodiky MŠ z údajov CREPČ za obdobie 2014 až 2018 a výstupy STU porovnané s UK, TUKE, ŽU a TUZVO. Podrobné výsledky sú v prílohách. Z porovnania výkonnosti tvorivých pracovníkov vyplýva, že vo výstupoch kategórie B a C naša výkonnosť rastie, ale zaostáva voči konkurentom (i keď rozdiely je potrebné hodnotiť s rozvahou – napr. 2018 TUKE 0.41, STU 0.35). Na vysvetlenie príčin je potrebná podrobnejšia analýza vývoja štruktúry výstupov (napr. vyšší počet patentov na TUKE ako na STU) a spôsobov motivácie k tvorbe výstupov, štruktúry hodnotených odborov a ich publikačnej kultúry, vývoja zamestnanosti, investícií do laboratórií a výskumnej infraštruktúry.  </w:t>
      </w:r>
    </w:p>
    <w:p w14:paraId="1C290DCD" w14:textId="77777777" w:rsidR="00D03CE3" w:rsidRPr="00D03CE3" w:rsidRDefault="00D03CE3" w:rsidP="00D03CE3">
      <w:pPr>
        <w:ind w:firstLine="360"/>
        <w:jc w:val="both"/>
        <w:rPr>
          <w:rFonts w:asciiTheme="minorHAnsi" w:hAnsiTheme="minorHAnsi" w:cstheme="minorHAnsi"/>
          <w:lang w:val="sk-SK"/>
        </w:rPr>
      </w:pPr>
      <w:r w:rsidRPr="00D03CE3">
        <w:rPr>
          <w:rFonts w:asciiTheme="minorHAnsi" w:hAnsiTheme="minorHAnsi" w:cstheme="minorHAnsi"/>
          <w:lang w:val="sk-SK"/>
        </w:rPr>
        <w:t xml:space="preserve">Pri porovnaní s výkonnosťou SAV za 10 rokov z údajov WOS (údaje zo správy SAV nie sú celkom porovnateľné a SAV neodovzdáva svoje výstupy do CREPČ), je pozícia STU porovnateľná s TUKE. Chýbajú nám však tzv. top publikácie. </w:t>
      </w:r>
    </w:p>
    <w:p w14:paraId="6E033EB9" w14:textId="77777777" w:rsidR="00D03CE3" w:rsidRPr="00D03CE3" w:rsidRDefault="00D03CE3" w:rsidP="00D03CE3">
      <w:pPr>
        <w:ind w:firstLine="360"/>
        <w:jc w:val="both"/>
        <w:rPr>
          <w:rFonts w:asciiTheme="minorHAnsi" w:hAnsiTheme="minorHAnsi" w:cstheme="minorHAnsi"/>
          <w:lang w:val="sk-SK"/>
        </w:rPr>
      </w:pPr>
      <w:r w:rsidRPr="00D03CE3">
        <w:rPr>
          <w:rFonts w:asciiTheme="minorHAnsi" w:hAnsiTheme="minorHAnsi" w:cstheme="minorHAnsi"/>
          <w:lang w:val="sk-SK"/>
        </w:rPr>
        <w:t xml:space="preserve">Medzinárodné postavenie dobre ilustruje QS </w:t>
      </w:r>
      <w:proofErr w:type="spellStart"/>
      <w:r w:rsidRPr="00D03CE3">
        <w:rPr>
          <w:rFonts w:asciiTheme="minorHAnsi" w:hAnsiTheme="minorHAnsi" w:cstheme="minorHAnsi"/>
          <w:lang w:val="sk-SK"/>
        </w:rPr>
        <w:t>ranking</w:t>
      </w:r>
      <w:proofErr w:type="spellEnd"/>
      <w:r w:rsidRPr="00D03CE3">
        <w:rPr>
          <w:rFonts w:asciiTheme="minorHAnsi" w:hAnsiTheme="minorHAnsi" w:cstheme="minorHAnsi"/>
          <w:lang w:val="sk-SK"/>
        </w:rPr>
        <w:t xml:space="preserve">, z ktorého vyplýva, že z 1620 hodnotených inštitúcií sme iba v jednom indikátore nad mediánom. Celkovo sme na pozíciách 751-800. I keď sa voči minulému roku zlepšujeme, sa ale v pre nás relevantných indikátoroch zhoršujeme: citácie, zahraniční výskumníci a študenti). </w:t>
      </w:r>
    </w:p>
    <w:p w14:paraId="0D8A2377" w14:textId="77777777" w:rsidR="00D03CE3" w:rsidRPr="00D03CE3" w:rsidRDefault="00D03CE3" w:rsidP="00D03CE3">
      <w:pPr>
        <w:tabs>
          <w:tab w:val="num" w:pos="0"/>
        </w:tabs>
        <w:ind w:firstLine="709"/>
        <w:jc w:val="both"/>
        <w:rPr>
          <w:rFonts w:asciiTheme="minorHAnsi" w:hAnsiTheme="minorHAnsi" w:cstheme="minorHAnsi"/>
          <w:lang w:val="sk-SK"/>
        </w:rPr>
      </w:pPr>
      <w:r w:rsidRPr="00D03CE3">
        <w:rPr>
          <w:rFonts w:asciiTheme="minorHAnsi" w:hAnsiTheme="minorHAnsi" w:cstheme="minorHAnsi"/>
          <w:lang w:val="sk-SK"/>
        </w:rPr>
        <w:t xml:space="preserve">Vidieť teda, že súčasné selekčné a motivačné kritériá hodnotenia vedecko-odbornej činnosti pôsobia dvomi smermi. Čiastočne motivačne smerom ku kvalite, ale vytvorili sa aj únikové cesty ľahšieho odporu. Prejavuje sa to nielen v publikáciách, ale aj pri kritériách hodnotenia kvality prostredia podľa doterajšej akreditácie. </w:t>
      </w:r>
    </w:p>
    <w:p w14:paraId="077F4135" w14:textId="77777777" w:rsidR="00D03CE3" w:rsidRPr="00D03CE3" w:rsidRDefault="00D03CE3" w:rsidP="00D03CE3">
      <w:pPr>
        <w:rPr>
          <w:rFonts w:asciiTheme="minorHAnsi" w:hAnsiTheme="minorHAnsi" w:cstheme="minorHAnsi"/>
          <w:lang w:val="sk-SK"/>
        </w:rPr>
      </w:pPr>
    </w:p>
    <w:p w14:paraId="37F551D7" w14:textId="77777777" w:rsidR="00D03CE3" w:rsidRPr="00D03CE3" w:rsidRDefault="00D03CE3" w:rsidP="00D03CE3">
      <w:pPr>
        <w:pStyle w:val="Odsekzoznamu"/>
        <w:numPr>
          <w:ilvl w:val="0"/>
          <w:numId w:val="35"/>
        </w:numPr>
        <w:spacing w:after="160" w:line="259" w:lineRule="auto"/>
        <w:jc w:val="both"/>
        <w:rPr>
          <w:rFonts w:asciiTheme="minorHAnsi" w:hAnsiTheme="minorHAnsi" w:cstheme="minorHAnsi"/>
          <w:b/>
          <w:bCs/>
          <w:lang w:val="sk-SK"/>
        </w:rPr>
      </w:pPr>
      <w:r w:rsidRPr="00D03CE3">
        <w:rPr>
          <w:rFonts w:asciiTheme="minorHAnsi" w:hAnsiTheme="minorHAnsi" w:cstheme="minorHAnsi"/>
          <w:b/>
          <w:bCs/>
          <w:lang w:val="sk-SK"/>
        </w:rPr>
        <w:t xml:space="preserve">Stručný prehľad východiskového stavu modelov rozdeľovania </w:t>
      </w:r>
      <w:proofErr w:type="spellStart"/>
      <w:r w:rsidRPr="00D03CE3">
        <w:rPr>
          <w:rFonts w:asciiTheme="minorHAnsi" w:hAnsiTheme="minorHAnsi" w:cstheme="minorHAnsi"/>
          <w:b/>
          <w:bCs/>
          <w:lang w:val="sk-SK"/>
        </w:rPr>
        <w:t>VaV</w:t>
      </w:r>
      <w:proofErr w:type="spellEnd"/>
      <w:r w:rsidRPr="00D03CE3">
        <w:rPr>
          <w:rFonts w:asciiTheme="minorHAnsi" w:hAnsiTheme="minorHAnsi" w:cstheme="minorHAnsi"/>
          <w:b/>
          <w:bCs/>
          <w:lang w:val="sk-SK"/>
        </w:rPr>
        <w:t xml:space="preserve"> dotácie medzi súčasti STU </w:t>
      </w:r>
    </w:p>
    <w:p w14:paraId="595178CD" w14:textId="77777777" w:rsidR="00D03CE3" w:rsidRPr="00D03CE3" w:rsidRDefault="00D03CE3" w:rsidP="00D03CE3">
      <w:pPr>
        <w:ind w:firstLine="360"/>
        <w:rPr>
          <w:rFonts w:asciiTheme="minorHAnsi" w:hAnsiTheme="minorHAnsi" w:cstheme="minorHAnsi"/>
          <w:lang w:val="sk-SK"/>
        </w:rPr>
      </w:pPr>
    </w:p>
    <w:p w14:paraId="25942631" w14:textId="77777777" w:rsidR="00D03CE3" w:rsidRPr="00D03CE3" w:rsidRDefault="00D03CE3" w:rsidP="00D03CE3">
      <w:pPr>
        <w:ind w:firstLine="360"/>
        <w:jc w:val="both"/>
        <w:rPr>
          <w:rFonts w:asciiTheme="minorHAnsi" w:hAnsiTheme="minorHAnsi" w:cstheme="minorHAnsi"/>
          <w:lang w:val="sk-SK"/>
        </w:rPr>
      </w:pPr>
      <w:r w:rsidRPr="00D03CE3">
        <w:rPr>
          <w:rFonts w:asciiTheme="minorHAnsi" w:hAnsiTheme="minorHAnsi" w:cstheme="minorHAnsi"/>
          <w:lang w:val="sk-SK"/>
        </w:rPr>
        <w:t xml:space="preserve">Na jednotlivých súčastiach STU sa prostriedky rozdeľujú podľa hodnotenia výkonov. Ako vyplýva z porovnania spôsobov hodnotenia výkonnosti fakúlt, ústavov/katedier a sčasti aj jednotlivcov, dotačné prostriedky sú rozdeľované na výkonnostnej báze. Kritériá výkonnosti v princípe vychádzajú z ministerských metodík (a čiastočne aj váh a koeficientov), obsahujú však fakultné špecifiká. Sčasti sa v modeloch doteraz odzrkadľuje aj hodnotenie vedy a výskumu z poslednej akreditácie a kritériá pre habilitácie a inaugurácie. Dve fakulty majú zohľadnené aj umelecké výstupy. </w:t>
      </w:r>
    </w:p>
    <w:p w14:paraId="3F89F7D9" w14:textId="77777777" w:rsidR="00D03CE3" w:rsidRPr="00D03CE3" w:rsidRDefault="00D03CE3" w:rsidP="00D03CE3">
      <w:pPr>
        <w:ind w:firstLine="360"/>
        <w:jc w:val="both"/>
        <w:rPr>
          <w:rFonts w:asciiTheme="minorHAnsi" w:hAnsiTheme="minorHAnsi" w:cstheme="minorHAnsi"/>
          <w:lang w:val="sk-SK"/>
        </w:rPr>
      </w:pPr>
      <w:r w:rsidRPr="00D03CE3">
        <w:rPr>
          <w:rFonts w:asciiTheme="minorHAnsi" w:hAnsiTheme="minorHAnsi" w:cstheme="minorHAnsi"/>
          <w:lang w:val="sk-SK"/>
        </w:rPr>
        <w:t xml:space="preserve">Rozdiely voči ministerskej metodike (a teda aj súčasnej metodike delenia smerom na fakulty STU) sú v spôsobe určovania váh hodnotených položiek (napr. body, prepočet na hodiny), ako aj ich v veľkosti (ktoré niekde presne kopírujú jednotkové ceny a menia sa podľa metodiky MŠ, inde sú na pevno nastavené). Na ÚM takýto systém zatiaľ nie je. Kým publikácie a projekty sú prakticky všade hodnotené, citácie nie. Okrem toho sú niekedy v rôznej miere zohľadňované aj aktivity, ktoré sú pre obraz fakulty navonok považované za dôležité (organizovanie akcií, členstvá v komisiách a pod.). Ide teda o výkonnostne orientované systémy, založené na princípoch MŠ, ale nie úplne totožné s nimi. </w:t>
      </w:r>
    </w:p>
    <w:p w14:paraId="2AF615B4" w14:textId="77777777" w:rsidR="00D03CE3" w:rsidRPr="00D03CE3" w:rsidRDefault="00D03CE3" w:rsidP="00D03CE3">
      <w:pPr>
        <w:ind w:firstLine="360"/>
        <w:jc w:val="both"/>
        <w:rPr>
          <w:rFonts w:asciiTheme="minorHAnsi" w:hAnsiTheme="minorHAnsi" w:cstheme="minorHAnsi"/>
          <w:lang w:val="sk-SK"/>
        </w:rPr>
      </w:pPr>
      <w:r w:rsidRPr="00D03CE3">
        <w:rPr>
          <w:rFonts w:asciiTheme="minorHAnsi" w:hAnsiTheme="minorHAnsi" w:cstheme="minorHAnsi"/>
          <w:lang w:val="sk-SK"/>
        </w:rPr>
        <w:t xml:space="preserve">V dôsledku toho sa zmena metodiky doterajšieho rozdeľovania zo strany STU dotkne jednotlivých fakúlt rôzne (aj v závislosti od rýchlosti a stupňa zmeny). Prispôsobenie (v ideálnom prípade dokonca zjednotenie) fakultných metodík by síce bolo vhodné (vítané), avšak vzhľadom k tomu, že dlhodobo zohľadňujú lokálne špecifiká (napr. zvýšená potreba podpory tzv. výskumných HZ voči dotácii MŠ), nie priechodná. Navyše komplexná zmena by si vyžadovala dostatočný čas ako na prípravu, tak aj na schvaľovanie v AS.  </w:t>
      </w:r>
    </w:p>
    <w:p w14:paraId="3DAB5403" w14:textId="77777777" w:rsidR="00D03CE3" w:rsidRPr="00D03CE3" w:rsidRDefault="00D03CE3" w:rsidP="00D03CE3">
      <w:pPr>
        <w:ind w:firstLine="360"/>
        <w:jc w:val="both"/>
        <w:rPr>
          <w:rFonts w:asciiTheme="minorHAnsi" w:hAnsiTheme="minorHAnsi" w:cstheme="minorHAnsi"/>
          <w:lang w:val="sk-SK"/>
        </w:rPr>
      </w:pPr>
      <w:r w:rsidRPr="00D03CE3">
        <w:rPr>
          <w:rFonts w:asciiTheme="minorHAnsi" w:hAnsiTheme="minorHAnsi" w:cstheme="minorHAnsi"/>
          <w:lang w:val="sk-SK"/>
        </w:rPr>
        <w:tab/>
        <w:t xml:space="preserve">Treba dodať, že sa zlepšuje situácia pri evidovaní záznamov citácií, resp. ohlasov publikačnej činnosti pracovníkov fakulty, ktoré určite budú jedným z rozhodujúcich kritérií pri zaraďovaní fakúlt a vysokých škôl do kategórií v rámci novej komplexnej akreditácie, hodnotia sa aj pri posudzovaní grantov a kvalifikačných postupov. </w:t>
      </w:r>
    </w:p>
    <w:p w14:paraId="70C2C4B7" w14:textId="77777777" w:rsidR="00D03CE3" w:rsidRPr="00D03CE3" w:rsidRDefault="00D03CE3" w:rsidP="00D03CE3">
      <w:pPr>
        <w:rPr>
          <w:rFonts w:asciiTheme="minorHAnsi" w:hAnsiTheme="minorHAnsi" w:cstheme="minorHAnsi"/>
          <w:lang w:val="sk-SK"/>
        </w:rPr>
      </w:pPr>
    </w:p>
    <w:p w14:paraId="7B018136" w14:textId="77777777" w:rsidR="00D03CE3" w:rsidRPr="00D03CE3" w:rsidRDefault="00D03CE3" w:rsidP="00D03CE3">
      <w:pPr>
        <w:pStyle w:val="Odsekzoznamu"/>
        <w:numPr>
          <w:ilvl w:val="0"/>
          <w:numId w:val="35"/>
        </w:numPr>
        <w:spacing w:after="160" w:line="259" w:lineRule="auto"/>
        <w:jc w:val="both"/>
        <w:rPr>
          <w:rFonts w:asciiTheme="minorHAnsi" w:hAnsiTheme="minorHAnsi" w:cstheme="minorHAnsi"/>
          <w:b/>
          <w:bCs/>
          <w:lang w:val="sk-SK"/>
        </w:rPr>
      </w:pPr>
      <w:r w:rsidRPr="00D03CE3">
        <w:rPr>
          <w:rFonts w:asciiTheme="minorHAnsi" w:hAnsiTheme="minorHAnsi" w:cstheme="minorHAnsi"/>
          <w:b/>
          <w:bCs/>
          <w:lang w:val="sk-SK"/>
        </w:rPr>
        <w:t xml:space="preserve">Východiská pre model rozdeľovania dotácie pre </w:t>
      </w:r>
      <w:proofErr w:type="spellStart"/>
      <w:r w:rsidRPr="00D03CE3">
        <w:rPr>
          <w:rFonts w:asciiTheme="minorHAnsi" w:hAnsiTheme="minorHAnsi" w:cstheme="minorHAnsi"/>
          <w:b/>
          <w:bCs/>
          <w:lang w:val="sk-SK"/>
        </w:rPr>
        <w:t>VaV</w:t>
      </w:r>
      <w:proofErr w:type="spellEnd"/>
      <w:r w:rsidRPr="00D03CE3">
        <w:rPr>
          <w:rFonts w:asciiTheme="minorHAnsi" w:hAnsiTheme="minorHAnsi" w:cstheme="minorHAnsi"/>
          <w:b/>
          <w:bCs/>
          <w:lang w:val="sk-SK"/>
        </w:rPr>
        <w:t xml:space="preserve"> </w:t>
      </w:r>
    </w:p>
    <w:p w14:paraId="03C6E1A4" w14:textId="77777777" w:rsidR="00D03CE3" w:rsidRPr="00D03CE3" w:rsidRDefault="00D03CE3" w:rsidP="00D03CE3">
      <w:pPr>
        <w:rPr>
          <w:rFonts w:asciiTheme="minorHAnsi" w:hAnsiTheme="minorHAnsi" w:cstheme="minorHAnsi"/>
          <w:lang w:val="sk-SK"/>
        </w:rPr>
      </w:pPr>
    </w:p>
    <w:p w14:paraId="7FCB0F24" w14:textId="77777777" w:rsidR="00D03CE3" w:rsidRPr="00D03CE3" w:rsidRDefault="00D03CE3" w:rsidP="00D03CE3">
      <w:pPr>
        <w:ind w:firstLine="360"/>
        <w:jc w:val="both"/>
        <w:rPr>
          <w:rFonts w:asciiTheme="minorHAnsi" w:hAnsiTheme="minorHAnsi" w:cstheme="minorHAnsi"/>
          <w:lang w:val="sk-SK"/>
        </w:rPr>
      </w:pPr>
      <w:r w:rsidRPr="00D03CE3">
        <w:rPr>
          <w:rFonts w:asciiTheme="minorHAnsi" w:hAnsiTheme="minorHAnsi" w:cstheme="minorHAnsi"/>
          <w:lang w:val="sk-SK"/>
        </w:rPr>
        <w:t xml:space="preserve">Z priorít nového vedenia STU sa problematiky delenia dotácie </w:t>
      </w:r>
      <w:proofErr w:type="spellStart"/>
      <w:r w:rsidRPr="00D03CE3">
        <w:rPr>
          <w:rFonts w:asciiTheme="minorHAnsi" w:hAnsiTheme="minorHAnsi" w:cstheme="minorHAnsi"/>
          <w:lang w:val="sk-SK"/>
        </w:rPr>
        <w:t>VaV</w:t>
      </w:r>
      <w:proofErr w:type="spellEnd"/>
      <w:r w:rsidRPr="00D03CE3">
        <w:rPr>
          <w:rFonts w:asciiTheme="minorHAnsi" w:hAnsiTheme="minorHAnsi" w:cstheme="minorHAnsi"/>
          <w:lang w:val="sk-SK"/>
        </w:rPr>
        <w:t xml:space="preserve"> dotýkajú tieto body</w:t>
      </w:r>
    </w:p>
    <w:p w14:paraId="2C10CB9E" w14:textId="77777777" w:rsidR="00D03CE3" w:rsidRPr="00D03CE3" w:rsidRDefault="00D03CE3" w:rsidP="00D03CE3">
      <w:pPr>
        <w:pStyle w:val="Odsekzoznamu"/>
        <w:numPr>
          <w:ilvl w:val="0"/>
          <w:numId w:val="37"/>
        </w:numPr>
        <w:spacing w:after="160" w:line="259" w:lineRule="auto"/>
        <w:jc w:val="both"/>
        <w:rPr>
          <w:rFonts w:asciiTheme="minorHAnsi" w:hAnsiTheme="minorHAnsi" w:cstheme="minorHAnsi"/>
          <w:lang w:val="sk-SK"/>
        </w:rPr>
      </w:pPr>
      <w:r w:rsidRPr="00D03CE3">
        <w:rPr>
          <w:rFonts w:asciiTheme="minorHAnsi" w:hAnsiTheme="minorHAnsi" w:cstheme="minorHAnsi"/>
          <w:lang w:val="sk-SK"/>
        </w:rPr>
        <w:t>posilňovať kvalitu vo výskume a pedagogike,</w:t>
      </w:r>
    </w:p>
    <w:p w14:paraId="1B6049D6" w14:textId="77777777" w:rsidR="00D03CE3" w:rsidRPr="00D03CE3" w:rsidRDefault="00D03CE3" w:rsidP="00D03CE3">
      <w:pPr>
        <w:pStyle w:val="Odsekzoznamu"/>
        <w:numPr>
          <w:ilvl w:val="0"/>
          <w:numId w:val="37"/>
        </w:numPr>
        <w:spacing w:after="160" w:line="259" w:lineRule="auto"/>
        <w:jc w:val="both"/>
        <w:rPr>
          <w:rFonts w:asciiTheme="minorHAnsi" w:hAnsiTheme="minorHAnsi" w:cstheme="minorHAnsi"/>
          <w:lang w:val="sk-SK"/>
        </w:rPr>
      </w:pPr>
      <w:r w:rsidRPr="00D03CE3">
        <w:rPr>
          <w:rFonts w:asciiTheme="minorHAnsi" w:hAnsiTheme="minorHAnsi" w:cstheme="minorHAnsi"/>
          <w:lang w:val="sk-SK"/>
        </w:rPr>
        <w:t>posilniť rozvoj osobností a nových vedeckých škôl,</w:t>
      </w:r>
    </w:p>
    <w:p w14:paraId="57FD5DA0" w14:textId="77777777" w:rsidR="00D03CE3" w:rsidRPr="00D03CE3" w:rsidRDefault="00D03CE3" w:rsidP="00D03CE3">
      <w:pPr>
        <w:pStyle w:val="Odsekzoznamu"/>
        <w:numPr>
          <w:ilvl w:val="0"/>
          <w:numId w:val="37"/>
        </w:numPr>
        <w:spacing w:after="160" w:line="259" w:lineRule="auto"/>
        <w:jc w:val="both"/>
        <w:rPr>
          <w:rFonts w:asciiTheme="minorHAnsi" w:hAnsiTheme="minorHAnsi" w:cstheme="minorHAnsi"/>
          <w:lang w:val="sk-SK"/>
        </w:rPr>
      </w:pPr>
      <w:r w:rsidRPr="00D03CE3">
        <w:rPr>
          <w:rFonts w:asciiTheme="minorHAnsi" w:hAnsiTheme="minorHAnsi" w:cstheme="minorHAnsi"/>
          <w:lang w:val="sk-SK"/>
        </w:rPr>
        <w:t>podporovať najlepších a motivovať ostatných,</w:t>
      </w:r>
    </w:p>
    <w:p w14:paraId="2DFD9686" w14:textId="77777777" w:rsidR="00D03CE3" w:rsidRPr="00D03CE3" w:rsidRDefault="00D03CE3" w:rsidP="00D03CE3">
      <w:pPr>
        <w:pStyle w:val="Odsekzoznamu"/>
        <w:numPr>
          <w:ilvl w:val="0"/>
          <w:numId w:val="37"/>
        </w:numPr>
        <w:spacing w:after="160" w:line="259" w:lineRule="auto"/>
        <w:jc w:val="both"/>
        <w:rPr>
          <w:rFonts w:asciiTheme="minorHAnsi" w:hAnsiTheme="minorHAnsi" w:cstheme="minorHAnsi"/>
          <w:lang w:val="sk-SK"/>
        </w:rPr>
      </w:pPr>
      <w:r w:rsidRPr="00D03CE3">
        <w:rPr>
          <w:rFonts w:asciiTheme="minorHAnsi" w:hAnsiTheme="minorHAnsi" w:cstheme="minorHAnsi"/>
          <w:lang w:val="sk-SK"/>
        </w:rPr>
        <w:t>podporovať získavanie európskych a domácich projektov,</w:t>
      </w:r>
    </w:p>
    <w:p w14:paraId="74844C85" w14:textId="77777777" w:rsidR="00D03CE3" w:rsidRPr="00D03CE3" w:rsidRDefault="00D03CE3" w:rsidP="00D03CE3">
      <w:pPr>
        <w:pStyle w:val="Odsekzoznamu"/>
        <w:numPr>
          <w:ilvl w:val="0"/>
          <w:numId w:val="37"/>
        </w:numPr>
        <w:spacing w:after="160" w:line="259" w:lineRule="auto"/>
        <w:jc w:val="both"/>
        <w:rPr>
          <w:rFonts w:asciiTheme="minorHAnsi" w:hAnsiTheme="minorHAnsi" w:cstheme="minorHAnsi"/>
          <w:lang w:val="sk-SK"/>
        </w:rPr>
      </w:pPr>
      <w:r w:rsidRPr="00D03CE3">
        <w:rPr>
          <w:rFonts w:asciiTheme="minorHAnsi" w:hAnsiTheme="minorHAnsi" w:cstheme="minorHAnsi"/>
          <w:lang w:val="sk-SK"/>
        </w:rPr>
        <w:t>podporovať medzinárodné tímy a medzinárodnú spoluprácu,</w:t>
      </w:r>
    </w:p>
    <w:p w14:paraId="12789337" w14:textId="77777777" w:rsidR="00D03CE3" w:rsidRPr="00D03CE3" w:rsidRDefault="00D03CE3" w:rsidP="00D03CE3">
      <w:pPr>
        <w:pStyle w:val="Odsekzoznamu"/>
        <w:numPr>
          <w:ilvl w:val="0"/>
          <w:numId w:val="37"/>
        </w:numPr>
        <w:spacing w:after="160" w:line="259" w:lineRule="auto"/>
        <w:jc w:val="both"/>
        <w:rPr>
          <w:rFonts w:asciiTheme="minorHAnsi" w:hAnsiTheme="minorHAnsi" w:cstheme="minorHAnsi"/>
          <w:lang w:val="sk-SK"/>
        </w:rPr>
      </w:pPr>
      <w:r w:rsidRPr="00D03CE3">
        <w:rPr>
          <w:rFonts w:asciiTheme="minorHAnsi" w:hAnsiTheme="minorHAnsi" w:cstheme="minorHAnsi"/>
          <w:lang w:val="sk-SK"/>
        </w:rPr>
        <w:t>budovať priemyselnú spoluprácu a podporu,</w:t>
      </w:r>
    </w:p>
    <w:p w14:paraId="36B45310" w14:textId="77777777" w:rsidR="00D03CE3" w:rsidRPr="00D03CE3" w:rsidRDefault="00D03CE3" w:rsidP="00D03CE3">
      <w:pPr>
        <w:pStyle w:val="Odsekzoznamu"/>
        <w:numPr>
          <w:ilvl w:val="0"/>
          <w:numId w:val="37"/>
        </w:numPr>
        <w:spacing w:after="160" w:line="259" w:lineRule="auto"/>
        <w:jc w:val="both"/>
        <w:rPr>
          <w:rFonts w:asciiTheme="minorHAnsi" w:hAnsiTheme="minorHAnsi" w:cstheme="minorHAnsi"/>
          <w:lang w:val="sk-SK"/>
        </w:rPr>
      </w:pPr>
      <w:r w:rsidRPr="00D03CE3">
        <w:rPr>
          <w:rFonts w:asciiTheme="minorHAnsi" w:hAnsiTheme="minorHAnsi" w:cstheme="minorHAnsi"/>
          <w:lang w:val="sk-SK"/>
        </w:rPr>
        <w:t>prepájať výskum, vývoj a transfer do praxe,</w:t>
      </w:r>
    </w:p>
    <w:p w14:paraId="3EE35B7D" w14:textId="77777777" w:rsidR="00D03CE3" w:rsidRPr="00D03CE3" w:rsidRDefault="00D03CE3" w:rsidP="00D03CE3">
      <w:pPr>
        <w:pStyle w:val="Odsekzoznamu"/>
        <w:numPr>
          <w:ilvl w:val="0"/>
          <w:numId w:val="37"/>
        </w:numPr>
        <w:spacing w:after="160" w:line="259" w:lineRule="auto"/>
        <w:jc w:val="both"/>
        <w:rPr>
          <w:rFonts w:asciiTheme="minorHAnsi" w:hAnsiTheme="minorHAnsi" w:cstheme="minorHAnsi"/>
          <w:lang w:val="sk-SK"/>
        </w:rPr>
      </w:pPr>
      <w:r w:rsidRPr="00D03CE3">
        <w:rPr>
          <w:rFonts w:asciiTheme="minorHAnsi" w:hAnsiTheme="minorHAnsi" w:cstheme="minorHAnsi"/>
          <w:lang w:val="sk-SK"/>
        </w:rPr>
        <w:t>rozvíjať viaczdrojové financovanie.</w:t>
      </w:r>
    </w:p>
    <w:p w14:paraId="3339999C" w14:textId="77777777" w:rsidR="00D03CE3" w:rsidRPr="00D03CE3" w:rsidRDefault="00D03CE3" w:rsidP="00D03CE3">
      <w:pPr>
        <w:ind w:left="360" w:firstLine="360"/>
        <w:jc w:val="both"/>
        <w:rPr>
          <w:rFonts w:asciiTheme="minorHAnsi" w:hAnsiTheme="minorHAnsi" w:cstheme="minorHAnsi"/>
          <w:lang w:val="sk-SK"/>
        </w:rPr>
      </w:pPr>
      <w:r w:rsidRPr="00D03CE3">
        <w:rPr>
          <w:rFonts w:asciiTheme="minorHAnsi" w:hAnsiTheme="minorHAnsi" w:cstheme="minorHAnsi"/>
          <w:lang w:val="sk-SK"/>
        </w:rPr>
        <w:lastRenderedPageBreak/>
        <w:t xml:space="preserve">Z hľadiska neistôt meniacej sa metodiky MŠ je zložitejšie ju </w:t>
      </w:r>
      <w:proofErr w:type="spellStart"/>
      <w:r w:rsidRPr="00D03CE3">
        <w:rPr>
          <w:rFonts w:asciiTheme="minorHAnsi" w:hAnsiTheme="minorHAnsi" w:cstheme="minorHAnsi"/>
          <w:lang w:val="sk-SK"/>
        </w:rPr>
        <w:t>predikovať</w:t>
      </w:r>
      <w:proofErr w:type="spellEnd"/>
      <w:r w:rsidRPr="00D03CE3">
        <w:rPr>
          <w:rFonts w:asciiTheme="minorHAnsi" w:hAnsiTheme="minorHAnsi" w:cstheme="minorHAnsi"/>
          <w:lang w:val="sk-SK"/>
        </w:rPr>
        <w:t xml:space="preserve"> a odhadovať jej dopady na vývoj na STU. Z minulosti sú známe viaceré zmeny, ktoré sa nedali očakávať (napr. skokové zmeny </w:t>
      </w:r>
      <w:proofErr w:type="spellStart"/>
      <w:r w:rsidRPr="00D03CE3">
        <w:rPr>
          <w:rFonts w:asciiTheme="minorHAnsi" w:hAnsiTheme="minorHAnsi" w:cstheme="minorHAnsi"/>
          <w:lang w:val="sk-SK"/>
        </w:rPr>
        <w:t>váhovania</w:t>
      </w:r>
      <w:proofErr w:type="spellEnd"/>
      <w:r w:rsidRPr="00D03CE3">
        <w:rPr>
          <w:rFonts w:asciiTheme="minorHAnsi" w:hAnsiTheme="minorHAnsi" w:cstheme="minorHAnsi"/>
          <w:lang w:val="sk-SK"/>
        </w:rPr>
        <w:t xml:space="preserve"> druhov výstupov, prechod z využívania výstupov SCOPUS na WOS, meniace sa </w:t>
      </w:r>
      <w:proofErr w:type="spellStart"/>
      <w:r w:rsidRPr="00D03CE3">
        <w:rPr>
          <w:rFonts w:asciiTheme="minorHAnsi" w:hAnsiTheme="minorHAnsi" w:cstheme="minorHAnsi"/>
          <w:lang w:val="sk-SK"/>
        </w:rPr>
        <w:t>váhovanie</w:t>
      </w:r>
      <w:proofErr w:type="spellEnd"/>
      <w:r w:rsidRPr="00D03CE3">
        <w:rPr>
          <w:rFonts w:asciiTheme="minorHAnsi" w:hAnsiTheme="minorHAnsi" w:cstheme="minorHAnsi"/>
          <w:lang w:val="sk-SK"/>
        </w:rPr>
        <w:t xml:space="preserve"> výstupov z konferenčných článkov WOS a SCOPUS a pod.). </w:t>
      </w:r>
    </w:p>
    <w:p w14:paraId="43C6CF49" w14:textId="77777777" w:rsidR="00D03CE3" w:rsidRPr="00D03CE3" w:rsidRDefault="00D03CE3" w:rsidP="00D03CE3">
      <w:pPr>
        <w:ind w:left="360" w:firstLine="360"/>
        <w:jc w:val="both"/>
        <w:rPr>
          <w:rFonts w:asciiTheme="minorHAnsi" w:hAnsiTheme="minorHAnsi" w:cstheme="minorHAnsi"/>
          <w:lang w:val="sk-SK"/>
        </w:rPr>
      </w:pPr>
      <w:r w:rsidRPr="00D03CE3">
        <w:rPr>
          <w:rFonts w:asciiTheme="minorHAnsi" w:hAnsiTheme="minorHAnsi" w:cstheme="minorHAnsi"/>
          <w:lang w:val="sk-SK"/>
        </w:rPr>
        <w:t xml:space="preserve">Veľkú neistotu predstavuje budúcnosť časti dotácie na </w:t>
      </w:r>
      <w:proofErr w:type="spellStart"/>
      <w:r w:rsidRPr="00D03CE3">
        <w:rPr>
          <w:rFonts w:asciiTheme="minorHAnsi" w:hAnsiTheme="minorHAnsi" w:cstheme="minorHAnsi"/>
          <w:lang w:val="sk-SK"/>
        </w:rPr>
        <w:t>VaV</w:t>
      </w:r>
      <w:proofErr w:type="spellEnd"/>
      <w:r w:rsidRPr="00D03CE3">
        <w:rPr>
          <w:rFonts w:asciiTheme="minorHAnsi" w:hAnsiTheme="minorHAnsi" w:cstheme="minorHAnsi"/>
          <w:lang w:val="sk-SK"/>
        </w:rPr>
        <w:t xml:space="preserve">, ktorá sa prideľuje za hodnotenie v poslednej KA (43 percent). Ako sa budú hodnotiť celkové </w:t>
      </w:r>
      <w:proofErr w:type="spellStart"/>
      <w:r w:rsidRPr="00D03CE3">
        <w:rPr>
          <w:rFonts w:asciiTheme="minorHAnsi" w:hAnsiTheme="minorHAnsi" w:cstheme="minorHAnsi"/>
          <w:lang w:val="sk-SK"/>
        </w:rPr>
        <w:t>VaV</w:t>
      </w:r>
      <w:proofErr w:type="spellEnd"/>
      <w:r w:rsidRPr="00D03CE3">
        <w:rPr>
          <w:rFonts w:asciiTheme="minorHAnsi" w:hAnsiTheme="minorHAnsi" w:cstheme="minorHAnsi"/>
          <w:lang w:val="sk-SK"/>
        </w:rPr>
        <w:t xml:space="preserve"> výkony vysokých škôl, nie je úplne známe. I keď v princípe možnosti siahajú od zrušenia položky a jej rozdelení medzi ostatné (granty, zahraničné projekty, „HZ“, publikácie a umelecké výkony) po zavedenie nového variantu KA pre </w:t>
      </w:r>
      <w:proofErr w:type="spellStart"/>
      <w:r w:rsidRPr="00D03CE3">
        <w:rPr>
          <w:rFonts w:asciiTheme="minorHAnsi" w:hAnsiTheme="minorHAnsi" w:cstheme="minorHAnsi"/>
          <w:lang w:val="sk-SK"/>
        </w:rPr>
        <w:t>VaV</w:t>
      </w:r>
      <w:proofErr w:type="spellEnd"/>
      <w:r w:rsidRPr="00D03CE3">
        <w:rPr>
          <w:rFonts w:asciiTheme="minorHAnsi" w:hAnsiTheme="minorHAnsi" w:cstheme="minorHAnsi"/>
          <w:lang w:val="sk-SK"/>
        </w:rPr>
        <w:t xml:space="preserve"> (pričom značka výskumná univerzite by mohla byť zavedená ako zvláštna dotácia), môžeme vychádzať z toho, že hodnotenie sa zachová.</w:t>
      </w:r>
    </w:p>
    <w:p w14:paraId="3D0B06A6" w14:textId="77777777" w:rsidR="00D03CE3" w:rsidRPr="00D03CE3" w:rsidRDefault="00D03CE3" w:rsidP="00D03CE3">
      <w:pPr>
        <w:jc w:val="both"/>
        <w:rPr>
          <w:rFonts w:asciiTheme="minorHAnsi" w:hAnsiTheme="minorHAnsi" w:cstheme="minorHAnsi"/>
          <w:lang w:val="sk-SK"/>
        </w:rPr>
      </w:pPr>
    </w:p>
    <w:p w14:paraId="6B0AF40E" w14:textId="77777777" w:rsidR="00D03CE3" w:rsidRPr="00D03CE3" w:rsidRDefault="00D03CE3" w:rsidP="00D03CE3">
      <w:pPr>
        <w:numPr>
          <w:ilvl w:val="0"/>
          <w:numId w:val="35"/>
        </w:numPr>
        <w:spacing w:after="120"/>
        <w:jc w:val="both"/>
        <w:rPr>
          <w:rFonts w:asciiTheme="minorHAnsi" w:hAnsiTheme="minorHAnsi" w:cstheme="minorHAnsi"/>
          <w:b/>
          <w:color w:val="000000" w:themeColor="text1"/>
          <w:lang w:val="sk-SK"/>
        </w:rPr>
      </w:pPr>
      <w:r w:rsidRPr="00D03CE3">
        <w:rPr>
          <w:rFonts w:asciiTheme="minorHAnsi" w:hAnsiTheme="minorHAnsi" w:cstheme="minorHAnsi"/>
          <w:b/>
          <w:color w:val="000000" w:themeColor="text1"/>
          <w:lang w:val="sk-SK"/>
        </w:rPr>
        <w:t xml:space="preserve">Známe podnety z vonkajšieho prostredia pre smerovanie hodnotenia </w:t>
      </w:r>
      <w:proofErr w:type="spellStart"/>
      <w:r w:rsidRPr="00D03CE3">
        <w:rPr>
          <w:rFonts w:asciiTheme="minorHAnsi" w:hAnsiTheme="minorHAnsi" w:cstheme="minorHAnsi"/>
          <w:b/>
          <w:color w:val="000000" w:themeColor="text1"/>
          <w:lang w:val="sk-SK"/>
        </w:rPr>
        <w:t>VaV</w:t>
      </w:r>
      <w:proofErr w:type="spellEnd"/>
      <w:r w:rsidRPr="00D03CE3">
        <w:rPr>
          <w:rFonts w:asciiTheme="minorHAnsi" w:hAnsiTheme="minorHAnsi" w:cstheme="minorHAnsi"/>
          <w:b/>
          <w:color w:val="000000" w:themeColor="text1"/>
          <w:lang w:val="sk-SK"/>
        </w:rPr>
        <w:t xml:space="preserve"> pre blízku budúcnosť</w:t>
      </w:r>
    </w:p>
    <w:p w14:paraId="591EE79D" w14:textId="77777777" w:rsidR="00D03CE3" w:rsidRPr="00D03CE3" w:rsidRDefault="00D03CE3" w:rsidP="00D03CE3">
      <w:pPr>
        <w:spacing w:after="120"/>
        <w:rPr>
          <w:rFonts w:asciiTheme="minorHAnsi" w:hAnsiTheme="minorHAnsi" w:cstheme="minorHAnsi"/>
          <w:b/>
          <w:bCs/>
          <w:color w:val="000000" w:themeColor="text1"/>
          <w:lang w:val="sk-SK"/>
        </w:rPr>
      </w:pPr>
    </w:p>
    <w:p w14:paraId="11A85C70" w14:textId="77777777" w:rsidR="00D03CE3" w:rsidRPr="00D03CE3" w:rsidRDefault="00D03CE3" w:rsidP="00D03CE3">
      <w:pPr>
        <w:ind w:left="360" w:firstLine="360"/>
        <w:jc w:val="both"/>
        <w:rPr>
          <w:rFonts w:asciiTheme="minorHAnsi" w:hAnsiTheme="minorHAnsi" w:cstheme="minorHAnsi"/>
          <w:lang w:val="sk-SK"/>
        </w:rPr>
      </w:pPr>
      <w:r w:rsidRPr="00D03CE3">
        <w:rPr>
          <w:rFonts w:asciiTheme="minorHAnsi" w:hAnsiTheme="minorHAnsi" w:cstheme="minorHAnsi"/>
          <w:lang w:val="sk-SK"/>
        </w:rPr>
        <w:t xml:space="preserve">Podľa informácií z predkladacej a dôvodovej správy novely zákona o VŠ má hodnotenie kvality </w:t>
      </w:r>
      <w:proofErr w:type="spellStart"/>
      <w:r w:rsidRPr="00D03CE3">
        <w:rPr>
          <w:rFonts w:asciiTheme="minorHAnsi" w:hAnsiTheme="minorHAnsi" w:cstheme="minorHAnsi"/>
          <w:lang w:val="sk-SK"/>
        </w:rPr>
        <w:t>VaV</w:t>
      </w:r>
      <w:proofErr w:type="spellEnd"/>
      <w:r w:rsidRPr="00D03CE3">
        <w:rPr>
          <w:rFonts w:asciiTheme="minorHAnsi" w:hAnsiTheme="minorHAnsi" w:cstheme="minorHAnsi"/>
          <w:lang w:val="sk-SK"/>
        </w:rPr>
        <w:t xml:space="preserve"> byť súčasťou ukazovateľov pre inštitucionálne financovanie výskumu v rámci dotácie, lebo podľa návrhu zákona sa vo financovaní bude zohľadňovať:</w:t>
      </w:r>
    </w:p>
    <w:p w14:paraId="02EEE578" w14:textId="77777777" w:rsidR="00D03CE3" w:rsidRPr="00D03CE3" w:rsidRDefault="00D03CE3" w:rsidP="00D03CE3">
      <w:pPr>
        <w:ind w:left="360" w:firstLine="360"/>
        <w:jc w:val="both"/>
        <w:rPr>
          <w:rFonts w:asciiTheme="minorHAnsi" w:hAnsiTheme="minorHAnsi" w:cstheme="minorHAnsi"/>
          <w:lang w:val="sk-SK"/>
        </w:rPr>
      </w:pPr>
      <w:r w:rsidRPr="00D03CE3">
        <w:rPr>
          <w:rFonts w:asciiTheme="minorHAnsi" w:hAnsiTheme="minorHAnsi" w:cstheme="minorHAnsi"/>
          <w:lang w:val="sk-SK"/>
        </w:rPr>
        <w:t>-</w:t>
      </w:r>
      <w:r w:rsidRPr="00D03CE3">
        <w:rPr>
          <w:rFonts w:asciiTheme="minorHAnsi" w:hAnsiTheme="minorHAnsi" w:cstheme="minorHAnsi"/>
          <w:lang w:val="sk-SK"/>
        </w:rPr>
        <w:tab/>
        <w:t xml:space="preserve">výskumná, vývojová alebo umelecká kapacita verejnej vysokej školy, </w:t>
      </w:r>
    </w:p>
    <w:p w14:paraId="21E5E996" w14:textId="77777777" w:rsidR="00D03CE3" w:rsidRPr="00D03CE3" w:rsidRDefault="00D03CE3" w:rsidP="00D03CE3">
      <w:pPr>
        <w:ind w:left="360" w:firstLine="360"/>
        <w:jc w:val="both"/>
        <w:rPr>
          <w:rFonts w:asciiTheme="minorHAnsi" w:hAnsiTheme="minorHAnsi" w:cstheme="minorHAnsi"/>
          <w:lang w:val="sk-SK"/>
        </w:rPr>
      </w:pPr>
      <w:r w:rsidRPr="00D03CE3">
        <w:rPr>
          <w:rFonts w:asciiTheme="minorHAnsi" w:hAnsiTheme="minorHAnsi" w:cstheme="minorHAnsi"/>
          <w:lang w:val="sk-SK"/>
        </w:rPr>
        <w:t>-</w:t>
      </w:r>
      <w:r w:rsidRPr="00D03CE3">
        <w:rPr>
          <w:rFonts w:asciiTheme="minorHAnsi" w:hAnsiTheme="minorHAnsi" w:cstheme="minorHAnsi"/>
          <w:lang w:val="sk-SK"/>
        </w:rPr>
        <w:tab/>
        <w:t xml:space="preserve">dosiahnuté výsledky v oblasti vedy, techniky alebo umenia, </w:t>
      </w:r>
    </w:p>
    <w:p w14:paraId="0C3EF3CB" w14:textId="77777777" w:rsidR="00D03CE3" w:rsidRPr="00D03CE3" w:rsidRDefault="00D03CE3" w:rsidP="00D03CE3">
      <w:pPr>
        <w:ind w:left="360" w:firstLine="360"/>
        <w:jc w:val="both"/>
        <w:rPr>
          <w:rFonts w:asciiTheme="minorHAnsi" w:hAnsiTheme="minorHAnsi" w:cstheme="minorHAnsi"/>
          <w:lang w:val="sk-SK"/>
        </w:rPr>
      </w:pPr>
      <w:r w:rsidRPr="00D03CE3">
        <w:rPr>
          <w:rFonts w:asciiTheme="minorHAnsi" w:hAnsiTheme="minorHAnsi" w:cstheme="minorHAnsi"/>
          <w:lang w:val="sk-SK"/>
        </w:rPr>
        <w:t>-</w:t>
      </w:r>
      <w:r w:rsidRPr="00D03CE3">
        <w:rPr>
          <w:rFonts w:asciiTheme="minorHAnsi" w:hAnsiTheme="minorHAnsi" w:cstheme="minorHAnsi"/>
          <w:lang w:val="sk-SK"/>
        </w:rPr>
        <w:tab/>
        <w:t xml:space="preserve">periodické hodnotenie výskumnej, vývojovej, umeleckej a ďalšej tvorivej činnosti verejnej vysokej školy podľa REF, </w:t>
      </w:r>
    </w:p>
    <w:p w14:paraId="661B641F" w14:textId="77777777" w:rsidR="00D03CE3" w:rsidRPr="00D03CE3" w:rsidRDefault="00D03CE3" w:rsidP="00D03CE3">
      <w:pPr>
        <w:ind w:left="360" w:firstLine="360"/>
        <w:jc w:val="both"/>
        <w:rPr>
          <w:rFonts w:asciiTheme="minorHAnsi" w:hAnsiTheme="minorHAnsi" w:cstheme="minorHAnsi"/>
          <w:lang w:val="sk-SK"/>
        </w:rPr>
      </w:pPr>
      <w:r w:rsidRPr="00D03CE3">
        <w:rPr>
          <w:rFonts w:asciiTheme="minorHAnsi" w:hAnsiTheme="minorHAnsi" w:cstheme="minorHAnsi"/>
          <w:lang w:val="sk-SK"/>
        </w:rPr>
        <w:t>-</w:t>
      </w:r>
      <w:r w:rsidRPr="00D03CE3">
        <w:rPr>
          <w:rFonts w:asciiTheme="minorHAnsi" w:hAnsiTheme="minorHAnsi" w:cstheme="minorHAnsi"/>
          <w:lang w:val="sk-SK"/>
        </w:rPr>
        <w:tab/>
        <w:t>a riešenie výskumných a umeleckých projektov, ktoré boli vybrané na financovanie v rámci vnútorného grantového systému ministerstva školstva.</w:t>
      </w:r>
    </w:p>
    <w:p w14:paraId="43DCEE00" w14:textId="77777777" w:rsidR="00D03CE3" w:rsidRPr="00D03CE3" w:rsidRDefault="00D03CE3" w:rsidP="00D03CE3">
      <w:pPr>
        <w:ind w:left="360" w:firstLine="360"/>
        <w:jc w:val="both"/>
        <w:rPr>
          <w:rFonts w:asciiTheme="minorHAnsi" w:hAnsiTheme="minorHAnsi" w:cstheme="minorHAnsi"/>
          <w:lang w:val="sk-SK"/>
        </w:rPr>
      </w:pPr>
      <w:r w:rsidRPr="00D03CE3">
        <w:rPr>
          <w:rFonts w:asciiTheme="minorHAnsi" w:hAnsiTheme="minorHAnsi" w:cstheme="minorHAnsi"/>
          <w:lang w:val="sk-SK"/>
        </w:rPr>
        <w:t xml:space="preserve"> V skutočnosti sa teda budúci vývoj dá aj čiastočne ohraničiť. Podľa predkladacej a dôvodovej správy sa má uskutočňovať periodické hodnotenie </w:t>
      </w:r>
      <w:proofErr w:type="spellStart"/>
      <w:r w:rsidRPr="00D03CE3">
        <w:rPr>
          <w:rFonts w:asciiTheme="minorHAnsi" w:hAnsiTheme="minorHAnsi" w:cstheme="minorHAnsi"/>
          <w:lang w:val="sk-SK"/>
        </w:rPr>
        <w:t>VaV</w:t>
      </w:r>
      <w:proofErr w:type="spellEnd"/>
      <w:r w:rsidRPr="00D03CE3">
        <w:rPr>
          <w:rFonts w:asciiTheme="minorHAnsi" w:hAnsiTheme="minorHAnsi" w:cstheme="minorHAnsi"/>
          <w:lang w:val="sk-SK"/>
        </w:rPr>
        <w:t xml:space="preserve"> jednorazovo na základe výzvy zverejnenej MŠ. Vzhľadom na to, že hodnotenie tvorivej činnosti má slúžiť prioritne na financovanie verejných vysokých škôl, inštitucionálne zabezpečenie procesu hodnotenia sa nepredpokladá cez novú akreditačnú agentúru, ale proces bude zrejme zabezpečovať priamo MŠ. </w:t>
      </w:r>
    </w:p>
    <w:p w14:paraId="0DA34FB1" w14:textId="77777777" w:rsidR="00D03CE3" w:rsidRPr="00D03CE3" w:rsidRDefault="00D03CE3" w:rsidP="00D03CE3">
      <w:pPr>
        <w:ind w:left="360" w:firstLine="360"/>
        <w:jc w:val="both"/>
        <w:rPr>
          <w:rFonts w:asciiTheme="minorHAnsi" w:hAnsiTheme="minorHAnsi" w:cstheme="minorHAnsi"/>
          <w:lang w:val="sk-SK"/>
        </w:rPr>
      </w:pPr>
      <w:r w:rsidRPr="00D03CE3">
        <w:rPr>
          <w:rFonts w:asciiTheme="minorHAnsi" w:hAnsiTheme="minorHAnsi" w:cstheme="minorHAnsi"/>
          <w:lang w:val="sk-SK"/>
        </w:rPr>
        <w:t>Ministerstvo má za týmto účelom zriadiť odborný panel hodnotiteľov. Aby súčasná úroveň jednotlivých oblastí výskumu neskresľovala nastavenie hodnotiacich kritérií (a výsledky tým aj hodnotenia), zabezpečenie samotného hodnotenia má byť realizované najmä prostredníctvom zahraničných expertov, čo má byť predpokladom na získanie objektívnejšieho hodnotenia v medzinárodnom kontexte, ako keby tento proces bol nastavený na činnosť odborníkov zo slovenského akademického prostredia.</w:t>
      </w:r>
    </w:p>
    <w:p w14:paraId="4D34FD09" w14:textId="77777777" w:rsidR="00D03CE3" w:rsidRPr="00D03CE3" w:rsidRDefault="00D03CE3" w:rsidP="00D03CE3">
      <w:pPr>
        <w:ind w:left="360" w:firstLine="360"/>
        <w:jc w:val="both"/>
        <w:rPr>
          <w:rFonts w:asciiTheme="minorHAnsi" w:hAnsiTheme="minorHAnsi" w:cstheme="minorHAnsi"/>
          <w:lang w:val="sk-SK"/>
        </w:rPr>
      </w:pPr>
      <w:r w:rsidRPr="00D03CE3">
        <w:rPr>
          <w:rFonts w:asciiTheme="minorHAnsi" w:hAnsiTheme="minorHAnsi" w:cstheme="minorHAnsi"/>
          <w:lang w:val="sk-SK"/>
        </w:rPr>
        <w:t>V predkladacej a dôvodovej správe novely sa ale uvádza, že vysokým školám sa neustanovuje povinnosť prejsť týmto hodnotením (ostatne finančný vplyv to má vraj mať len na verejné vysoké školy), no od neho budú (nejako) závisieť aj akreditácie habilitačného konania a inauguračného konania. Výsledok tohto hodnotenia bude totiž podľa akreditačného zákona obligatórnou náležitosťou žiadosti o udelenie ich akreditácie, a zároveň do absolvovania tohto hodnotenia bude agentúra žiadosti odmietať.</w:t>
      </w:r>
    </w:p>
    <w:p w14:paraId="04DC23E8" w14:textId="77777777" w:rsidR="00D03CE3" w:rsidRPr="00D03CE3" w:rsidRDefault="00D03CE3" w:rsidP="00D03CE3">
      <w:pPr>
        <w:ind w:left="360" w:firstLine="360"/>
        <w:jc w:val="both"/>
        <w:rPr>
          <w:rFonts w:asciiTheme="minorHAnsi" w:hAnsiTheme="minorHAnsi" w:cstheme="minorHAnsi"/>
          <w:lang w:val="sk-SK"/>
        </w:rPr>
      </w:pPr>
      <w:r w:rsidRPr="00D03CE3">
        <w:rPr>
          <w:rFonts w:asciiTheme="minorHAnsi" w:hAnsiTheme="minorHAnsi" w:cstheme="minorHAnsi"/>
          <w:lang w:val="sk-SK"/>
        </w:rPr>
        <w:lastRenderedPageBreak/>
        <w:t xml:space="preserve">Voči minulej KA má byť podstatným rozdielom to, že sa nemá hodnotiť tvorivá činnosť vysokej školy alebo fakulty ako celku, ale tvorivá činnosť jednotlivcov alebo tímov, ktoré na hodnotenie navrhne samotná vysoká škola. To podľa očakávania MŠ pri racionálnom správaní sa vysokej školy vytvára predpoklad, že navrhne v rámci príslušnej oblasti výskumu tých, ktorých považuje sama za najkvalitnejších. </w:t>
      </w:r>
    </w:p>
    <w:p w14:paraId="0C5A2266" w14:textId="77777777" w:rsidR="00D03CE3" w:rsidRPr="00D03CE3" w:rsidRDefault="00D03CE3" w:rsidP="00D03CE3">
      <w:pPr>
        <w:ind w:left="360" w:firstLine="360"/>
        <w:jc w:val="both"/>
        <w:rPr>
          <w:rFonts w:asciiTheme="minorHAnsi" w:hAnsiTheme="minorHAnsi" w:cstheme="minorHAnsi"/>
          <w:lang w:val="sk-SK"/>
        </w:rPr>
      </w:pPr>
      <w:r w:rsidRPr="00D03CE3">
        <w:rPr>
          <w:rFonts w:asciiTheme="minorHAnsi" w:hAnsiTheme="minorHAnsi" w:cstheme="minorHAnsi"/>
          <w:lang w:val="sk-SK"/>
        </w:rPr>
        <w:t xml:space="preserve">MŠ SR vymedzí podklady, ktoré má vysoká škola ministerstvu školstva podať, lehotu na ich podanie a zoznam oblastí výskumu, v ktorých sa vykoná hodnotenie. Tento zoznam bude pre hodnotenie STU zrejme kľúčový, ale zatiaľ nemáme informácie o ňom, a ani o sústave kritérií a metodiky na ich vyhodnotenie. </w:t>
      </w:r>
    </w:p>
    <w:p w14:paraId="78E64F7C" w14:textId="77777777" w:rsidR="00D03CE3" w:rsidRPr="00D03CE3" w:rsidRDefault="00D03CE3" w:rsidP="00D03CE3">
      <w:pPr>
        <w:ind w:left="360" w:firstLine="360"/>
        <w:jc w:val="both"/>
        <w:rPr>
          <w:rFonts w:asciiTheme="minorHAnsi" w:hAnsiTheme="minorHAnsi" w:cstheme="minorHAnsi"/>
          <w:lang w:val="sk-SK"/>
        </w:rPr>
      </w:pPr>
      <w:r w:rsidRPr="00D03CE3">
        <w:rPr>
          <w:rFonts w:asciiTheme="minorHAnsi" w:hAnsiTheme="minorHAnsi" w:cstheme="minorHAnsi"/>
          <w:lang w:val="sk-SK"/>
        </w:rPr>
        <w:t>Hodnotiť sa má činnosť výskumných tímov alebo jednotlivcov spomedzi vysokoškolských učiteľov, výskumných pracovníkov a umeleckých pracovníkov, ktorí uskutočňujú výskumnú, vývojovú, umeleckú a ďalšiu tvorivú činnosť na medzinárodnej úrovni, podieľajú sa na uskutočňovaní študijných programov druhého stupňa a študijných programoch tretieho stupňa. Výsledkom periodického hodnotenia výskumnej, vývojovej, umeleckej a ďalšej tvorivej činnosti vysokej školy je vyjadrenie výskumnej hodnotiteľskej komisie ku každej oblasti výskumu, pre ktorú vysoká škola navrhla výskumný tím alebo jednotlivca.</w:t>
      </w:r>
    </w:p>
    <w:p w14:paraId="36843D3C" w14:textId="77777777" w:rsidR="00D03CE3" w:rsidRPr="00D03CE3" w:rsidRDefault="00D03CE3" w:rsidP="00D03CE3">
      <w:pPr>
        <w:ind w:left="360" w:firstLine="360"/>
        <w:jc w:val="both"/>
        <w:rPr>
          <w:rFonts w:asciiTheme="minorHAnsi" w:hAnsiTheme="minorHAnsi" w:cstheme="minorHAnsi"/>
          <w:lang w:val="sk-SK"/>
        </w:rPr>
      </w:pPr>
      <w:r w:rsidRPr="00D03CE3">
        <w:rPr>
          <w:rFonts w:asciiTheme="minorHAnsi" w:hAnsiTheme="minorHAnsi" w:cstheme="minorHAnsi"/>
          <w:lang w:val="sk-SK"/>
        </w:rPr>
        <w:t xml:space="preserve">Výsledkom hodnotenia majú byť dve (konečné) vyjadrenia hodnotiteľskej komisie: </w:t>
      </w:r>
    </w:p>
    <w:p w14:paraId="0A2E03F0" w14:textId="77777777" w:rsidR="00D03CE3" w:rsidRPr="00D03CE3" w:rsidRDefault="00D03CE3" w:rsidP="00D03CE3">
      <w:pPr>
        <w:pStyle w:val="Odsekzoznamu"/>
        <w:numPr>
          <w:ilvl w:val="0"/>
          <w:numId w:val="38"/>
        </w:numPr>
        <w:spacing w:after="160" w:line="259" w:lineRule="auto"/>
        <w:jc w:val="both"/>
        <w:rPr>
          <w:rFonts w:asciiTheme="minorHAnsi" w:hAnsiTheme="minorHAnsi" w:cstheme="minorHAnsi"/>
          <w:lang w:val="sk-SK"/>
        </w:rPr>
      </w:pPr>
      <w:r w:rsidRPr="00D03CE3">
        <w:rPr>
          <w:rFonts w:asciiTheme="minorHAnsi" w:hAnsiTheme="minorHAnsi" w:cstheme="minorHAnsi"/>
          <w:lang w:val="sk-SK"/>
        </w:rPr>
        <w:t xml:space="preserve">prvým je samotný rating tvorivej činnosti vysokej školy, druhým je možnosť používať označenie „výskumná univerzita“. Rating sa má priamo premietnuť do financovania verejnej vysokej školy, kde by mohol </w:t>
      </w:r>
      <w:proofErr w:type="spellStart"/>
      <w:r w:rsidRPr="00D03CE3">
        <w:rPr>
          <w:rFonts w:asciiTheme="minorHAnsi" w:hAnsiTheme="minorHAnsi" w:cstheme="minorHAnsi"/>
          <w:lang w:val="sk-SK"/>
        </w:rPr>
        <w:t>de</w:t>
      </w:r>
      <w:proofErr w:type="spellEnd"/>
      <w:r w:rsidRPr="00D03CE3">
        <w:rPr>
          <w:rFonts w:asciiTheme="minorHAnsi" w:hAnsiTheme="minorHAnsi" w:cstheme="minorHAnsi"/>
          <w:lang w:val="sk-SK"/>
        </w:rPr>
        <w:t xml:space="preserve"> facto nahradiť prvok výsledku KA činností vysokej školy. </w:t>
      </w:r>
    </w:p>
    <w:p w14:paraId="2259B933" w14:textId="77777777" w:rsidR="00D03CE3" w:rsidRPr="00D03CE3" w:rsidRDefault="00D03CE3" w:rsidP="00D03CE3">
      <w:pPr>
        <w:pStyle w:val="Odsekzoznamu"/>
        <w:numPr>
          <w:ilvl w:val="0"/>
          <w:numId w:val="38"/>
        </w:numPr>
        <w:spacing w:after="160" w:line="259" w:lineRule="auto"/>
        <w:jc w:val="both"/>
        <w:rPr>
          <w:rFonts w:asciiTheme="minorHAnsi" w:hAnsiTheme="minorHAnsi" w:cstheme="minorHAnsi"/>
          <w:lang w:val="sk-SK"/>
        </w:rPr>
      </w:pPr>
      <w:r w:rsidRPr="00D03CE3">
        <w:rPr>
          <w:rFonts w:asciiTheme="minorHAnsi" w:hAnsiTheme="minorHAnsi" w:cstheme="minorHAnsi"/>
          <w:lang w:val="sk-SK"/>
        </w:rPr>
        <w:t>Druhé vyjadrenie by malo byť vecou prestíže vysokej školy, lebo novela upúšťa od začleňovania vysokých škôl medzi univerzitné vysoké školy a odborné vysoké školy. Zavádza sa možnosť udelenia „značky kvality“, teda možnosti používať označenie „výskumná univerzita“ na základe excelentného hodnotenia úrovne tvorivej činnosti vysokej školy.</w:t>
      </w:r>
    </w:p>
    <w:p w14:paraId="6722970B" w14:textId="77777777" w:rsidR="00D03CE3" w:rsidRPr="00D03CE3" w:rsidRDefault="00D03CE3" w:rsidP="00D03CE3">
      <w:pPr>
        <w:tabs>
          <w:tab w:val="num" w:pos="0"/>
        </w:tabs>
        <w:spacing w:after="120"/>
        <w:ind w:firstLine="709"/>
        <w:jc w:val="both"/>
        <w:rPr>
          <w:rFonts w:asciiTheme="minorHAnsi" w:hAnsiTheme="minorHAnsi" w:cstheme="minorHAnsi"/>
          <w:lang w:val="sk-SK"/>
        </w:rPr>
      </w:pPr>
      <w:r w:rsidRPr="00D03CE3">
        <w:rPr>
          <w:rFonts w:asciiTheme="minorHAnsi" w:hAnsiTheme="minorHAnsi" w:cstheme="minorHAnsi"/>
          <w:lang w:val="sk-SK"/>
        </w:rPr>
        <w:t>Označenie „výskumná univerzita“ pritom nebude mať vplyv na názov vysokej školy, ale pôjde skôr o akúsi značku kvality. Tá preto nebude udeľovaná natrvalo, ale len na šesť rokov. MŠ je presvedčené, že pokračovanie premietnutia kvality tvorivej činnosti do financovania je možné vykonať na základe hodnotenia kvality samotnej tvorivej činnosti. Minister školstva má však do 31. augusta 2019 udeliť vysokým školám, ktoré splnili tieto dočasné kritériá, oprávnenie na používanie označenia „výskumná univerzita“ s platnosťou do zverejnenia prvého vyhodnotenia periodického hodnotenia výskumnej, vývojovej, umeleckej a ďalšej tvorivej činnosti vysokej školy.</w:t>
      </w:r>
    </w:p>
    <w:p w14:paraId="35095FB5" w14:textId="77777777" w:rsidR="00D03CE3" w:rsidRPr="00D03CE3" w:rsidRDefault="00D03CE3" w:rsidP="00D03CE3">
      <w:pPr>
        <w:tabs>
          <w:tab w:val="num" w:pos="0"/>
        </w:tabs>
        <w:spacing w:after="120"/>
        <w:ind w:firstLine="709"/>
        <w:jc w:val="both"/>
        <w:rPr>
          <w:rFonts w:asciiTheme="minorHAnsi" w:hAnsiTheme="minorHAnsi" w:cstheme="minorHAnsi"/>
          <w:lang w:val="sk-SK"/>
        </w:rPr>
      </w:pPr>
      <w:r w:rsidRPr="00D03CE3">
        <w:rPr>
          <w:rFonts w:asciiTheme="minorHAnsi" w:hAnsiTheme="minorHAnsi" w:cstheme="minorHAnsi"/>
          <w:lang w:val="sk-SK"/>
        </w:rPr>
        <w:t xml:space="preserve">Uvedené len potvrdzuje fakt, že takto postupne zverejnené rámcové predstavy o koncepciách rozvoja školstva a podpory </w:t>
      </w:r>
      <w:proofErr w:type="spellStart"/>
      <w:r w:rsidRPr="00D03CE3">
        <w:rPr>
          <w:rFonts w:asciiTheme="minorHAnsi" w:hAnsiTheme="minorHAnsi" w:cstheme="minorHAnsi"/>
          <w:lang w:val="sk-SK"/>
        </w:rPr>
        <w:t>VaV</w:t>
      </w:r>
      <w:proofErr w:type="spellEnd"/>
      <w:r w:rsidRPr="00D03CE3">
        <w:rPr>
          <w:rFonts w:asciiTheme="minorHAnsi" w:hAnsiTheme="minorHAnsi" w:cstheme="minorHAnsi"/>
          <w:lang w:val="sk-SK"/>
        </w:rPr>
        <w:t xml:space="preserve"> v SR (koncepčný dokument Učiace sa Slovensko, alebo vládou SR schválený dokument Dlhodobý zámer vo vzdelávacej, výskumnej, vývojovej a ďalšej tvorivej činnosti pre oblasť vysokých škôl na roky 2016 – 2021, alebo Národný program reforiem z dielne MF SR), sú stále vágne a neúplné, a to napriek tomu, že sa niektoré, v nich spomínané úlohy, už dostali do plánu legislatívnych úloh, a niektoré sa už aj realizujú. </w:t>
      </w:r>
    </w:p>
    <w:p w14:paraId="43A96D02" w14:textId="77777777" w:rsidR="00D03CE3" w:rsidRPr="00D03CE3" w:rsidRDefault="00D03CE3" w:rsidP="00D03CE3">
      <w:pPr>
        <w:tabs>
          <w:tab w:val="num" w:pos="0"/>
        </w:tabs>
        <w:spacing w:after="120"/>
        <w:ind w:firstLine="709"/>
        <w:jc w:val="both"/>
        <w:rPr>
          <w:rFonts w:asciiTheme="minorHAnsi" w:hAnsiTheme="minorHAnsi" w:cstheme="minorHAnsi"/>
          <w:lang w:val="sk-SK"/>
        </w:rPr>
      </w:pPr>
      <w:r w:rsidRPr="00D03CE3">
        <w:rPr>
          <w:rFonts w:asciiTheme="minorHAnsi" w:hAnsiTheme="minorHAnsi" w:cstheme="minorHAnsi"/>
          <w:lang w:val="sk-SK"/>
        </w:rPr>
        <w:lastRenderedPageBreak/>
        <w:t xml:space="preserve">Signály ďalej tiež dosť jednoznačne naznačujú, že na univerzitný výskum sa budú vytvárať silnejšie selekčné tlaky cez riadené financovanie s požiadavkou na merateľný výkon, internacionalizáciu a orientáciu na prax. Treba si len pripomenúť, že sa smerom ku sofistikovanejšiemu zavádzaniu formálnych </w:t>
      </w:r>
      <w:proofErr w:type="spellStart"/>
      <w:r w:rsidRPr="00D03CE3">
        <w:rPr>
          <w:rFonts w:asciiTheme="minorHAnsi" w:hAnsiTheme="minorHAnsi" w:cstheme="minorHAnsi"/>
          <w:lang w:val="sk-SK"/>
        </w:rPr>
        <w:t>scientometrických</w:t>
      </w:r>
      <w:proofErr w:type="spellEnd"/>
      <w:r w:rsidRPr="00D03CE3">
        <w:rPr>
          <w:rFonts w:asciiTheme="minorHAnsi" w:hAnsiTheme="minorHAnsi" w:cstheme="minorHAnsi"/>
          <w:lang w:val="sk-SK"/>
        </w:rPr>
        <w:t xml:space="preserve"> ukazovateľov za dva roky postupne mení ministerská metodika hodnotenia publikačnej činnosti pre výpočet dotácie (tzv. </w:t>
      </w:r>
      <w:proofErr w:type="spellStart"/>
      <w:r w:rsidRPr="00D03CE3">
        <w:rPr>
          <w:rFonts w:asciiTheme="minorHAnsi" w:hAnsiTheme="minorHAnsi" w:cstheme="minorHAnsi"/>
          <w:lang w:val="sk-SK"/>
        </w:rPr>
        <w:t>kvartily</w:t>
      </w:r>
      <w:proofErr w:type="spellEnd"/>
      <w:r w:rsidRPr="00D03CE3">
        <w:rPr>
          <w:rFonts w:asciiTheme="minorHAnsi" w:hAnsiTheme="minorHAnsi" w:cstheme="minorHAnsi"/>
          <w:lang w:val="sk-SK"/>
        </w:rPr>
        <w:t xml:space="preserve">). Vnútroštátne grantové schémy (VEGA a APVV) tiež zvýšili náročnosť na </w:t>
      </w:r>
      <w:proofErr w:type="spellStart"/>
      <w:r w:rsidRPr="00D03CE3">
        <w:rPr>
          <w:rFonts w:asciiTheme="minorHAnsi" w:hAnsiTheme="minorHAnsi" w:cstheme="minorHAnsi"/>
          <w:lang w:val="sk-SK"/>
        </w:rPr>
        <w:t>scientometrickú</w:t>
      </w:r>
      <w:proofErr w:type="spellEnd"/>
      <w:r w:rsidRPr="00D03CE3">
        <w:rPr>
          <w:rFonts w:asciiTheme="minorHAnsi" w:hAnsiTheme="minorHAnsi" w:cstheme="minorHAnsi"/>
          <w:lang w:val="sk-SK"/>
        </w:rPr>
        <w:t xml:space="preserve"> výkonnosť žiadateľov a ich kolektívov. Pri ŠF sa prejavilo nadviazanie aplikovaného výskumu na priemysel. </w:t>
      </w:r>
    </w:p>
    <w:p w14:paraId="55C7BFCA" w14:textId="77777777" w:rsidR="00D03CE3" w:rsidRPr="00D03CE3" w:rsidRDefault="00D03CE3" w:rsidP="00D03CE3">
      <w:pPr>
        <w:tabs>
          <w:tab w:val="num" w:pos="0"/>
        </w:tabs>
        <w:spacing w:after="120"/>
        <w:ind w:firstLine="709"/>
        <w:jc w:val="both"/>
        <w:rPr>
          <w:rFonts w:asciiTheme="minorHAnsi" w:hAnsiTheme="minorHAnsi" w:cstheme="minorHAnsi"/>
          <w:lang w:val="sk-SK"/>
        </w:rPr>
      </w:pPr>
      <w:r w:rsidRPr="00D03CE3">
        <w:rPr>
          <w:rFonts w:asciiTheme="minorHAnsi" w:hAnsiTheme="minorHAnsi" w:cstheme="minorHAnsi"/>
          <w:lang w:val="sk-SK"/>
        </w:rPr>
        <w:t xml:space="preserve">Zatiaľ sa zdá isté, že spôsob alokácie finančných prostriedkov na </w:t>
      </w:r>
      <w:proofErr w:type="spellStart"/>
      <w:r w:rsidRPr="00D03CE3">
        <w:rPr>
          <w:rFonts w:asciiTheme="minorHAnsi" w:hAnsiTheme="minorHAnsi" w:cstheme="minorHAnsi"/>
          <w:lang w:val="sk-SK"/>
        </w:rPr>
        <w:t>VaV</w:t>
      </w:r>
      <w:proofErr w:type="spellEnd"/>
      <w:r w:rsidRPr="00D03CE3">
        <w:rPr>
          <w:rFonts w:asciiTheme="minorHAnsi" w:hAnsiTheme="minorHAnsi" w:cstheme="minorHAnsi"/>
          <w:lang w:val="sk-SK"/>
        </w:rPr>
        <w:t xml:space="preserve"> z verejných zdrojov bude naďalej tvrdo vychádzať z výkonového princípu. Systém financovania bude aj naďalej aktívnym nástrojom štátnej politiky v oblasti vysokoškolského vzdelávania. I keď je zrejmé, že politicky dosť jednoznačne deklarované požiadavky na zvýšenie medzinárodného uznania a úrovne budú teda na fakulte v reálnom živote narážať na inštitucionálne tlaky a limity, zotrvačnosť systému (a tiež finančné limity štátneho rozpočtu pre podporu </w:t>
      </w:r>
      <w:proofErr w:type="spellStart"/>
      <w:r w:rsidRPr="00D03CE3">
        <w:rPr>
          <w:rFonts w:asciiTheme="minorHAnsi" w:hAnsiTheme="minorHAnsi" w:cstheme="minorHAnsi"/>
          <w:lang w:val="sk-SK"/>
        </w:rPr>
        <w:t>VaV</w:t>
      </w:r>
      <w:proofErr w:type="spellEnd"/>
      <w:r w:rsidRPr="00D03CE3">
        <w:rPr>
          <w:rFonts w:asciiTheme="minorHAnsi" w:hAnsiTheme="minorHAnsi" w:cstheme="minorHAnsi"/>
          <w:lang w:val="sk-SK"/>
        </w:rPr>
        <w:t xml:space="preserve">), vyhnúť sa týmto tlakom v smerovaní hodnotenia </w:t>
      </w:r>
      <w:proofErr w:type="spellStart"/>
      <w:r w:rsidRPr="00D03CE3">
        <w:rPr>
          <w:rFonts w:asciiTheme="minorHAnsi" w:hAnsiTheme="minorHAnsi" w:cstheme="minorHAnsi"/>
          <w:lang w:val="sk-SK"/>
        </w:rPr>
        <w:t>VaV</w:t>
      </w:r>
      <w:proofErr w:type="spellEnd"/>
      <w:r w:rsidRPr="00D03CE3">
        <w:rPr>
          <w:rFonts w:asciiTheme="minorHAnsi" w:hAnsiTheme="minorHAnsi" w:cstheme="minorHAnsi"/>
          <w:lang w:val="sk-SK"/>
        </w:rPr>
        <w:t xml:space="preserve"> a delenia dotácie na STU nebude dať. Hodnotenie </w:t>
      </w:r>
      <w:proofErr w:type="spellStart"/>
      <w:r w:rsidRPr="00D03CE3">
        <w:rPr>
          <w:rFonts w:asciiTheme="minorHAnsi" w:hAnsiTheme="minorHAnsi" w:cstheme="minorHAnsi"/>
          <w:lang w:val="sk-SK"/>
        </w:rPr>
        <w:t>VaV</w:t>
      </w:r>
      <w:proofErr w:type="spellEnd"/>
      <w:r w:rsidRPr="00D03CE3">
        <w:rPr>
          <w:rFonts w:asciiTheme="minorHAnsi" w:hAnsiTheme="minorHAnsi" w:cstheme="minorHAnsi"/>
          <w:lang w:val="sk-SK"/>
        </w:rPr>
        <w:t xml:space="preserve"> a pravidlá delenia dotácie musia teda reflektovať tieto selekčné tlaky. Problémom zostáva, že konkrétne hodnotenie kvality výskumu univerzít je zatiaľ len zaznačované a jeho stabilita do budúcnosti sa (aj na základe skúseností zo zahraničia) tiež nedá predpokladať.</w:t>
      </w:r>
    </w:p>
    <w:p w14:paraId="6B158EF5" w14:textId="77777777" w:rsidR="00D03CE3" w:rsidRPr="00D03CE3" w:rsidRDefault="00D03CE3" w:rsidP="00D03CE3">
      <w:pPr>
        <w:tabs>
          <w:tab w:val="num" w:pos="0"/>
        </w:tabs>
        <w:spacing w:after="120"/>
        <w:ind w:firstLine="709"/>
        <w:jc w:val="both"/>
        <w:rPr>
          <w:rFonts w:asciiTheme="minorHAnsi" w:hAnsiTheme="minorHAnsi" w:cstheme="minorHAnsi"/>
          <w:lang w:val="sk-SK"/>
        </w:rPr>
      </w:pPr>
      <w:r w:rsidRPr="00D03CE3">
        <w:rPr>
          <w:rFonts w:asciiTheme="minorHAnsi" w:hAnsiTheme="minorHAnsi" w:cstheme="minorHAnsi"/>
          <w:lang w:val="sk-SK"/>
        </w:rPr>
        <w:t xml:space="preserve">Očakáva sa však zavedenie citácií do hodnotenia, čomu nasvedčuje plánovaná zmena vyhlášky evidencie publikácií. Rovnako je ťažko odhadnuteľný dopad výsledkov volieb na priority MŠ na spôsob hodnotenia škôl. Novela zákona otvára dvere konkurencii so súkromnými vysokými školami, ktorým sa otvára možnosť financovania v rámci vnútorných grantových schém ministerstva (VEGA, KEGA), čo umožní podporu kvalitných výskumných projektov aj v rámci výskumných tímov na týchto vysokých školách. </w:t>
      </w:r>
    </w:p>
    <w:p w14:paraId="351A4065" w14:textId="77777777" w:rsidR="00D03CE3" w:rsidRPr="00D03CE3" w:rsidRDefault="00D03CE3" w:rsidP="00D03CE3">
      <w:pPr>
        <w:tabs>
          <w:tab w:val="num" w:pos="0"/>
        </w:tabs>
        <w:spacing w:after="120"/>
        <w:ind w:firstLine="709"/>
        <w:jc w:val="both"/>
        <w:rPr>
          <w:rFonts w:asciiTheme="minorHAnsi" w:hAnsiTheme="minorHAnsi" w:cstheme="minorHAnsi"/>
          <w:lang w:val="sk-SK"/>
        </w:rPr>
      </w:pPr>
      <w:r w:rsidRPr="00D03CE3">
        <w:rPr>
          <w:rFonts w:asciiTheme="minorHAnsi" w:hAnsiTheme="minorHAnsi" w:cstheme="minorHAnsi"/>
          <w:lang w:val="sk-SK"/>
        </w:rPr>
        <w:t xml:space="preserve">Vychádzajúc z vyššie uvedeného je preto zrejme vhodnejšie vytvárať systém hodnotenia, ktorý bude preferovať priority nového vedenia a ktorý ich vhodne skĺbi so súčasnými  prioritami MŠ a budúcim vývojom, (ktorý však nie je celkom možné dobre </w:t>
      </w:r>
      <w:proofErr w:type="spellStart"/>
      <w:r w:rsidRPr="00D03CE3">
        <w:rPr>
          <w:rFonts w:asciiTheme="minorHAnsi" w:hAnsiTheme="minorHAnsi" w:cstheme="minorHAnsi"/>
          <w:lang w:val="sk-SK"/>
        </w:rPr>
        <w:t>predikovať</w:t>
      </w:r>
      <w:proofErr w:type="spellEnd"/>
      <w:r w:rsidRPr="00D03CE3">
        <w:rPr>
          <w:rFonts w:asciiTheme="minorHAnsi" w:hAnsiTheme="minorHAnsi" w:cstheme="minorHAnsi"/>
          <w:lang w:val="sk-SK"/>
        </w:rPr>
        <w:t xml:space="preserve">). </w:t>
      </w:r>
    </w:p>
    <w:p w14:paraId="4B25320A" w14:textId="77777777" w:rsidR="00D03CE3" w:rsidRPr="00D03CE3" w:rsidRDefault="00D03CE3" w:rsidP="00D03CE3">
      <w:pPr>
        <w:ind w:left="360" w:firstLine="360"/>
        <w:rPr>
          <w:rFonts w:asciiTheme="minorHAnsi" w:hAnsiTheme="minorHAnsi" w:cstheme="minorHAnsi"/>
          <w:lang w:val="sk-SK"/>
        </w:rPr>
      </w:pPr>
    </w:p>
    <w:p w14:paraId="6CFD912E" w14:textId="77777777" w:rsidR="00D03CE3" w:rsidRPr="00D03CE3" w:rsidRDefault="00D03CE3" w:rsidP="00D03CE3">
      <w:pPr>
        <w:ind w:left="360" w:firstLine="360"/>
        <w:rPr>
          <w:rFonts w:asciiTheme="minorHAnsi" w:hAnsiTheme="minorHAnsi" w:cstheme="minorHAnsi"/>
          <w:lang w:val="sk-SK"/>
        </w:rPr>
      </w:pPr>
    </w:p>
    <w:p w14:paraId="56B792F6" w14:textId="77777777" w:rsidR="00D03CE3" w:rsidRPr="00D03CE3" w:rsidRDefault="00D03CE3" w:rsidP="00D03CE3">
      <w:pPr>
        <w:numPr>
          <w:ilvl w:val="0"/>
          <w:numId w:val="35"/>
        </w:numPr>
        <w:spacing w:after="120"/>
        <w:jc w:val="both"/>
        <w:rPr>
          <w:rFonts w:asciiTheme="minorHAnsi" w:hAnsiTheme="minorHAnsi" w:cstheme="minorHAnsi"/>
          <w:b/>
          <w:color w:val="000000" w:themeColor="text1"/>
        </w:rPr>
      </w:pPr>
      <w:proofErr w:type="spellStart"/>
      <w:r w:rsidRPr="00D03CE3">
        <w:rPr>
          <w:rFonts w:asciiTheme="minorHAnsi" w:hAnsiTheme="minorHAnsi" w:cstheme="minorHAnsi"/>
          <w:b/>
          <w:color w:val="000000" w:themeColor="text1"/>
        </w:rPr>
        <w:t>Návrh</w:t>
      </w:r>
      <w:proofErr w:type="spellEnd"/>
      <w:r w:rsidRPr="00D03CE3">
        <w:rPr>
          <w:rFonts w:asciiTheme="minorHAnsi" w:hAnsiTheme="minorHAnsi" w:cstheme="minorHAnsi"/>
          <w:b/>
          <w:color w:val="000000" w:themeColor="text1"/>
        </w:rPr>
        <w:t xml:space="preserve"> </w:t>
      </w:r>
      <w:proofErr w:type="spellStart"/>
      <w:r w:rsidRPr="00D03CE3">
        <w:rPr>
          <w:rFonts w:asciiTheme="minorHAnsi" w:hAnsiTheme="minorHAnsi" w:cstheme="minorHAnsi"/>
          <w:b/>
          <w:color w:val="000000" w:themeColor="text1"/>
        </w:rPr>
        <w:t>koncepcie</w:t>
      </w:r>
      <w:proofErr w:type="spellEnd"/>
      <w:r w:rsidRPr="00D03CE3">
        <w:rPr>
          <w:rFonts w:asciiTheme="minorHAnsi" w:hAnsiTheme="minorHAnsi" w:cstheme="minorHAnsi"/>
          <w:b/>
          <w:color w:val="000000" w:themeColor="text1"/>
        </w:rPr>
        <w:t xml:space="preserve"> </w:t>
      </w:r>
      <w:proofErr w:type="spellStart"/>
      <w:r w:rsidRPr="00D03CE3">
        <w:rPr>
          <w:rFonts w:asciiTheme="minorHAnsi" w:hAnsiTheme="minorHAnsi" w:cstheme="minorHAnsi"/>
          <w:b/>
          <w:color w:val="000000" w:themeColor="text1"/>
        </w:rPr>
        <w:t>modelu</w:t>
      </w:r>
      <w:proofErr w:type="spellEnd"/>
      <w:r w:rsidRPr="00D03CE3">
        <w:rPr>
          <w:rFonts w:asciiTheme="minorHAnsi" w:hAnsiTheme="minorHAnsi" w:cstheme="minorHAnsi"/>
          <w:b/>
          <w:color w:val="000000" w:themeColor="text1"/>
        </w:rPr>
        <w:t xml:space="preserve"> </w:t>
      </w:r>
      <w:proofErr w:type="spellStart"/>
      <w:r w:rsidRPr="00D03CE3">
        <w:rPr>
          <w:rFonts w:asciiTheme="minorHAnsi" w:hAnsiTheme="minorHAnsi" w:cstheme="minorHAnsi"/>
          <w:b/>
          <w:color w:val="000000" w:themeColor="text1"/>
        </w:rPr>
        <w:t>delenia</w:t>
      </w:r>
      <w:proofErr w:type="spellEnd"/>
      <w:r w:rsidRPr="00D03CE3">
        <w:rPr>
          <w:rFonts w:asciiTheme="minorHAnsi" w:hAnsiTheme="minorHAnsi" w:cstheme="minorHAnsi"/>
          <w:b/>
          <w:color w:val="000000" w:themeColor="text1"/>
        </w:rPr>
        <w:t xml:space="preserve"> </w:t>
      </w:r>
      <w:proofErr w:type="spellStart"/>
      <w:r w:rsidRPr="00D03CE3">
        <w:rPr>
          <w:rFonts w:asciiTheme="minorHAnsi" w:hAnsiTheme="minorHAnsi" w:cstheme="minorHAnsi"/>
          <w:b/>
          <w:color w:val="000000" w:themeColor="text1"/>
        </w:rPr>
        <w:t>dotácie</w:t>
      </w:r>
      <w:proofErr w:type="spellEnd"/>
      <w:r w:rsidRPr="00D03CE3">
        <w:rPr>
          <w:rFonts w:asciiTheme="minorHAnsi" w:hAnsiTheme="minorHAnsi" w:cstheme="minorHAnsi"/>
          <w:b/>
          <w:color w:val="000000" w:themeColor="text1"/>
        </w:rPr>
        <w:t xml:space="preserve"> pre </w:t>
      </w:r>
      <w:proofErr w:type="spellStart"/>
      <w:r w:rsidRPr="00D03CE3">
        <w:rPr>
          <w:rFonts w:asciiTheme="minorHAnsi" w:hAnsiTheme="minorHAnsi" w:cstheme="minorHAnsi"/>
          <w:b/>
          <w:color w:val="000000" w:themeColor="text1"/>
        </w:rPr>
        <w:t>VaV</w:t>
      </w:r>
      <w:proofErr w:type="spellEnd"/>
      <w:r w:rsidRPr="00D03CE3">
        <w:rPr>
          <w:rFonts w:asciiTheme="minorHAnsi" w:hAnsiTheme="minorHAnsi" w:cstheme="minorHAnsi"/>
          <w:b/>
          <w:color w:val="000000" w:themeColor="text1"/>
        </w:rPr>
        <w:t xml:space="preserve"> </w:t>
      </w:r>
    </w:p>
    <w:p w14:paraId="5B8DCDF1" w14:textId="77777777" w:rsidR="00D03CE3" w:rsidRPr="00D03CE3" w:rsidRDefault="00D03CE3" w:rsidP="00D03CE3">
      <w:pPr>
        <w:spacing w:after="120"/>
        <w:rPr>
          <w:rFonts w:asciiTheme="minorHAnsi" w:hAnsiTheme="minorHAnsi" w:cstheme="minorHAnsi"/>
          <w:b/>
          <w:bCs/>
          <w:color w:val="000000" w:themeColor="text1"/>
        </w:rPr>
      </w:pPr>
    </w:p>
    <w:p w14:paraId="6A2289F0" w14:textId="77777777" w:rsidR="00D03CE3" w:rsidRPr="00D03CE3" w:rsidRDefault="00D03CE3" w:rsidP="00D03CE3">
      <w:pPr>
        <w:tabs>
          <w:tab w:val="num" w:pos="0"/>
        </w:tabs>
        <w:spacing w:after="120"/>
        <w:ind w:firstLine="709"/>
        <w:jc w:val="both"/>
        <w:rPr>
          <w:rFonts w:asciiTheme="minorHAnsi" w:hAnsiTheme="minorHAnsi" w:cstheme="minorHAnsi"/>
          <w:lang w:val="sk-SK"/>
        </w:rPr>
      </w:pPr>
      <w:r w:rsidRPr="00D03CE3">
        <w:rPr>
          <w:rFonts w:asciiTheme="minorHAnsi" w:hAnsiTheme="minorHAnsi" w:cstheme="minorHAnsi"/>
          <w:lang w:val="sk-SK"/>
        </w:rPr>
        <w:t xml:space="preserve">Z hľadiska dostupnosti domácich rozpočtových zdrojov nás zrejme čaká obdobie, v ktorom sa spočiatku budeme musieť riadiť doterajšími, často kritizovanými podmienkami, a zároveň sa budeme musieť pripravovať na nové spôsoby hodnotenia a financovania výskumu a na potrebu silnejšej spolupráce s praxou. S ohľadom na celkový ekonomický vývoj by sme zrejme v blízkej budúcnosti nemali očakávať skokovitý nárast zdrojov na výskum, ale ani pokles. Čaká nás ďalej obdobie, v ktorom sa budeme musieť vedieť uchádzať o financie z radu veľmi rôznorodo postavených a riadených grantových schém. Z tohto pohľadu bude potrebné sledovať signály z vonkajšieho prostredia a pokúšať sa, napriek ich doterajšej </w:t>
      </w:r>
      <w:proofErr w:type="spellStart"/>
      <w:r w:rsidRPr="00D03CE3">
        <w:rPr>
          <w:rFonts w:asciiTheme="minorHAnsi" w:hAnsiTheme="minorHAnsi" w:cstheme="minorHAnsi"/>
          <w:lang w:val="sk-SK"/>
        </w:rPr>
        <w:t>neostrosti</w:t>
      </w:r>
      <w:proofErr w:type="spellEnd"/>
      <w:r w:rsidRPr="00D03CE3">
        <w:rPr>
          <w:rFonts w:asciiTheme="minorHAnsi" w:hAnsiTheme="minorHAnsi" w:cstheme="minorHAnsi"/>
          <w:lang w:val="sk-SK"/>
        </w:rPr>
        <w:t xml:space="preserve">, anticipovať vývoj a preventívne reagovať. </w:t>
      </w:r>
    </w:p>
    <w:p w14:paraId="4A12B1E6" w14:textId="77777777" w:rsidR="00D03CE3" w:rsidRPr="00D03CE3" w:rsidRDefault="00D03CE3" w:rsidP="00D03CE3">
      <w:pPr>
        <w:tabs>
          <w:tab w:val="num" w:pos="0"/>
        </w:tabs>
        <w:spacing w:after="120"/>
        <w:ind w:firstLine="709"/>
        <w:jc w:val="both"/>
        <w:rPr>
          <w:rFonts w:asciiTheme="minorHAnsi" w:hAnsiTheme="minorHAnsi" w:cstheme="minorHAnsi"/>
          <w:lang w:val="sk-SK"/>
        </w:rPr>
      </w:pPr>
      <w:r w:rsidRPr="00D03CE3">
        <w:rPr>
          <w:rFonts w:asciiTheme="minorHAnsi" w:hAnsiTheme="minorHAnsi" w:cstheme="minorHAnsi"/>
          <w:lang w:val="sk-SK"/>
        </w:rPr>
        <w:lastRenderedPageBreak/>
        <w:t xml:space="preserve">Pre nás je síce výhodné, že kým neprebehne nové hodnotenie, bude sa v rozpočte zohľadňovať hodnotenie výskumnej, vývojovej, umeleckej a ďalšej tvorivej činnosti verejnej vysokej školy v rámci poslednej KA. Na druhej strane môže nové hodnotenie priniesť skokovitú zmenu v samotnom systéme, alebo vo  výsledku hodnotenia úrovne vedy na STU. </w:t>
      </w:r>
    </w:p>
    <w:p w14:paraId="4A3FAC1B" w14:textId="77777777" w:rsidR="00D03CE3" w:rsidRPr="00D03CE3" w:rsidRDefault="00D03CE3" w:rsidP="00D03CE3">
      <w:pPr>
        <w:spacing w:after="120"/>
        <w:ind w:firstLine="709"/>
        <w:jc w:val="both"/>
        <w:rPr>
          <w:rFonts w:asciiTheme="minorHAnsi" w:hAnsiTheme="minorHAnsi" w:cstheme="minorHAnsi"/>
          <w:lang w:val="sk-SK"/>
        </w:rPr>
      </w:pPr>
      <w:r w:rsidRPr="00D03CE3">
        <w:rPr>
          <w:rFonts w:asciiTheme="minorHAnsi" w:hAnsiTheme="minorHAnsi" w:cstheme="minorHAnsi"/>
          <w:lang w:val="sk-SK"/>
        </w:rPr>
        <w:t xml:space="preserve">Koncepčne by bolo vhodné snažiť sa o takú štrukturálnu zmenu systému rozdeľovania dotácie a hodnotenia výkonov, ktorá by nezasahovala výraznejšie do súčasných pomerov hodnotenia výkonov v určovaní dotácie (a tým aj do tradície súčasného hodnotenia), ale odstránila, resp. znížila riziká únikov do vytvárania veľkého množstva slabšie hodnotených výstupov. Voľba cesty k novému systému by sa mala skôr uberať postupným prebudovaním súčasného systému cez používanie princípu </w:t>
      </w:r>
      <w:proofErr w:type="spellStart"/>
      <w:r w:rsidRPr="00D03CE3">
        <w:rPr>
          <w:rFonts w:asciiTheme="minorHAnsi" w:hAnsiTheme="minorHAnsi" w:cstheme="minorHAnsi"/>
          <w:lang w:val="sk-SK"/>
        </w:rPr>
        <w:t>participatívne</w:t>
      </w:r>
      <w:proofErr w:type="spellEnd"/>
      <w:r w:rsidRPr="00D03CE3">
        <w:rPr>
          <w:rFonts w:asciiTheme="minorHAnsi" w:hAnsiTheme="minorHAnsi" w:cstheme="minorHAnsi"/>
          <w:lang w:val="sk-SK"/>
        </w:rPr>
        <w:t xml:space="preserve"> financovania (ktoré tiež posilňuje funkcie RSTU), a nie jeho úplnou zmenou. Skokovitá zmena štruktúry a aj systému hodnotenia by sa nedala nastaviť tak, aby slúžila postupnému zlepšeniu plnenia budúcich hodnotiacich kritérií a grantovej úspešnosti v ďalšom období, lebo tie nie sú dostatočne známe. </w:t>
      </w:r>
    </w:p>
    <w:p w14:paraId="07BA62B3" w14:textId="77777777" w:rsidR="00D03CE3" w:rsidRPr="00D03CE3" w:rsidRDefault="00D03CE3" w:rsidP="00D03CE3">
      <w:pPr>
        <w:spacing w:after="120"/>
        <w:jc w:val="both"/>
        <w:rPr>
          <w:rFonts w:asciiTheme="minorHAnsi" w:hAnsiTheme="minorHAnsi" w:cstheme="minorHAnsi"/>
          <w:b/>
          <w:bCs/>
          <w:color w:val="000000" w:themeColor="text1"/>
          <w:lang w:val="sk-SK"/>
        </w:rPr>
      </w:pPr>
      <w:r w:rsidRPr="00D03CE3">
        <w:rPr>
          <w:rFonts w:asciiTheme="minorHAnsi" w:hAnsiTheme="minorHAnsi" w:cstheme="minorHAnsi"/>
          <w:bCs/>
          <w:color w:val="000000" w:themeColor="text1"/>
          <w:lang w:val="sk-SK"/>
        </w:rPr>
        <w:tab/>
        <w:t>Pre budúcnosť sa však určite potrebujeme zlepšiť najmä v týchto oblastiach:</w:t>
      </w:r>
    </w:p>
    <w:p w14:paraId="14692D2B" w14:textId="77777777" w:rsidR="00D03CE3" w:rsidRPr="00D03CE3" w:rsidRDefault="00D03CE3" w:rsidP="00D03CE3">
      <w:pPr>
        <w:numPr>
          <w:ilvl w:val="0"/>
          <w:numId w:val="36"/>
        </w:numPr>
        <w:spacing w:after="120"/>
        <w:jc w:val="both"/>
        <w:rPr>
          <w:rFonts w:asciiTheme="minorHAnsi" w:hAnsiTheme="minorHAnsi" w:cstheme="minorHAnsi"/>
          <w:b/>
          <w:bCs/>
          <w:color w:val="000000" w:themeColor="text1"/>
          <w:lang w:val="sk-SK"/>
        </w:rPr>
      </w:pPr>
      <w:r w:rsidRPr="00D03CE3">
        <w:rPr>
          <w:rFonts w:asciiTheme="minorHAnsi" w:hAnsiTheme="minorHAnsi" w:cstheme="minorHAnsi"/>
          <w:bCs/>
          <w:color w:val="000000" w:themeColor="text1"/>
          <w:lang w:val="sk-SK"/>
        </w:rPr>
        <w:t xml:space="preserve">viditeľnosť STU v medzinárodnom priestore (vrátane medzinárodných </w:t>
      </w:r>
      <w:proofErr w:type="spellStart"/>
      <w:r w:rsidRPr="00D03CE3">
        <w:rPr>
          <w:rFonts w:asciiTheme="minorHAnsi" w:hAnsiTheme="minorHAnsi" w:cstheme="minorHAnsi"/>
          <w:bCs/>
          <w:color w:val="000000" w:themeColor="text1"/>
          <w:lang w:val="sk-SK"/>
        </w:rPr>
        <w:t>rankingov</w:t>
      </w:r>
      <w:proofErr w:type="spellEnd"/>
      <w:r w:rsidRPr="00D03CE3">
        <w:rPr>
          <w:rFonts w:asciiTheme="minorHAnsi" w:hAnsiTheme="minorHAnsi" w:cstheme="minorHAnsi"/>
          <w:bCs/>
          <w:color w:val="000000" w:themeColor="text1"/>
          <w:lang w:val="sk-SK"/>
        </w:rPr>
        <w:t>),</w:t>
      </w:r>
    </w:p>
    <w:p w14:paraId="21F690AE" w14:textId="77777777" w:rsidR="00D03CE3" w:rsidRPr="00D03CE3" w:rsidRDefault="00D03CE3" w:rsidP="00D03CE3">
      <w:pPr>
        <w:numPr>
          <w:ilvl w:val="0"/>
          <w:numId w:val="36"/>
        </w:numPr>
        <w:spacing w:after="120"/>
        <w:jc w:val="both"/>
        <w:rPr>
          <w:rFonts w:asciiTheme="minorHAnsi" w:hAnsiTheme="minorHAnsi" w:cstheme="minorHAnsi"/>
          <w:b/>
          <w:bCs/>
          <w:color w:val="000000" w:themeColor="text1"/>
          <w:lang w:val="sk-SK"/>
        </w:rPr>
      </w:pPr>
      <w:r w:rsidRPr="00D03CE3">
        <w:rPr>
          <w:rFonts w:asciiTheme="minorHAnsi" w:hAnsiTheme="minorHAnsi" w:cstheme="minorHAnsi"/>
          <w:bCs/>
          <w:color w:val="000000" w:themeColor="text1"/>
          <w:lang w:val="sk-SK"/>
        </w:rPr>
        <w:t>úspešnosť v získavaní zahraničných projektov,</w:t>
      </w:r>
    </w:p>
    <w:p w14:paraId="0B1936AF" w14:textId="77777777" w:rsidR="00D03CE3" w:rsidRPr="00D03CE3" w:rsidRDefault="00D03CE3" w:rsidP="00D03CE3">
      <w:pPr>
        <w:numPr>
          <w:ilvl w:val="0"/>
          <w:numId w:val="36"/>
        </w:numPr>
        <w:spacing w:after="120"/>
        <w:jc w:val="both"/>
        <w:rPr>
          <w:rFonts w:asciiTheme="minorHAnsi" w:hAnsiTheme="minorHAnsi" w:cstheme="minorHAnsi"/>
          <w:b/>
          <w:bCs/>
          <w:color w:val="000000" w:themeColor="text1"/>
        </w:rPr>
      </w:pPr>
      <w:proofErr w:type="spellStart"/>
      <w:r w:rsidRPr="00D03CE3">
        <w:rPr>
          <w:rFonts w:asciiTheme="minorHAnsi" w:hAnsiTheme="minorHAnsi" w:cstheme="minorHAnsi"/>
          <w:bCs/>
          <w:color w:val="000000" w:themeColor="text1"/>
        </w:rPr>
        <w:t>podiel</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zahraničných</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výskumníkov</w:t>
      </w:r>
      <w:proofErr w:type="spellEnd"/>
      <w:r w:rsidRPr="00D03CE3">
        <w:rPr>
          <w:rFonts w:asciiTheme="minorHAnsi" w:hAnsiTheme="minorHAnsi" w:cstheme="minorHAnsi"/>
          <w:bCs/>
          <w:color w:val="000000" w:themeColor="text1"/>
        </w:rPr>
        <w:t>,</w:t>
      </w:r>
    </w:p>
    <w:p w14:paraId="61539863" w14:textId="77777777" w:rsidR="00D03CE3" w:rsidRPr="00D03CE3" w:rsidRDefault="00D03CE3" w:rsidP="00D03CE3">
      <w:pPr>
        <w:numPr>
          <w:ilvl w:val="0"/>
          <w:numId w:val="36"/>
        </w:numPr>
        <w:spacing w:after="120"/>
        <w:jc w:val="both"/>
        <w:rPr>
          <w:rFonts w:asciiTheme="minorHAnsi" w:hAnsiTheme="minorHAnsi" w:cstheme="minorHAnsi"/>
          <w:b/>
          <w:bCs/>
          <w:color w:val="000000" w:themeColor="text1"/>
        </w:rPr>
      </w:pPr>
      <w:proofErr w:type="spellStart"/>
      <w:r w:rsidRPr="00D03CE3">
        <w:rPr>
          <w:rFonts w:asciiTheme="minorHAnsi" w:hAnsiTheme="minorHAnsi" w:cstheme="minorHAnsi"/>
          <w:bCs/>
          <w:color w:val="000000" w:themeColor="text1"/>
        </w:rPr>
        <w:t>podiel</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zahraničných</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študentov</w:t>
      </w:r>
      <w:proofErr w:type="spellEnd"/>
      <w:r w:rsidRPr="00D03CE3">
        <w:rPr>
          <w:rFonts w:asciiTheme="minorHAnsi" w:hAnsiTheme="minorHAnsi" w:cstheme="minorHAnsi"/>
          <w:bCs/>
          <w:color w:val="000000" w:themeColor="text1"/>
        </w:rPr>
        <w:t>,</w:t>
      </w:r>
    </w:p>
    <w:p w14:paraId="5F09EC5F" w14:textId="77777777" w:rsidR="00D03CE3" w:rsidRPr="00D03CE3" w:rsidRDefault="00D03CE3" w:rsidP="00D03CE3">
      <w:pPr>
        <w:numPr>
          <w:ilvl w:val="0"/>
          <w:numId w:val="36"/>
        </w:numPr>
        <w:spacing w:after="120"/>
        <w:jc w:val="both"/>
        <w:rPr>
          <w:rFonts w:asciiTheme="minorHAnsi" w:hAnsiTheme="minorHAnsi" w:cstheme="minorHAnsi"/>
          <w:b/>
          <w:bCs/>
          <w:color w:val="000000" w:themeColor="text1"/>
        </w:rPr>
      </w:pPr>
      <w:proofErr w:type="spellStart"/>
      <w:proofErr w:type="gramStart"/>
      <w:r w:rsidRPr="00D03CE3">
        <w:rPr>
          <w:rFonts w:asciiTheme="minorHAnsi" w:hAnsiTheme="minorHAnsi" w:cstheme="minorHAnsi"/>
          <w:bCs/>
          <w:color w:val="000000" w:themeColor="text1"/>
        </w:rPr>
        <w:t>zloženie</w:t>
      </w:r>
      <w:proofErr w:type="spellEnd"/>
      <w:proofErr w:type="gram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publikačného</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portfólia</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zamestnancov</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znižovať</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počty</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menej</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dôležitých</w:t>
      </w:r>
      <w:proofErr w:type="spellEnd"/>
      <w:r w:rsidRPr="00D03CE3">
        <w:rPr>
          <w:rFonts w:asciiTheme="minorHAnsi" w:hAnsiTheme="minorHAnsi" w:cstheme="minorHAnsi"/>
          <w:bCs/>
          <w:color w:val="000000" w:themeColor="text1"/>
        </w:rPr>
        <w:t xml:space="preserve"> a </w:t>
      </w:r>
      <w:proofErr w:type="spellStart"/>
      <w:r w:rsidRPr="00D03CE3">
        <w:rPr>
          <w:rFonts w:asciiTheme="minorHAnsi" w:hAnsiTheme="minorHAnsi" w:cstheme="minorHAnsi"/>
          <w:bCs/>
          <w:color w:val="000000" w:themeColor="text1"/>
        </w:rPr>
        <w:t>motivovať</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tvorbu</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medzinárodne</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uznávaných</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výstupov</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tvorbu</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kvalitných</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učebníc</w:t>
      </w:r>
      <w:proofErr w:type="spellEnd"/>
      <w:r w:rsidRPr="00D03CE3">
        <w:rPr>
          <w:rFonts w:asciiTheme="minorHAnsi" w:hAnsiTheme="minorHAnsi" w:cstheme="minorHAnsi"/>
          <w:bCs/>
          <w:color w:val="000000" w:themeColor="text1"/>
        </w:rPr>
        <w:t xml:space="preserve"> a pod.) </w:t>
      </w:r>
    </w:p>
    <w:p w14:paraId="1ABDF39F" w14:textId="77777777" w:rsidR="00D03CE3" w:rsidRPr="00D03CE3" w:rsidRDefault="00D03CE3" w:rsidP="00D03CE3">
      <w:pPr>
        <w:numPr>
          <w:ilvl w:val="0"/>
          <w:numId w:val="36"/>
        </w:numPr>
        <w:spacing w:after="120"/>
        <w:jc w:val="both"/>
        <w:rPr>
          <w:rFonts w:asciiTheme="minorHAnsi" w:hAnsiTheme="minorHAnsi" w:cstheme="minorHAnsi"/>
          <w:b/>
          <w:bCs/>
          <w:color w:val="000000" w:themeColor="text1"/>
        </w:rPr>
      </w:pPr>
      <w:proofErr w:type="spellStart"/>
      <w:r w:rsidRPr="00D03CE3">
        <w:rPr>
          <w:rFonts w:asciiTheme="minorHAnsi" w:hAnsiTheme="minorHAnsi" w:cstheme="minorHAnsi"/>
          <w:bCs/>
          <w:color w:val="000000" w:themeColor="text1"/>
        </w:rPr>
        <w:t>jednotková</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výkonnosť</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tvorivých</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zamestnancov</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popri</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motivácie</w:t>
      </w:r>
      <w:proofErr w:type="spellEnd"/>
      <w:r w:rsidRPr="00D03CE3">
        <w:rPr>
          <w:rFonts w:asciiTheme="minorHAnsi" w:hAnsiTheme="minorHAnsi" w:cstheme="minorHAnsi"/>
          <w:bCs/>
          <w:color w:val="000000" w:themeColor="text1"/>
        </w:rPr>
        <w:t xml:space="preserve"> k </w:t>
      </w:r>
      <w:proofErr w:type="spellStart"/>
      <w:r w:rsidRPr="00D03CE3">
        <w:rPr>
          <w:rFonts w:asciiTheme="minorHAnsi" w:hAnsiTheme="minorHAnsi" w:cstheme="minorHAnsi"/>
          <w:bCs/>
          <w:color w:val="000000" w:themeColor="text1"/>
        </w:rPr>
        <w:t>zvyšovaniu</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produktivity</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treba</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riešiť</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aj</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otázku</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potenciálnej</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prezamestnanosti</w:t>
      </w:r>
      <w:proofErr w:type="spellEnd"/>
      <w:r w:rsidRPr="00D03CE3">
        <w:rPr>
          <w:rFonts w:asciiTheme="minorHAnsi" w:hAnsiTheme="minorHAnsi" w:cstheme="minorHAnsi"/>
          <w:bCs/>
          <w:color w:val="000000" w:themeColor="text1"/>
        </w:rPr>
        <w:t xml:space="preserve"> v </w:t>
      </w:r>
      <w:proofErr w:type="spellStart"/>
      <w:r w:rsidRPr="00D03CE3">
        <w:rPr>
          <w:rFonts w:asciiTheme="minorHAnsi" w:hAnsiTheme="minorHAnsi" w:cstheme="minorHAnsi"/>
          <w:bCs/>
          <w:color w:val="000000" w:themeColor="text1"/>
        </w:rPr>
        <w:t>porovnaní</w:t>
      </w:r>
      <w:proofErr w:type="spellEnd"/>
      <w:r w:rsidRPr="00D03CE3">
        <w:rPr>
          <w:rFonts w:asciiTheme="minorHAnsi" w:hAnsiTheme="minorHAnsi" w:cstheme="minorHAnsi"/>
          <w:bCs/>
          <w:color w:val="000000" w:themeColor="text1"/>
        </w:rPr>
        <w:t xml:space="preserve"> s </w:t>
      </w:r>
      <w:proofErr w:type="spellStart"/>
      <w:r w:rsidRPr="00D03CE3">
        <w:rPr>
          <w:rFonts w:asciiTheme="minorHAnsi" w:hAnsiTheme="minorHAnsi" w:cstheme="minorHAnsi"/>
          <w:bCs/>
          <w:color w:val="000000" w:themeColor="text1"/>
        </w:rPr>
        <w:t>inými</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univerzitami</w:t>
      </w:r>
      <w:proofErr w:type="spellEnd"/>
      <w:r w:rsidRPr="00D03CE3">
        <w:rPr>
          <w:rFonts w:asciiTheme="minorHAnsi" w:hAnsiTheme="minorHAnsi" w:cstheme="minorHAnsi"/>
          <w:bCs/>
          <w:color w:val="000000" w:themeColor="text1"/>
        </w:rPr>
        <w:t xml:space="preserve"> s </w:t>
      </w:r>
      <w:proofErr w:type="spellStart"/>
      <w:r w:rsidRPr="00D03CE3">
        <w:rPr>
          <w:rFonts w:asciiTheme="minorHAnsi" w:hAnsiTheme="minorHAnsi" w:cstheme="minorHAnsi"/>
          <w:bCs/>
          <w:color w:val="000000" w:themeColor="text1"/>
        </w:rPr>
        <w:t>podobným</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zameraním</w:t>
      </w:r>
      <w:proofErr w:type="spellEnd"/>
      <w:r w:rsidRPr="00D03CE3">
        <w:rPr>
          <w:rFonts w:asciiTheme="minorHAnsi" w:hAnsiTheme="minorHAnsi" w:cstheme="minorHAnsi"/>
          <w:bCs/>
          <w:color w:val="000000" w:themeColor="text1"/>
        </w:rPr>
        <w:t xml:space="preserve">), </w:t>
      </w:r>
    </w:p>
    <w:p w14:paraId="0437DEF3" w14:textId="77777777" w:rsidR="00D03CE3" w:rsidRPr="00D03CE3" w:rsidRDefault="00D03CE3" w:rsidP="00D03CE3">
      <w:pPr>
        <w:numPr>
          <w:ilvl w:val="0"/>
          <w:numId w:val="36"/>
        </w:numPr>
        <w:spacing w:after="120"/>
        <w:jc w:val="both"/>
        <w:rPr>
          <w:rFonts w:asciiTheme="minorHAnsi" w:hAnsiTheme="minorHAnsi" w:cstheme="minorHAnsi"/>
          <w:b/>
          <w:bCs/>
          <w:color w:val="000000" w:themeColor="text1"/>
        </w:rPr>
      </w:pPr>
      <w:proofErr w:type="spellStart"/>
      <w:r w:rsidRPr="00D03CE3">
        <w:rPr>
          <w:rFonts w:asciiTheme="minorHAnsi" w:hAnsiTheme="minorHAnsi" w:cstheme="minorHAnsi"/>
          <w:bCs/>
          <w:color w:val="000000" w:themeColor="text1"/>
        </w:rPr>
        <w:t>citovanosť</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prác</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zamestnancov</w:t>
      </w:r>
      <w:proofErr w:type="spellEnd"/>
      <w:r w:rsidRPr="00D03CE3">
        <w:rPr>
          <w:rFonts w:asciiTheme="minorHAnsi" w:hAnsiTheme="minorHAnsi" w:cstheme="minorHAnsi"/>
          <w:bCs/>
          <w:color w:val="000000" w:themeColor="text1"/>
        </w:rPr>
        <w:t>,</w:t>
      </w:r>
    </w:p>
    <w:p w14:paraId="6E70CEFD" w14:textId="77777777" w:rsidR="00D03CE3" w:rsidRPr="00D03CE3" w:rsidRDefault="00D03CE3" w:rsidP="00D03CE3">
      <w:pPr>
        <w:numPr>
          <w:ilvl w:val="0"/>
          <w:numId w:val="36"/>
        </w:numPr>
        <w:spacing w:after="120"/>
        <w:jc w:val="both"/>
        <w:rPr>
          <w:rFonts w:asciiTheme="minorHAnsi" w:hAnsiTheme="minorHAnsi" w:cstheme="minorHAnsi"/>
          <w:b/>
          <w:bCs/>
          <w:color w:val="000000" w:themeColor="text1"/>
        </w:rPr>
      </w:pPr>
      <w:proofErr w:type="spellStart"/>
      <w:r w:rsidRPr="00D03CE3">
        <w:rPr>
          <w:rFonts w:asciiTheme="minorHAnsi" w:hAnsiTheme="minorHAnsi" w:cstheme="minorHAnsi"/>
          <w:bCs/>
          <w:color w:val="000000" w:themeColor="text1"/>
        </w:rPr>
        <w:t>patenty</w:t>
      </w:r>
      <w:proofErr w:type="spellEnd"/>
      <w:r w:rsidRPr="00D03CE3">
        <w:rPr>
          <w:rFonts w:asciiTheme="minorHAnsi" w:hAnsiTheme="minorHAnsi" w:cstheme="minorHAnsi"/>
          <w:bCs/>
          <w:color w:val="000000" w:themeColor="text1"/>
        </w:rPr>
        <w:t>,</w:t>
      </w:r>
    </w:p>
    <w:p w14:paraId="78C1C162" w14:textId="77777777" w:rsidR="00D03CE3" w:rsidRPr="00433FCF" w:rsidRDefault="00D03CE3" w:rsidP="00D03CE3">
      <w:pPr>
        <w:numPr>
          <w:ilvl w:val="0"/>
          <w:numId w:val="36"/>
        </w:numPr>
        <w:spacing w:after="120"/>
        <w:jc w:val="both"/>
        <w:rPr>
          <w:rFonts w:asciiTheme="minorHAnsi" w:hAnsiTheme="minorHAnsi" w:cstheme="minorHAnsi"/>
          <w:b/>
          <w:bCs/>
          <w:color w:val="000000" w:themeColor="text1"/>
          <w:lang w:val="it-IT"/>
        </w:rPr>
      </w:pPr>
      <w:r w:rsidRPr="00433FCF">
        <w:rPr>
          <w:rFonts w:asciiTheme="minorHAnsi" w:hAnsiTheme="minorHAnsi" w:cstheme="minorHAnsi"/>
          <w:bCs/>
          <w:color w:val="000000" w:themeColor="text1"/>
          <w:lang w:val="it-IT"/>
        </w:rPr>
        <w:t xml:space="preserve">podiel financovania výskumu z praxe. </w:t>
      </w:r>
    </w:p>
    <w:p w14:paraId="3C24C802" w14:textId="77777777" w:rsidR="00D03CE3" w:rsidRPr="00433FCF" w:rsidRDefault="00D03CE3" w:rsidP="00D03CE3">
      <w:pPr>
        <w:spacing w:after="120"/>
        <w:ind w:firstLine="360"/>
        <w:jc w:val="both"/>
        <w:rPr>
          <w:rFonts w:asciiTheme="minorHAnsi" w:hAnsiTheme="minorHAnsi" w:cstheme="minorHAnsi"/>
          <w:b/>
          <w:bCs/>
          <w:color w:val="000000" w:themeColor="text1"/>
          <w:lang w:val="it-IT"/>
        </w:rPr>
      </w:pPr>
      <w:r w:rsidRPr="00433FCF">
        <w:rPr>
          <w:rFonts w:asciiTheme="minorHAnsi" w:hAnsiTheme="minorHAnsi" w:cstheme="minorHAnsi"/>
          <w:bCs/>
          <w:color w:val="000000" w:themeColor="text1"/>
          <w:lang w:val="it-IT"/>
        </w:rPr>
        <w:t xml:space="preserve">Navrhujeme vychádzať z predpokladu, že súčasná štruktúra metodiky delenia prostriedkov na univerzity sa v podstate vyvíja smerom k preferovaniu kvalitných medzinárodne uznaných publikačných výstupov (napr. kvartily). Tento mechanizmus sa preniesol, resp. sa práve prenáša (i keď nie jednotným spôsobom) na fakulty. Preto je rozumné nechať ho istý čas pôsobiť, najmä keď sme preukázali, že pozitívne ovplyvňuje rast výstupov kategórie B (C) a teda aj výkonnosť fakúlt. </w:t>
      </w:r>
    </w:p>
    <w:p w14:paraId="6A19D4DB" w14:textId="77777777" w:rsidR="00D03CE3" w:rsidRPr="00433FCF" w:rsidRDefault="00D03CE3" w:rsidP="00D03CE3">
      <w:pPr>
        <w:spacing w:after="120"/>
        <w:ind w:firstLine="360"/>
        <w:jc w:val="both"/>
        <w:rPr>
          <w:rFonts w:asciiTheme="minorHAnsi" w:hAnsiTheme="minorHAnsi" w:cstheme="minorHAnsi"/>
          <w:b/>
          <w:bCs/>
          <w:color w:val="000000" w:themeColor="text1"/>
          <w:lang w:val="it-IT"/>
        </w:rPr>
      </w:pPr>
      <w:r w:rsidRPr="00433FCF">
        <w:rPr>
          <w:rFonts w:asciiTheme="minorHAnsi" w:hAnsiTheme="minorHAnsi" w:cstheme="minorHAnsi"/>
          <w:bCs/>
          <w:color w:val="000000" w:themeColor="text1"/>
          <w:lang w:val="it-IT"/>
        </w:rPr>
        <w:t xml:space="preserve">Skôr je potrebné zaoberať sa otázkou, kde a ako je možné zasiahnuť do prerozdeľovania, aby sme znížili motivačné faktory pre menej žiadané výstupy (napr. niektoré druhy monografií a konferenčných článkov.) V prípade potreby zásahu do samotného rozdeľovania podľa tzv. ministerských kritérií by sa napr. dali obmedziť počty výstupov, ktoré budú použité-uznané pri vnútro-univerzitnom prerozdeľovaní dotácie (napr. určením realistického počtu uznávaných výstupov na jednotlivca). Treba to však nastavovať opatrne a zrejme </w:t>
      </w:r>
      <w:r w:rsidRPr="00433FCF">
        <w:rPr>
          <w:rFonts w:asciiTheme="minorHAnsi" w:hAnsiTheme="minorHAnsi" w:cstheme="minorHAnsi"/>
          <w:bCs/>
          <w:color w:val="000000" w:themeColor="text1"/>
          <w:lang w:val="it-IT"/>
        </w:rPr>
        <w:lastRenderedPageBreak/>
        <w:t xml:space="preserve">diferencovane podľa odborov. Smerom k domácej praxi potrebujeme naďalej zachovávať výstupy, ktoré informujú o aplikačnom potenciáli výskumu na STU. Tiež by sa nemalo vyhýbať sa diskusiám o zamestnanosti na univerzite, najmä keď vidíme, že s domácom prostredí konkurenčné univerzity formálne vykazujú vyššiu efektívnosť („produktivitu“) pri získavaní výstupov pre nápočet dotácie. </w:t>
      </w:r>
    </w:p>
    <w:p w14:paraId="7C07D77B" w14:textId="77777777" w:rsidR="00D03CE3" w:rsidRPr="00433FCF" w:rsidRDefault="00D03CE3" w:rsidP="00D03CE3">
      <w:pPr>
        <w:spacing w:after="120"/>
        <w:ind w:firstLine="360"/>
        <w:jc w:val="both"/>
        <w:rPr>
          <w:rFonts w:asciiTheme="minorHAnsi" w:hAnsiTheme="minorHAnsi" w:cstheme="minorHAnsi"/>
          <w:b/>
          <w:bCs/>
          <w:color w:val="000000" w:themeColor="text1"/>
          <w:lang w:val="it-IT"/>
        </w:rPr>
      </w:pPr>
      <w:r w:rsidRPr="00433FCF">
        <w:rPr>
          <w:rFonts w:asciiTheme="minorHAnsi" w:hAnsiTheme="minorHAnsi" w:cstheme="minorHAnsi"/>
          <w:bCs/>
          <w:color w:val="000000" w:themeColor="text1"/>
          <w:lang w:val="it-IT"/>
        </w:rPr>
        <w:t xml:space="preserve">Vychádzajúc z toho, že sa váhy (popri tendencii k sprísňovaniu) v rámci ministerskej metodiky môžu naďalej (nepredvídateľne) meniť, bolo by preto aj v budúcnosti vhodnejšie sústrediť sa na doteraz aplikovaný model participatívnosti motivačného financovania súčastí STU (napr. centrálne rozdeľované odmeny za excelentné publikácie, a pod.). Tento je navyše ľahšie a transparentne modelovateľný a zdôvodniteľní pri diskusii o metodike rozpočtu v vnútri univerzity. </w:t>
      </w:r>
    </w:p>
    <w:p w14:paraId="53E28889" w14:textId="77777777" w:rsidR="00D03CE3" w:rsidRPr="00433FCF" w:rsidRDefault="00D03CE3" w:rsidP="00D03CE3">
      <w:pPr>
        <w:spacing w:after="120"/>
        <w:ind w:firstLine="360"/>
        <w:jc w:val="both"/>
        <w:rPr>
          <w:rFonts w:asciiTheme="minorHAnsi" w:hAnsiTheme="minorHAnsi" w:cstheme="minorHAnsi"/>
          <w:b/>
          <w:bCs/>
          <w:color w:val="000000" w:themeColor="text1"/>
          <w:lang w:val="it-IT"/>
        </w:rPr>
      </w:pPr>
      <w:r w:rsidRPr="00433FCF">
        <w:rPr>
          <w:rFonts w:asciiTheme="minorHAnsi" w:hAnsiTheme="minorHAnsi" w:cstheme="minorHAnsi"/>
          <w:bCs/>
          <w:color w:val="000000" w:themeColor="text1"/>
          <w:lang w:val="it-IT"/>
        </w:rPr>
        <w:t>Takýmito nástrojmi, ktoré je potrebné široko diskutovať, by mohli sa mohli napr. stať:</w:t>
      </w:r>
    </w:p>
    <w:p w14:paraId="349CDD8A" w14:textId="77777777" w:rsidR="00D03CE3" w:rsidRPr="00D03CE3" w:rsidRDefault="00D03CE3" w:rsidP="00D03CE3">
      <w:pPr>
        <w:numPr>
          <w:ilvl w:val="0"/>
          <w:numId w:val="36"/>
        </w:numPr>
        <w:spacing w:after="120"/>
        <w:jc w:val="both"/>
        <w:rPr>
          <w:rFonts w:asciiTheme="minorHAnsi" w:hAnsiTheme="minorHAnsi" w:cstheme="minorHAnsi"/>
          <w:b/>
          <w:bCs/>
          <w:color w:val="000000" w:themeColor="text1"/>
        </w:rPr>
      </w:pPr>
      <w:proofErr w:type="spellStart"/>
      <w:r w:rsidRPr="00D03CE3">
        <w:rPr>
          <w:rFonts w:asciiTheme="minorHAnsi" w:hAnsiTheme="minorHAnsi" w:cstheme="minorHAnsi"/>
          <w:bCs/>
          <w:color w:val="000000" w:themeColor="text1"/>
        </w:rPr>
        <w:t>odmeňovanie</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citácií</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ktoré</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nie</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zatiaľ</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zahrnuté</w:t>
      </w:r>
      <w:proofErr w:type="spellEnd"/>
      <w:r w:rsidRPr="00D03CE3">
        <w:rPr>
          <w:rFonts w:asciiTheme="minorHAnsi" w:hAnsiTheme="minorHAnsi" w:cstheme="minorHAnsi"/>
          <w:bCs/>
          <w:color w:val="000000" w:themeColor="text1"/>
        </w:rPr>
        <w:t xml:space="preserve"> v </w:t>
      </w:r>
      <w:proofErr w:type="spellStart"/>
      <w:r w:rsidRPr="00D03CE3">
        <w:rPr>
          <w:rFonts w:asciiTheme="minorHAnsi" w:hAnsiTheme="minorHAnsi" w:cstheme="minorHAnsi"/>
          <w:bCs/>
          <w:color w:val="000000" w:themeColor="text1"/>
        </w:rPr>
        <w:t>nápočte</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dotácie</w:t>
      </w:r>
      <w:proofErr w:type="spellEnd"/>
      <w:r w:rsidRPr="00D03CE3">
        <w:rPr>
          <w:rFonts w:asciiTheme="minorHAnsi" w:hAnsiTheme="minorHAnsi" w:cstheme="minorHAnsi"/>
          <w:bCs/>
          <w:color w:val="000000" w:themeColor="text1"/>
        </w:rPr>
        <w:t xml:space="preserve">, </w:t>
      </w:r>
    </w:p>
    <w:p w14:paraId="00EBD4F2" w14:textId="77777777" w:rsidR="00D03CE3" w:rsidRPr="00D03CE3" w:rsidRDefault="00D03CE3" w:rsidP="00D03CE3">
      <w:pPr>
        <w:numPr>
          <w:ilvl w:val="0"/>
          <w:numId w:val="36"/>
        </w:numPr>
        <w:spacing w:after="120"/>
        <w:jc w:val="both"/>
        <w:rPr>
          <w:rFonts w:asciiTheme="minorHAnsi" w:hAnsiTheme="minorHAnsi" w:cstheme="minorHAnsi"/>
          <w:b/>
          <w:bCs/>
          <w:color w:val="000000" w:themeColor="text1"/>
        </w:rPr>
      </w:pPr>
      <w:proofErr w:type="spellStart"/>
      <w:r w:rsidRPr="00D03CE3">
        <w:rPr>
          <w:rFonts w:asciiTheme="minorHAnsi" w:hAnsiTheme="minorHAnsi" w:cstheme="minorHAnsi"/>
          <w:bCs/>
          <w:color w:val="000000" w:themeColor="text1"/>
        </w:rPr>
        <w:t>grantová</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schéma</w:t>
      </w:r>
      <w:proofErr w:type="spellEnd"/>
      <w:r w:rsidRPr="00D03CE3">
        <w:rPr>
          <w:rFonts w:asciiTheme="minorHAnsi" w:hAnsiTheme="minorHAnsi" w:cstheme="minorHAnsi"/>
          <w:bCs/>
          <w:color w:val="000000" w:themeColor="text1"/>
        </w:rPr>
        <w:t xml:space="preserve"> pre </w:t>
      </w:r>
      <w:proofErr w:type="spellStart"/>
      <w:r w:rsidRPr="00D03CE3">
        <w:rPr>
          <w:rFonts w:asciiTheme="minorHAnsi" w:hAnsiTheme="minorHAnsi" w:cstheme="minorHAnsi"/>
          <w:bCs/>
          <w:color w:val="000000" w:themeColor="text1"/>
        </w:rPr>
        <w:t>podporu</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pozývania</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zahraničných</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prednášajúcich</w:t>
      </w:r>
      <w:proofErr w:type="spellEnd"/>
      <w:r w:rsidRPr="00D03CE3">
        <w:rPr>
          <w:rFonts w:asciiTheme="minorHAnsi" w:hAnsiTheme="minorHAnsi" w:cstheme="minorHAnsi"/>
          <w:bCs/>
          <w:color w:val="000000" w:themeColor="text1"/>
        </w:rPr>
        <w:t>,</w:t>
      </w:r>
    </w:p>
    <w:p w14:paraId="72550B46" w14:textId="77777777" w:rsidR="00D03CE3" w:rsidRPr="00D03CE3" w:rsidRDefault="00D03CE3" w:rsidP="00D03CE3">
      <w:pPr>
        <w:numPr>
          <w:ilvl w:val="0"/>
          <w:numId w:val="36"/>
        </w:numPr>
        <w:spacing w:after="120"/>
        <w:jc w:val="both"/>
        <w:rPr>
          <w:rFonts w:asciiTheme="minorHAnsi" w:hAnsiTheme="minorHAnsi" w:cstheme="minorHAnsi"/>
          <w:b/>
          <w:bCs/>
          <w:color w:val="000000" w:themeColor="text1"/>
        </w:rPr>
      </w:pPr>
      <w:proofErr w:type="spellStart"/>
      <w:proofErr w:type="gramStart"/>
      <w:r w:rsidRPr="00D03CE3">
        <w:rPr>
          <w:rFonts w:asciiTheme="minorHAnsi" w:hAnsiTheme="minorHAnsi" w:cstheme="minorHAnsi"/>
          <w:bCs/>
          <w:color w:val="000000" w:themeColor="text1"/>
        </w:rPr>
        <w:t>podpora</w:t>
      </w:r>
      <w:proofErr w:type="spellEnd"/>
      <w:proofErr w:type="gram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patentov</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cez</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viacročné</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obdobie</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po</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ich</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získaní</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lebo</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ich</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dotačná</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cena</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poklesla</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na</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cca</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desatinu</w:t>
      </w:r>
      <w:proofErr w:type="spellEnd"/>
      <w:r w:rsidRPr="00D03CE3">
        <w:rPr>
          <w:rFonts w:asciiTheme="minorHAnsi" w:hAnsiTheme="minorHAnsi" w:cstheme="minorHAnsi"/>
          <w:bCs/>
          <w:color w:val="000000" w:themeColor="text1"/>
        </w:rPr>
        <w:t xml:space="preserve"> </w:t>
      </w:r>
      <w:proofErr w:type="spellStart"/>
      <w:r w:rsidRPr="00D03CE3">
        <w:rPr>
          <w:rFonts w:asciiTheme="minorHAnsi" w:hAnsiTheme="minorHAnsi" w:cstheme="minorHAnsi"/>
          <w:bCs/>
          <w:color w:val="000000" w:themeColor="text1"/>
        </w:rPr>
        <w:t>karentu</w:t>
      </w:r>
      <w:proofErr w:type="spellEnd"/>
      <w:r w:rsidRPr="00D03CE3">
        <w:rPr>
          <w:rFonts w:asciiTheme="minorHAnsi" w:hAnsiTheme="minorHAnsi" w:cstheme="minorHAnsi"/>
          <w:bCs/>
          <w:color w:val="000000" w:themeColor="text1"/>
        </w:rPr>
        <w:t xml:space="preserve"> v Q1.</w:t>
      </w:r>
    </w:p>
    <w:p w14:paraId="439E6196" w14:textId="77777777" w:rsidR="00D03CE3" w:rsidRPr="00D03CE3" w:rsidRDefault="00D03CE3" w:rsidP="00D03CE3">
      <w:pPr>
        <w:numPr>
          <w:ilvl w:val="0"/>
          <w:numId w:val="36"/>
        </w:numPr>
        <w:spacing w:after="120"/>
        <w:jc w:val="both"/>
        <w:rPr>
          <w:rFonts w:asciiTheme="minorHAnsi" w:hAnsiTheme="minorHAnsi" w:cstheme="minorHAnsi"/>
          <w:b/>
          <w:color w:val="000000" w:themeColor="text1"/>
        </w:rPr>
      </w:pPr>
      <w:proofErr w:type="spellStart"/>
      <w:r w:rsidRPr="00D03CE3">
        <w:rPr>
          <w:rFonts w:asciiTheme="minorHAnsi" w:hAnsiTheme="minorHAnsi" w:cstheme="minorHAnsi"/>
          <w:color w:val="000000" w:themeColor="text1"/>
        </w:rPr>
        <w:t>motivačná</w:t>
      </w:r>
      <w:proofErr w:type="spellEnd"/>
      <w:r w:rsidRPr="00D03CE3">
        <w:rPr>
          <w:rFonts w:asciiTheme="minorHAnsi" w:hAnsiTheme="minorHAnsi" w:cstheme="minorHAnsi"/>
          <w:color w:val="000000" w:themeColor="text1"/>
        </w:rPr>
        <w:t xml:space="preserve"> </w:t>
      </w:r>
      <w:proofErr w:type="spellStart"/>
      <w:r w:rsidRPr="00D03CE3">
        <w:rPr>
          <w:rFonts w:asciiTheme="minorHAnsi" w:hAnsiTheme="minorHAnsi" w:cstheme="minorHAnsi"/>
          <w:color w:val="000000" w:themeColor="text1"/>
        </w:rPr>
        <w:t>podpora</w:t>
      </w:r>
      <w:proofErr w:type="spellEnd"/>
      <w:r w:rsidRPr="00D03CE3">
        <w:rPr>
          <w:rFonts w:asciiTheme="minorHAnsi" w:hAnsiTheme="minorHAnsi" w:cstheme="minorHAnsi"/>
          <w:color w:val="000000" w:themeColor="text1"/>
        </w:rPr>
        <w:t xml:space="preserve"> </w:t>
      </w:r>
      <w:proofErr w:type="spellStart"/>
      <w:r w:rsidRPr="00D03CE3">
        <w:rPr>
          <w:rFonts w:asciiTheme="minorHAnsi" w:hAnsiTheme="minorHAnsi" w:cstheme="minorHAnsi"/>
          <w:color w:val="000000" w:themeColor="text1"/>
        </w:rPr>
        <w:t>získavania</w:t>
      </w:r>
      <w:proofErr w:type="spellEnd"/>
      <w:r w:rsidRPr="00D03CE3">
        <w:rPr>
          <w:rFonts w:asciiTheme="minorHAnsi" w:hAnsiTheme="minorHAnsi" w:cstheme="minorHAnsi"/>
          <w:color w:val="000000" w:themeColor="text1"/>
        </w:rPr>
        <w:t xml:space="preserve"> </w:t>
      </w:r>
      <w:proofErr w:type="spellStart"/>
      <w:r w:rsidRPr="00D03CE3">
        <w:rPr>
          <w:rFonts w:asciiTheme="minorHAnsi" w:hAnsiTheme="minorHAnsi" w:cstheme="minorHAnsi"/>
          <w:color w:val="000000" w:themeColor="text1"/>
        </w:rPr>
        <w:t>výskumných</w:t>
      </w:r>
      <w:proofErr w:type="spellEnd"/>
      <w:r w:rsidRPr="00D03CE3">
        <w:rPr>
          <w:rFonts w:asciiTheme="minorHAnsi" w:hAnsiTheme="minorHAnsi" w:cstheme="minorHAnsi"/>
          <w:color w:val="000000" w:themeColor="text1"/>
        </w:rPr>
        <w:t xml:space="preserve"> </w:t>
      </w:r>
      <w:proofErr w:type="spellStart"/>
      <w:r w:rsidRPr="00D03CE3">
        <w:rPr>
          <w:rFonts w:asciiTheme="minorHAnsi" w:hAnsiTheme="minorHAnsi" w:cstheme="minorHAnsi"/>
          <w:color w:val="000000" w:themeColor="text1"/>
        </w:rPr>
        <w:t>úloh</w:t>
      </w:r>
      <w:proofErr w:type="spellEnd"/>
      <w:r w:rsidRPr="00D03CE3">
        <w:rPr>
          <w:rFonts w:asciiTheme="minorHAnsi" w:hAnsiTheme="minorHAnsi" w:cstheme="minorHAnsi"/>
          <w:color w:val="000000" w:themeColor="text1"/>
        </w:rPr>
        <w:t xml:space="preserve"> z </w:t>
      </w:r>
      <w:proofErr w:type="spellStart"/>
      <w:r w:rsidRPr="00D03CE3">
        <w:rPr>
          <w:rFonts w:asciiTheme="minorHAnsi" w:hAnsiTheme="minorHAnsi" w:cstheme="minorHAnsi"/>
          <w:color w:val="000000" w:themeColor="text1"/>
        </w:rPr>
        <w:t>praxe</w:t>
      </w:r>
      <w:proofErr w:type="spellEnd"/>
      <w:r w:rsidRPr="00D03CE3">
        <w:rPr>
          <w:rFonts w:asciiTheme="minorHAnsi" w:hAnsiTheme="minorHAnsi" w:cstheme="minorHAnsi"/>
          <w:color w:val="000000" w:themeColor="text1"/>
        </w:rPr>
        <w:t>,</w:t>
      </w:r>
    </w:p>
    <w:p w14:paraId="2E127EC0" w14:textId="77777777" w:rsidR="00D03CE3" w:rsidRPr="00D03CE3" w:rsidRDefault="00D03CE3" w:rsidP="00D03CE3">
      <w:pPr>
        <w:numPr>
          <w:ilvl w:val="0"/>
          <w:numId w:val="36"/>
        </w:numPr>
        <w:spacing w:after="120"/>
        <w:jc w:val="both"/>
        <w:rPr>
          <w:rFonts w:asciiTheme="minorHAnsi" w:hAnsiTheme="minorHAnsi" w:cstheme="minorHAnsi"/>
          <w:b/>
          <w:color w:val="000000" w:themeColor="text1"/>
        </w:rPr>
      </w:pPr>
      <w:proofErr w:type="gramStart"/>
      <w:r w:rsidRPr="00D03CE3">
        <w:rPr>
          <w:rFonts w:asciiTheme="minorHAnsi" w:hAnsiTheme="minorHAnsi" w:cstheme="minorHAnsi"/>
          <w:color w:val="000000" w:themeColor="text1"/>
        </w:rPr>
        <w:t>a</w:t>
      </w:r>
      <w:proofErr w:type="gramEnd"/>
      <w:r w:rsidRPr="00D03CE3">
        <w:rPr>
          <w:rFonts w:asciiTheme="minorHAnsi" w:hAnsiTheme="minorHAnsi" w:cstheme="minorHAnsi"/>
          <w:color w:val="000000" w:themeColor="text1"/>
        </w:rPr>
        <w:t xml:space="preserve"> pod. </w:t>
      </w:r>
    </w:p>
    <w:p w14:paraId="16955BA0" w14:textId="77777777" w:rsidR="00D03CE3" w:rsidRPr="00D03CE3" w:rsidRDefault="00D03CE3" w:rsidP="00D03CE3">
      <w:pPr>
        <w:ind w:firstLine="360"/>
        <w:jc w:val="both"/>
        <w:rPr>
          <w:rFonts w:asciiTheme="minorHAnsi" w:hAnsiTheme="minorHAnsi"/>
          <w:lang w:val="sk-SK"/>
        </w:rPr>
      </w:pPr>
      <w:r w:rsidRPr="00D03CE3">
        <w:rPr>
          <w:rFonts w:asciiTheme="minorHAnsi" w:hAnsiTheme="minorHAnsi" w:cstheme="minorHAnsi"/>
          <w:lang w:val="sk-SK"/>
        </w:rPr>
        <w:t xml:space="preserve">Vzhľadom na rozpornosť okrajových podmienok hodnotenia nie je ľahké (alebo dokonca možné) očakávať, že sa dá nastaviť systém hodnotenia konzistentne s budúcimi kritériami. Navrhujeme, takú štrukturálnu zmenu systému, ktorá by nezasahovala výraznejšie do súčasných pomerov hodnotenia výkonov (a tým aj do tradície súčasných </w:t>
      </w:r>
      <w:proofErr w:type="spellStart"/>
      <w:r w:rsidRPr="00D03CE3">
        <w:rPr>
          <w:rFonts w:asciiTheme="minorHAnsi" w:hAnsiTheme="minorHAnsi" w:cstheme="minorHAnsi"/>
          <w:lang w:val="sk-SK"/>
        </w:rPr>
        <w:t>vnútro-univerzitných</w:t>
      </w:r>
      <w:proofErr w:type="spellEnd"/>
      <w:r w:rsidRPr="00D03CE3">
        <w:rPr>
          <w:rFonts w:asciiTheme="minorHAnsi" w:hAnsiTheme="minorHAnsi" w:cstheme="minorHAnsi"/>
          <w:lang w:val="sk-SK"/>
        </w:rPr>
        <w:t xml:space="preserve"> hodnotení výkonov a rozdeľovaní prostriedkov), ale odstránili, resp. znížili by sa riziká únikov do slabšie hodnotených výstupov a zvýšila motivácia tvorby potrebných výstupov. Voľba cesty k novému systému sa teda navrhuje prebudovaním súčasného systému, a nie jeho úplnou zmenou. </w:t>
      </w:r>
    </w:p>
    <w:p w14:paraId="7AE8D4B9" w14:textId="77777777" w:rsidR="00D03CE3" w:rsidRPr="00D03CE3" w:rsidRDefault="00D03CE3" w:rsidP="00D03CE3">
      <w:pPr>
        <w:spacing w:after="120"/>
        <w:ind w:left="360"/>
        <w:jc w:val="both"/>
        <w:rPr>
          <w:rFonts w:asciiTheme="minorHAnsi" w:hAnsiTheme="minorHAnsi" w:cstheme="minorHAnsi"/>
          <w:b/>
          <w:bCs/>
          <w:color w:val="000000" w:themeColor="text1"/>
          <w:lang w:val="sk-SK"/>
        </w:rPr>
      </w:pPr>
    </w:p>
    <w:p w14:paraId="5135C7F9" w14:textId="77777777" w:rsidR="00D03CE3" w:rsidRPr="00D03CE3" w:rsidRDefault="00D03CE3" w:rsidP="00D03CE3">
      <w:pPr>
        <w:spacing w:after="120"/>
        <w:ind w:left="360"/>
        <w:jc w:val="both"/>
        <w:rPr>
          <w:rFonts w:asciiTheme="minorHAnsi" w:hAnsiTheme="minorHAnsi" w:cstheme="minorHAnsi"/>
          <w:b/>
          <w:bCs/>
          <w:color w:val="000000" w:themeColor="text1"/>
          <w:lang w:val="sk-SK"/>
        </w:rPr>
      </w:pPr>
    </w:p>
    <w:p w14:paraId="17458496" w14:textId="77777777" w:rsidR="00D03CE3" w:rsidRPr="00D03CE3" w:rsidRDefault="00D03CE3" w:rsidP="00D03CE3">
      <w:pPr>
        <w:jc w:val="both"/>
        <w:rPr>
          <w:rFonts w:asciiTheme="minorHAnsi" w:hAnsiTheme="minorHAnsi" w:cstheme="minorHAnsi"/>
          <w:b/>
          <w:bCs/>
          <w:lang w:val="sk-SK"/>
        </w:rPr>
      </w:pPr>
      <w:r w:rsidRPr="00D03CE3">
        <w:rPr>
          <w:rFonts w:asciiTheme="minorHAnsi" w:hAnsiTheme="minorHAnsi" w:cstheme="minorHAnsi"/>
          <w:b/>
          <w:bCs/>
          <w:lang w:val="sk-SK"/>
        </w:rPr>
        <w:t>Prílohy</w:t>
      </w:r>
    </w:p>
    <w:p w14:paraId="60FC1BE6" w14:textId="77777777" w:rsidR="00D03CE3" w:rsidRPr="00D03CE3" w:rsidRDefault="00D03CE3" w:rsidP="00D03CE3">
      <w:pPr>
        <w:rPr>
          <w:rFonts w:asciiTheme="minorHAnsi" w:hAnsiTheme="minorHAnsi" w:cstheme="minorHAnsi"/>
          <w:lang w:val="sk-SK"/>
        </w:rPr>
      </w:pPr>
      <w:r w:rsidRPr="00D03CE3">
        <w:rPr>
          <w:rFonts w:asciiTheme="minorHAnsi" w:hAnsiTheme="minorHAnsi" w:cstheme="minorHAnsi"/>
          <w:lang w:val="sk-SK"/>
        </w:rPr>
        <w:t xml:space="preserve">POROVNANIE PREPOČÍTANEJ </w:t>
      </w:r>
      <w:proofErr w:type="spellStart"/>
      <w:r w:rsidRPr="00D03CE3">
        <w:rPr>
          <w:rFonts w:asciiTheme="minorHAnsi" w:hAnsiTheme="minorHAnsi" w:cstheme="minorHAnsi"/>
          <w:lang w:val="sk-SK"/>
        </w:rPr>
        <w:t>VÝKONNOSTI.docx</w:t>
      </w:r>
      <w:proofErr w:type="spellEnd"/>
    </w:p>
    <w:p w14:paraId="42C7233E" w14:textId="77777777" w:rsidR="00D03CE3" w:rsidRPr="00D03CE3" w:rsidRDefault="00D03CE3" w:rsidP="00D03CE3">
      <w:pPr>
        <w:rPr>
          <w:rFonts w:asciiTheme="minorHAnsi" w:hAnsiTheme="minorHAnsi" w:cstheme="minorHAnsi"/>
          <w:lang w:val="sk-SK"/>
        </w:rPr>
      </w:pPr>
      <w:r w:rsidRPr="00D03CE3">
        <w:rPr>
          <w:rFonts w:asciiTheme="minorHAnsi" w:hAnsiTheme="minorHAnsi" w:cstheme="minorHAnsi"/>
          <w:lang w:val="sk-SK"/>
        </w:rPr>
        <w:t xml:space="preserve">POROVNANIE CELKOVEJ </w:t>
      </w:r>
      <w:proofErr w:type="spellStart"/>
      <w:r w:rsidRPr="00D03CE3">
        <w:rPr>
          <w:rFonts w:asciiTheme="minorHAnsi" w:hAnsiTheme="minorHAnsi" w:cstheme="minorHAnsi"/>
          <w:lang w:val="sk-SK"/>
        </w:rPr>
        <w:t>VÝKONNOSTI.docx</w:t>
      </w:r>
      <w:proofErr w:type="spellEnd"/>
    </w:p>
    <w:p w14:paraId="6C9FCF72" w14:textId="77777777" w:rsidR="00D03CE3" w:rsidRPr="00D03CE3" w:rsidRDefault="00D03CE3" w:rsidP="00D03CE3">
      <w:pPr>
        <w:rPr>
          <w:rFonts w:asciiTheme="minorHAnsi" w:hAnsiTheme="minorHAnsi" w:cstheme="minorHAnsi"/>
          <w:lang w:val="sk-SK"/>
        </w:rPr>
      </w:pPr>
      <w:r w:rsidRPr="00D03CE3">
        <w:rPr>
          <w:rFonts w:asciiTheme="minorHAnsi" w:hAnsiTheme="minorHAnsi" w:cstheme="minorHAnsi"/>
          <w:lang w:val="sk-SK"/>
        </w:rPr>
        <w:t xml:space="preserve">VÝBER ZO SPRÁVY </w:t>
      </w:r>
      <w:proofErr w:type="spellStart"/>
      <w:r w:rsidRPr="00D03CE3">
        <w:rPr>
          <w:rFonts w:asciiTheme="minorHAnsi" w:hAnsiTheme="minorHAnsi" w:cstheme="minorHAnsi"/>
          <w:lang w:val="sk-SK"/>
        </w:rPr>
        <w:t>STU.docx</w:t>
      </w:r>
      <w:proofErr w:type="spellEnd"/>
    </w:p>
    <w:p w14:paraId="49E64505" w14:textId="77777777" w:rsidR="00D03CE3" w:rsidRPr="00D03CE3" w:rsidRDefault="00D03CE3" w:rsidP="00D03CE3">
      <w:pPr>
        <w:rPr>
          <w:rFonts w:asciiTheme="minorHAnsi" w:hAnsiTheme="minorHAnsi" w:cstheme="minorHAnsi"/>
          <w:lang w:val="sk-SK"/>
        </w:rPr>
      </w:pPr>
      <w:r w:rsidRPr="00D03CE3">
        <w:rPr>
          <w:rFonts w:asciiTheme="minorHAnsi" w:hAnsiTheme="minorHAnsi" w:cstheme="minorHAnsi"/>
          <w:lang w:val="sk-SK"/>
        </w:rPr>
        <w:t xml:space="preserve">VÝBER Z ANALÝZY </w:t>
      </w:r>
      <w:proofErr w:type="spellStart"/>
      <w:r w:rsidRPr="00D03CE3">
        <w:rPr>
          <w:rFonts w:asciiTheme="minorHAnsi" w:hAnsiTheme="minorHAnsi" w:cstheme="minorHAnsi"/>
          <w:lang w:val="sk-SK"/>
        </w:rPr>
        <w:t>SAV.pdf</w:t>
      </w:r>
      <w:proofErr w:type="spellEnd"/>
      <w:r w:rsidRPr="00D03CE3">
        <w:rPr>
          <w:rFonts w:asciiTheme="minorHAnsi" w:hAnsiTheme="minorHAnsi" w:cstheme="minorHAnsi"/>
          <w:lang w:val="sk-SK"/>
        </w:rPr>
        <w:t xml:space="preserve"> </w:t>
      </w:r>
    </w:p>
    <w:p w14:paraId="21F2AD5B" w14:textId="77777777" w:rsidR="00D03CE3" w:rsidRPr="00D03CE3" w:rsidRDefault="00D03CE3" w:rsidP="00D03CE3">
      <w:pPr>
        <w:rPr>
          <w:rFonts w:asciiTheme="minorHAnsi" w:hAnsiTheme="minorHAnsi" w:cstheme="minorHAnsi"/>
          <w:lang w:val="sk-SK"/>
        </w:rPr>
      </w:pPr>
      <w:r w:rsidRPr="00D03CE3">
        <w:rPr>
          <w:rFonts w:asciiTheme="minorHAnsi" w:hAnsiTheme="minorHAnsi" w:cstheme="minorHAnsi"/>
          <w:lang w:val="sk-SK"/>
        </w:rPr>
        <w:t xml:space="preserve">VÝBER Z QS </w:t>
      </w:r>
      <w:proofErr w:type="spellStart"/>
      <w:r w:rsidRPr="00D03CE3">
        <w:rPr>
          <w:rFonts w:asciiTheme="minorHAnsi" w:hAnsiTheme="minorHAnsi" w:cstheme="minorHAnsi"/>
          <w:lang w:val="sk-SK"/>
        </w:rPr>
        <w:t>RANKINGU.pdf</w:t>
      </w:r>
      <w:proofErr w:type="spellEnd"/>
    </w:p>
    <w:p w14:paraId="75F13C0B" w14:textId="77777777" w:rsidR="00D03CE3" w:rsidRPr="00D03CE3" w:rsidRDefault="00D03CE3" w:rsidP="00D03CE3">
      <w:pPr>
        <w:spacing w:after="120"/>
        <w:rPr>
          <w:rFonts w:asciiTheme="minorHAnsi" w:hAnsiTheme="minorHAnsi" w:cstheme="minorHAnsi"/>
          <w:b/>
          <w:bCs/>
          <w:color w:val="000000" w:themeColor="text1"/>
          <w:lang w:val="sk-SK"/>
        </w:rPr>
      </w:pPr>
      <w:r w:rsidRPr="00D03CE3">
        <w:rPr>
          <w:rFonts w:asciiTheme="minorHAnsi" w:hAnsiTheme="minorHAnsi" w:cstheme="minorHAnsi"/>
          <w:bCs/>
          <w:color w:val="000000" w:themeColor="text1"/>
          <w:lang w:val="sk-SK"/>
        </w:rPr>
        <w:t>Z_PREZENTACIE_JURKOVIC_KLUB_DEKANOV_20181025.DOCX</w:t>
      </w:r>
    </w:p>
    <w:p w14:paraId="429976D8" w14:textId="77777777" w:rsidR="00D03CE3" w:rsidRPr="00D03CE3" w:rsidRDefault="00D03CE3" w:rsidP="00D03CE3">
      <w:pPr>
        <w:spacing w:after="120"/>
        <w:rPr>
          <w:rFonts w:asciiTheme="minorHAnsi" w:hAnsiTheme="minorHAnsi" w:cstheme="minorHAnsi"/>
          <w:b/>
          <w:bCs/>
          <w:color w:val="000000" w:themeColor="text1"/>
        </w:rPr>
      </w:pPr>
      <w:r w:rsidRPr="00D03CE3">
        <w:rPr>
          <w:rFonts w:asciiTheme="minorHAnsi" w:hAnsiTheme="minorHAnsi" w:cstheme="minorHAnsi"/>
          <w:bCs/>
          <w:color w:val="000000" w:themeColor="text1"/>
        </w:rPr>
        <w:t>CREPC_SUMAR14_18_PUBLIKACIE_UNIVERZIT.PDF</w:t>
      </w:r>
    </w:p>
    <w:p w14:paraId="20F55369" w14:textId="3B969244" w:rsidR="003772DF" w:rsidRPr="00D03CE3" w:rsidRDefault="003772DF" w:rsidP="00D03CE3">
      <w:pPr>
        <w:jc w:val="both"/>
        <w:rPr>
          <w:rFonts w:asciiTheme="minorHAnsi" w:hAnsiTheme="minorHAnsi"/>
        </w:rPr>
      </w:pPr>
    </w:p>
    <w:sectPr w:rsidR="003772DF" w:rsidRPr="00D03CE3" w:rsidSect="00E24A42">
      <w:headerReference w:type="default" r:id="rId9"/>
      <w:footerReference w:type="default" r:id="rId10"/>
      <w:headerReference w:type="first" r:id="rId11"/>
      <w:pgSz w:w="11906" w:h="16838"/>
      <w:pgMar w:top="212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F47D6" w14:textId="77777777" w:rsidR="005F203B" w:rsidRDefault="005F203B" w:rsidP="0030006A">
      <w:r>
        <w:separator/>
      </w:r>
    </w:p>
  </w:endnote>
  <w:endnote w:type="continuationSeparator" w:id="0">
    <w:p w14:paraId="1C471302" w14:textId="77777777" w:rsidR="005F203B" w:rsidRDefault="005F203B"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8A6C" w14:textId="3B937A63" w:rsidR="000416CA" w:rsidRPr="00D07F22" w:rsidRDefault="000416CA">
    <w:pPr>
      <w:pStyle w:val="Pta"/>
      <w:jc w:val="center"/>
      <w:rPr>
        <w:rFonts w:ascii="Calibri" w:hAnsi="Calibri"/>
      </w:rPr>
    </w:pPr>
    <w:r w:rsidRPr="00D07F22">
      <w:rPr>
        <w:rFonts w:ascii="Calibri" w:hAnsi="Calibri"/>
      </w:rPr>
      <w:fldChar w:fldCharType="begin"/>
    </w:r>
    <w:r w:rsidRPr="00D07F22">
      <w:rPr>
        <w:rFonts w:ascii="Calibri" w:hAnsi="Calibri"/>
      </w:rPr>
      <w:instrText>PAGE   \* MERGEFORMAT</w:instrText>
    </w:r>
    <w:r w:rsidRPr="00D07F22">
      <w:rPr>
        <w:rFonts w:ascii="Calibri" w:hAnsi="Calibri"/>
      </w:rPr>
      <w:fldChar w:fldCharType="separate"/>
    </w:r>
    <w:r w:rsidR="00433FCF">
      <w:rPr>
        <w:rFonts w:ascii="Calibri" w:hAnsi="Calibri"/>
        <w:noProof/>
      </w:rPr>
      <w:t>2</w:t>
    </w:r>
    <w:r w:rsidRPr="00D07F22">
      <w:rPr>
        <w:rFonts w:ascii="Calibri" w:hAnsi="Calibri"/>
      </w:rPr>
      <w:fldChar w:fldCharType="end"/>
    </w:r>
  </w:p>
  <w:p w14:paraId="48E62335" w14:textId="77777777" w:rsidR="000416CA" w:rsidRDefault="000416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B9828" w14:textId="77777777" w:rsidR="005F203B" w:rsidRDefault="005F203B" w:rsidP="0030006A">
      <w:r>
        <w:separator/>
      </w:r>
    </w:p>
  </w:footnote>
  <w:footnote w:type="continuationSeparator" w:id="0">
    <w:p w14:paraId="5C0F1B48" w14:textId="77777777" w:rsidR="005F203B" w:rsidRDefault="005F203B" w:rsidP="0030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4D6E" w14:textId="77777777" w:rsidR="000416CA" w:rsidRDefault="000416CA" w:rsidP="005D1691">
    <w:pPr>
      <w:pStyle w:val="Hlavika"/>
      <w:ind w:hanging="1134"/>
    </w:pPr>
    <w:r>
      <w:rPr>
        <w:noProof/>
        <w:lang w:val="sk-SK" w:eastAsia="sk-SK"/>
      </w:rPr>
      <mc:AlternateContent>
        <mc:Choice Requires="wps">
          <w:drawing>
            <wp:anchor distT="0" distB="0" distL="114300" distR="114300" simplePos="0" relativeHeight="251658240" behindDoc="0" locked="0" layoutInCell="1" allowOverlap="1" wp14:anchorId="4A0C586B" wp14:editId="1579AC4A">
              <wp:simplePos x="0" y="0"/>
              <wp:positionH relativeFrom="column">
                <wp:posOffset>1386205</wp:posOffset>
              </wp:positionH>
              <wp:positionV relativeFrom="paragraph">
                <wp:posOffset>-74930</wp:posOffset>
              </wp:positionV>
              <wp:extent cx="4452620" cy="723900"/>
              <wp:effectExtent l="0" t="0" r="0" b="0"/>
              <wp:wrapNone/>
              <wp:docPr id="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723900"/>
                      </a:xfrm>
                      <a:prstGeom prst="rect">
                        <a:avLst/>
                      </a:prstGeom>
                      <a:noFill/>
                      <a:ln w="9525">
                        <a:noFill/>
                        <a:miter lim="800000"/>
                        <a:headEnd/>
                        <a:tailEnd/>
                      </a:ln>
                    </wps:spPr>
                    <wps:txbx>
                      <w:txbxContent>
                        <w:p w14:paraId="04A7408F" w14:textId="77777777" w:rsidR="000416CA" w:rsidRDefault="000416CA" w:rsidP="00D04DEB">
                          <w:pPr>
                            <w:jc w:val="right"/>
                            <w:rPr>
                              <w:rFonts w:ascii="Calibri" w:hAnsi="Calibri"/>
                              <w:sz w:val="16"/>
                              <w:szCs w:val="16"/>
                              <w:lang w:val="sk-SK"/>
                            </w:rPr>
                          </w:pPr>
                        </w:p>
                        <w:p w14:paraId="1F645810" w14:textId="0A4BEA78" w:rsidR="000416CA" w:rsidRPr="00D04DEB" w:rsidRDefault="001A3384" w:rsidP="00D04DEB">
                          <w:pPr>
                            <w:jc w:val="right"/>
                            <w:rPr>
                              <w:rFonts w:ascii="Calibri" w:hAnsi="Calibri"/>
                              <w:sz w:val="16"/>
                              <w:szCs w:val="16"/>
                              <w:lang w:val="sk-SK"/>
                            </w:rPr>
                          </w:pPr>
                          <w:r>
                            <w:rPr>
                              <w:rFonts w:ascii="Calibri" w:hAnsi="Calibri"/>
                              <w:sz w:val="16"/>
                              <w:szCs w:val="16"/>
                              <w:lang w:val="sk-SK"/>
                            </w:rPr>
                            <w:t>13</w:t>
                          </w:r>
                          <w:r w:rsidR="003772DF">
                            <w:rPr>
                              <w:rFonts w:ascii="Calibri" w:hAnsi="Calibri"/>
                              <w:sz w:val="16"/>
                              <w:szCs w:val="16"/>
                              <w:lang w:val="sk-SK"/>
                            </w:rPr>
                            <w:t>. zasadnutie V</w:t>
                          </w:r>
                          <w:r w:rsidR="000416CA">
                            <w:rPr>
                              <w:rFonts w:ascii="Calibri" w:hAnsi="Calibri"/>
                              <w:sz w:val="16"/>
                              <w:szCs w:val="16"/>
                              <w:lang w:val="sk-SK"/>
                            </w:rPr>
                            <w:t xml:space="preserve"> STU</w:t>
                          </w:r>
                          <w:r w:rsidR="000416CA" w:rsidRPr="00D04DEB">
                            <w:rPr>
                              <w:rFonts w:ascii="Calibri" w:hAnsi="Calibri"/>
                              <w:sz w:val="16"/>
                              <w:szCs w:val="16"/>
                              <w:lang w:val="sk-SK"/>
                            </w:rPr>
                            <w:t xml:space="preserve">, </w:t>
                          </w:r>
                          <w:r>
                            <w:rPr>
                              <w:rFonts w:ascii="Calibri" w:hAnsi="Calibri"/>
                              <w:sz w:val="16"/>
                              <w:szCs w:val="16"/>
                              <w:lang w:val="sk-SK"/>
                            </w:rPr>
                            <w:t>03</w:t>
                          </w:r>
                          <w:r w:rsidR="003772DF">
                            <w:rPr>
                              <w:rFonts w:ascii="Calibri" w:hAnsi="Calibri"/>
                              <w:sz w:val="16"/>
                              <w:szCs w:val="16"/>
                              <w:lang w:val="sk-SK"/>
                            </w:rPr>
                            <w:t>.0</w:t>
                          </w:r>
                          <w:r>
                            <w:rPr>
                              <w:rFonts w:ascii="Calibri" w:hAnsi="Calibri"/>
                              <w:sz w:val="16"/>
                              <w:szCs w:val="16"/>
                              <w:lang w:val="sk-SK"/>
                            </w:rPr>
                            <w:t>7</w:t>
                          </w:r>
                          <w:r w:rsidR="000416CA">
                            <w:rPr>
                              <w:rFonts w:ascii="Calibri" w:hAnsi="Calibri"/>
                              <w:sz w:val="16"/>
                              <w:szCs w:val="16"/>
                              <w:lang w:val="sk-SK"/>
                            </w:rPr>
                            <w:t>.</w:t>
                          </w:r>
                          <w:r w:rsidR="000416CA" w:rsidRPr="00D04DEB">
                            <w:rPr>
                              <w:rFonts w:ascii="Calibri" w:hAnsi="Calibri"/>
                              <w:sz w:val="16"/>
                              <w:szCs w:val="16"/>
                              <w:lang w:val="sk-SK"/>
                            </w:rPr>
                            <w:t>201</w:t>
                          </w:r>
                          <w:r w:rsidR="000416CA">
                            <w:rPr>
                              <w:rFonts w:ascii="Calibri" w:hAnsi="Calibri"/>
                              <w:sz w:val="16"/>
                              <w:szCs w:val="16"/>
                              <w:lang w:val="sk-SK"/>
                            </w:rPr>
                            <w:t>9</w:t>
                          </w:r>
                        </w:p>
                        <w:p w14:paraId="43104258" w14:textId="77777777" w:rsidR="00D03CE3" w:rsidRDefault="00D03CE3" w:rsidP="005F0EB0">
                          <w:pPr>
                            <w:jc w:val="right"/>
                            <w:rPr>
                              <w:rFonts w:ascii="Calibri" w:hAnsi="Calibri"/>
                              <w:sz w:val="16"/>
                              <w:szCs w:val="16"/>
                              <w:lang w:val="sk-SK"/>
                            </w:rPr>
                          </w:pPr>
                          <w:r w:rsidRPr="00D03CE3">
                            <w:rPr>
                              <w:rFonts w:ascii="Calibri" w:hAnsi="Calibri"/>
                              <w:sz w:val="16"/>
                              <w:szCs w:val="16"/>
                              <w:lang w:val="sk-SK"/>
                            </w:rPr>
                            <w:t xml:space="preserve">Diskusia k novému modelu rozdeľovania </w:t>
                          </w:r>
                          <w:proofErr w:type="spellStart"/>
                          <w:r w:rsidRPr="00D03CE3">
                            <w:rPr>
                              <w:rFonts w:ascii="Calibri" w:hAnsi="Calibri"/>
                              <w:sz w:val="16"/>
                              <w:szCs w:val="16"/>
                              <w:lang w:val="sk-SK"/>
                            </w:rPr>
                            <w:t>VaV</w:t>
                          </w:r>
                          <w:proofErr w:type="spellEnd"/>
                          <w:r w:rsidRPr="00D03CE3">
                            <w:rPr>
                              <w:rFonts w:ascii="Calibri" w:hAnsi="Calibri"/>
                              <w:sz w:val="16"/>
                              <w:szCs w:val="16"/>
                              <w:lang w:val="sk-SK"/>
                            </w:rPr>
                            <w:t xml:space="preserve"> dotácie medzi súčasti STU – verzia 1, 1. 7. 2019</w:t>
                          </w:r>
                          <w:r w:rsidR="005D6906">
                            <w:rPr>
                              <w:rFonts w:ascii="Calibri" w:hAnsi="Calibri"/>
                              <w:sz w:val="16"/>
                              <w:szCs w:val="16"/>
                              <w:lang w:val="sk-SK"/>
                            </w:rPr>
                            <w:t xml:space="preserve">   </w:t>
                          </w:r>
                        </w:p>
                        <w:p w14:paraId="1083D020" w14:textId="61CDEF6D" w:rsidR="000416CA" w:rsidRPr="007F06E7" w:rsidRDefault="005F0EB0" w:rsidP="005F0EB0">
                          <w:pPr>
                            <w:jc w:val="right"/>
                            <w:rPr>
                              <w:rFonts w:ascii="Calibri" w:hAnsi="Calibri"/>
                              <w:sz w:val="16"/>
                              <w:szCs w:val="16"/>
                              <w:lang w:val="sk-SK"/>
                            </w:rPr>
                          </w:pPr>
                          <w:r w:rsidRPr="005F0EB0">
                            <w:rPr>
                              <w:rFonts w:ascii="Calibri" w:hAnsi="Calibri"/>
                              <w:sz w:val="16"/>
                              <w:szCs w:val="16"/>
                              <w:lang w:val="sk-SK"/>
                            </w:rPr>
                            <w:t xml:space="preserve">prof. Ing. </w:t>
                          </w:r>
                          <w:r w:rsidR="003772DF">
                            <w:rPr>
                              <w:rFonts w:ascii="Calibri" w:hAnsi="Calibri"/>
                              <w:sz w:val="16"/>
                              <w:szCs w:val="16"/>
                              <w:lang w:val="sk-SK"/>
                            </w:rPr>
                            <w:t>Ján Szolgay</w:t>
                          </w:r>
                          <w:r w:rsidRPr="005F0EB0">
                            <w:rPr>
                              <w:rFonts w:ascii="Calibri" w:hAnsi="Calibri"/>
                              <w:sz w:val="16"/>
                              <w:szCs w:val="16"/>
                              <w:lang w:val="sk-SK"/>
                            </w:rPr>
                            <w:t xml:space="preserve">, </w:t>
                          </w:r>
                          <w:r w:rsidR="003772DF">
                            <w:rPr>
                              <w:rFonts w:ascii="Calibri" w:hAnsi="Calibri"/>
                              <w:sz w:val="16"/>
                              <w:szCs w:val="16"/>
                              <w:lang w:val="sk-SK"/>
                            </w:rPr>
                            <w:t>PhD</w:t>
                          </w:r>
                          <w:r w:rsidRPr="005F0EB0">
                            <w:rPr>
                              <w:rFonts w:ascii="Calibri" w:hAnsi="Calibri"/>
                              <w:color w:val="FF0000"/>
                              <w:sz w:val="16"/>
                              <w:szCs w:val="16"/>
                              <w:lang w:val="sk-S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109.15pt;margin-top:-5.9pt;width:350.6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" filled="f" stroked="f">
              <v:textbox>
                <w:txbxContent>
                  <w:p w14:paraId="04A7408F" w14:textId="77777777" w:rsidR="000416CA" w:rsidRDefault="000416CA" w:rsidP="00D04DEB">
                    <w:pPr>
                      <w:jc w:val="right"/>
                      <w:rPr>
                        <w:rFonts w:ascii="Calibri" w:hAnsi="Calibri"/>
                        <w:sz w:val="16"/>
                        <w:szCs w:val="16"/>
                        <w:lang w:val="sk-SK"/>
                      </w:rPr>
                    </w:pPr>
                  </w:p>
                  <w:p w14:paraId="1F645810" w14:textId="0A4BEA78" w:rsidR="000416CA" w:rsidRPr="00D04DEB" w:rsidRDefault="001A3384" w:rsidP="00D04DEB">
                    <w:pPr>
                      <w:jc w:val="right"/>
                      <w:rPr>
                        <w:rFonts w:ascii="Calibri" w:hAnsi="Calibri"/>
                        <w:sz w:val="16"/>
                        <w:szCs w:val="16"/>
                        <w:lang w:val="sk-SK"/>
                      </w:rPr>
                    </w:pPr>
                    <w:r>
                      <w:rPr>
                        <w:rFonts w:ascii="Calibri" w:hAnsi="Calibri"/>
                        <w:sz w:val="16"/>
                        <w:szCs w:val="16"/>
                        <w:lang w:val="sk-SK"/>
                      </w:rPr>
                      <w:t>13</w:t>
                    </w:r>
                    <w:r w:rsidR="003772DF">
                      <w:rPr>
                        <w:rFonts w:ascii="Calibri" w:hAnsi="Calibri"/>
                        <w:sz w:val="16"/>
                        <w:szCs w:val="16"/>
                        <w:lang w:val="sk-SK"/>
                      </w:rPr>
                      <w:t>. zasadnutie V</w:t>
                    </w:r>
                    <w:r w:rsidR="000416CA">
                      <w:rPr>
                        <w:rFonts w:ascii="Calibri" w:hAnsi="Calibri"/>
                        <w:sz w:val="16"/>
                        <w:szCs w:val="16"/>
                        <w:lang w:val="sk-SK"/>
                      </w:rPr>
                      <w:t xml:space="preserve"> STU</w:t>
                    </w:r>
                    <w:r w:rsidR="000416CA" w:rsidRPr="00D04DEB">
                      <w:rPr>
                        <w:rFonts w:ascii="Calibri" w:hAnsi="Calibri"/>
                        <w:sz w:val="16"/>
                        <w:szCs w:val="16"/>
                        <w:lang w:val="sk-SK"/>
                      </w:rPr>
                      <w:t xml:space="preserve">, </w:t>
                    </w:r>
                    <w:r>
                      <w:rPr>
                        <w:rFonts w:ascii="Calibri" w:hAnsi="Calibri"/>
                        <w:sz w:val="16"/>
                        <w:szCs w:val="16"/>
                        <w:lang w:val="sk-SK"/>
                      </w:rPr>
                      <w:t>03</w:t>
                    </w:r>
                    <w:r w:rsidR="003772DF">
                      <w:rPr>
                        <w:rFonts w:ascii="Calibri" w:hAnsi="Calibri"/>
                        <w:sz w:val="16"/>
                        <w:szCs w:val="16"/>
                        <w:lang w:val="sk-SK"/>
                      </w:rPr>
                      <w:t>.0</w:t>
                    </w:r>
                    <w:r>
                      <w:rPr>
                        <w:rFonts w:ascii="Calibri" w:hAnsi="Calibri"/>
                        <w:sz w:val="16"/>
                        <w:szCs w:val="16"/>
                        <w:lang w:val="sk-SK"/>
                      </w:rPr>
                      <w:t>7</w:t>
                    </w:r>
                    <w:r w:rsidR="000416CA">
                      <w:rPr>
                        <w:rFonts w:ascii="Calibri" w:hAnsi="Calibri"/>
                        <w:sz w:val="16"/>
                        <w:szCs w:val="16"/>
                        <w:lang w:val="sk-SK"/>
                      </w:rPr>
                      <w:t>.</w:t>
                    </w:r>
                    <w:r w:rsidR="000416CA" w:rsidRPr="00D04DEB">
                      <w:rPr>
                        <w:rFonts w:ascii="Calibri" w:hAnsi="Calibri"/>
                        <w:sz w:val="16"/>
                        <w:szCs w:val="16"/>
                        <w:lang w:val="sk-SK"/>
                      </w:rPr>
                      <w:t>201</w:t>
                    </w:r>
                    <w:r w:rsidR="000416CA">
                      <w:rPr>
                        <w:rFonts w:ascii="Calibri" w:hAnsi="Calibri"/>
                        <w:sz w:val="16"/>
                        <w:szCs w:val="16"/>
                        <w:lang w:val="sk-SK"/>
                      </w:rPr>
                      <w:t>9</w:t>
                    </w:r>
                  </w:p>
                  <w:p w14:paraId="43104258" w14:textId="77777777" w:rsidR="00D03CE3" w:rsidRDefault="00D03CE3" w:rsidP="005F0EB0">
                    <w:pPr>
                      <w:jc w:val="right"/>
                      <w:rPr>
                        <w:rFonts w:ascii="Calibri" w:hAnsi="Calibri"/>
                        <w:sz w:val="16"/>
                        <w:szCs w:val="16"/>
                        <w:lang w:val="sk-SK"/>
                      </w:rPr>
                    </w:pPr>
                    <w:r w:rsidRPr="00D03CE3">
                      <w:rPr>
                        <w:rFonts w:ascii="Calibri" w:hAnsi="Calibri"/>
                        <w:sz w:val="16"/>
                        <w:szCs w:val="16"/>
                        <w:lang w:val="sk-SK"/>
                      </w:rPr>
                      <w:t xml:space="preserve">Diskusia k novému modelu rozdeľovania </w:t>
                    </w:r>
                    <w:proofErr w:type="spellStart"/>
                    <w:r w:rsidRPr="00D03CE3">
                      <w:rPr>
                        <w:rFonts w:ascii="Calibri" w:hAnsi="Calibri"/>
                        <w:sz w:val="16"/>
                        <w:szCs w:val="16"/>
                        <w:lang w:val="sk-SK"/>
                      </w:rPr>
                      <w:t>VaV</w:t>
                    </w:r>
                    <w:proofErr w:type="spellEnd"/>
                    <w:r w:rsidRPr="00D03CE3">
                      <w:rPr>
                        <w:rFonts w:ascii="Calibri" w:hAnsi="Calibri"/>
                        <w:sz w:val="16"/>
                        <w:szCs w:val="16"/>
                        <w:lang w:val="sk-SK"/>
                      </w:rPr>
                      <w:t xml:space="preserve"> dotácie medzi súčasti STU – verzia 1, 1. 7. 2019</w:t>
                    </w:r>
                    <w:r w:rsidR="005D6906">
                      <w:rPr>
                        <w:rFonts w:ascii="Calibri" w:hAnsi="Calibri"/>
                        <w:sz w:val="16"/>
                        <w:szCs w:val="16"/>
                        <w:lang w:val="sk-SK"/>
                      </w:rPr>
                      <w:t xml:space="preserve">   </w:t>
                    </w:r>
                  </w:p>
                  <w:p w14:paraId="1083D020" w14:textId="61CDEF6D" w:rsidR="000416CA" w:rsidRPr="007F06E7" w:rsidRDefault="005F0EB0" w:rsidP="005F0EB0">
                    <w:pPr>
                      <w:jc w:val="right"/>
                      <w:rPr>
                        <w:rFonts w:ascii="Calibri" w:hAnsi="Calibri"/>
                        <w:sz w:val="16"/>
                        <w:szCs w:val="16"/>
                        <w:lang w:val="sk-SK"/>
                      </w:rPr>
                    </w:pPr>
                    <w:r w:rsidRPr="005F0EB0">
                      <w:rPr>
                        <w:rFonts w:ascii="Calibri" w:hAnsi="Calibri"/>
                        <w:sz w:val="16"/>
                        <w:szCs w:val="16"/>
                        <w:lang w:val="sk-SK"/>
                      </w:rPr>
                      <w:t xml:space="preserve">prof. Ing. </w:t>
                    </w:r>
                    <w:r w:rsidR="003772DF">
                      <w:rPr>
                        <w:rFonts w:ascii="Calibri" w:hAnsi="Calibri"/>
                        <w:sz w:val="16"/>
                        <w:szCs w:val="16"/>
                        <w:lang w:val="sk-SK"/>
                      </w:rPr>
                      <w:t>Ján Szolgay</w:t>
                    </w:r>
                    <w:r w:rsidRPr="005F0EB0">
                      <w:rPr>
                        <w:rFonts w:ascii="Calibri" w:hAnsi="Calibri"/>
                        <w:sz w:val="16"/>
                        <w:szCs w:val="16"/>
                        <w:lang w:val="sk-SK"/>
                      </w:rPr>
                      <w:t xml:space="preserve">, </w:t>
                    </w:r>
                    <w:r w:rsidR="003772DF">
                      <w:rPr>
                        <w:rFonts w:ascii="Calibri" w:hAnsi="Calibri"/>
                        <w:sz w:val="16"/>
                        <w:szCs w:val="16"/>
                        <w:lang w:val="sk-SK"/>
                      </w:rPr>
                      <w:t>PhD</w:t>
                    </w:r>
                    <w:r w:rsidRPr="005F0EB0">
                      <w:rPr>
                        <w:rFonts w:ascii="Calibri" w:hAnsi="Calibri"/>
                        <w:color w:val="FF0000"/>
                        <w:sz w:val="16"/>
                        <w:szCs w:val="16"/>
                        <w:lang w:val="sk-SK"/>
                      </w:rPr>
                      <w:t>.</w:t>
                    </w:r>
                  </w:p>
                </w:txbxContent>
              </v:textbox>
            </v:shape>
          </w:pict>
        </mc:Fallback>
      </mc:AlternateContent>
    </w:r>
    <w:r w:rsidRPr="005C108E">
      <w:rPr>
        <w:noProof/>
        <w:lang w:val="sk-SK" w:eastAsia="sk-SK"/>
      </w:rPr>
      <w:drawing>
        <wp:inline distT="0" distB="0" distL="0" distR="0" wp14:anchorId="272EA60A" wp14:editId="43A4A29A">
          <wp:extent cx="1676400" cy="609600"/>
          <wp:effectExtent l="0" t="0" r="0" b="0"/>
          <wp:docPr id="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F746" w14:textId="77777777" w:rsidR="000416CA" w:rsidRDefault="000416CA" w:rsidP="005D1691">
    <w:pPr>
      <w:pStyle w:val="Hlavika"/>
      <w:ind w:hanging="993"/>
    </w:pPr>
    <w:r w:rsidRPr="005C108E">
      <w:rPr>
        <w:noProof/>
        <w:lang w:val="sk-SK" w:eastAsia="sk-SK"/>
      </w:rPr>
      <w:drawing>
        <wp:inline distT="0" distB="0" distL="0" distR="0" wp14:anchorId="1DFEC70A" wp14:editId="52267CFC">
          <wp:extent cx="1676400" cy="6096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r>
      <w:rPr>
        <w:noProof/>
        <w:lang w:val="sk-SK" w:eastAsia="sk-SK"/>
      </w:rPr>
      <mc:AlternateContent>
        <mc:Choice Requires="wps">
          <w:drawing>
            <wp:anchor distT="0" distB="0" distL="114300" distR="114300" simplePos="0" relativeHeight="251657216" behindDoc="0" locked="0" layoutInCell="1" allowOverlap="1" wp14:anchorId="2995ABC9" wp14:editId="6DEC087F">
              <wp:simplePos x="0" y="0"/>
              <wp:positionH relativeFrom="column">
                <wp:posOffset>1905000</wp:posOffset>
              </wp:positionH>
              <wp:positionV relativeFrom="paragraph">
                <wp:posOffset>60960</wp:posOffset>
              </wp:positionV>
              <wp:extent cx="4452620" cy="691515"/>
              <wp:effectExtent l="0" t="0" r="0" b="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691515"/>
                      </a:xfrm>
                      <a:prstGeom prst="rect">
                        <a:avLst/>
                      </a:prstGeom>
                      <a:noFill/>
                      <a:ln w="9525">
                        <a:noFill/>
                        <a:miter lim="800000"/>
                        <a:headEnd/>
                        <a:tailEnd/>
                      </a:ln>
                    </wps:spPr>
                    <wps:txbx>
                      <w:txbxContent>
                        <w:p w14:paraId="04118A91" w14:textId="77777777" w:rsidR="000416CA" w:rsidRPr="00D9353D" w:rsidRDefault="000416CA" w:rsidP="001B5F2C">
                          <w:pPr>
                            <w:rPr>
                              <w:lang w:val="sk-S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0pt;margin-top:4.8pt;width:350.6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" filled="f" stroked="f">
              <v:textbox>
                <w:txbxContent>
                  <w:p w14:paraId="04118A91" w14:textId="77777777" w:rsidR="000416CA" w:rsidRPr="00D9353D" w:rsidRDefault="000416CA" w:rsidP="001B5F2C">
                    <w:pPr>
                      <w:rPr>
                        <w:lang w:val="sk-SK"/>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D11"/>
    <w:multiLevelType w:val="hybridMultilevel"/>
    <w:tmpl w:val="88325A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91FF9"/>
    <w:multiLevelType w:val="hybridMultilevel"/>
    <w:tmpl w:val="67E416B2"/>
    <w:lvl w:ilvl="0" w:tplc="A5789BB2">
      <w:numFmt w:val="bullet"/>
      <w:lvlText w:val="-"/>
      <w:lvlJc w:val="left"/>
      <w:pPr>
        <w:ind w:left="1248" w:hanging="360"/>
      </w:pPr>
      <w:rPr>
        <w:rFonts w:ascii="Calibri" w:eastAsia="MS Mincho" w:hAnsi="Calibri" w:cs="Times New Roman"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2">
    <w:nsid w:val="0DF40A83"/>
    <w:multiLevelType w:val="hybridMultilevel"/>
    <w:tmpl w:val="A440C78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222E19"/>
    <w:multiLevelType w:val="hybridMultilevel"/>
    <w:tmpl w:val="6614799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1424526D"/>
    <w:multiLevelType w:val="hybridMultilevel"/>
    <w:tmpl w:val="A9DE42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0C6A86"/>
    <w:multiLevelType w:val="hybridMultilevel"/>
    <w:tmpl w:val="BA70D6DA"/>
    <w:lvl w:ilvl="0" w:tplc="11D6C62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2807C5"/>
    <w:multiLevelType w:val="hybridMultilevel"/>
    <w:tmpl w:val="85626DF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021DE0"/>
    <w:multiLevelType w:val="hybridMultilevel"/>
    <w:tmpl w:val="B7D61D0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0907CD4"/>
    <w:multiLevelType w:val="hybridMultilevel"/>
    <w:tmpl w:val="31723E6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25A606A8"/>
    <w:multiLevelType w:val="hybridMultilevel"/>
    <w:tmpl w:val="1D9C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6027B"/>
    <w:multiLevelType w:val="hybridMultilevel"/>
    <w:tmpl w:val="A5AC2ED4"/>
    <w:lvl w:ilvl="0" w:tplc="0A4C458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13C17"/>
    <w:multiLevelType w:val="hybridMultilevel"/>
    <w:tmpl w:val="82244020"/>
    <w:lvl w:ilvl="0" w:tplc="2118DAF4">
      <w:numFmt w:val="bullet"/>
      <w:lvlText w:val="-"/>
      <w:lvlJc w:val="left"/>
      <w:pPr>
        <w:ind w:left="1080" w:hanging="360"/>
      </w:pPr>
      <w:rPr>
        <w:rFonts w:ascii="Cambria" w:eastAsia="MS Mincho" w:hAnsi="Cambria"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B41941"/>
    <w:multiLevelType w:val="hybridMultilevel"/>
    <w:tmpl w:val="27D6B63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F5501BB"/>
    <w:multiLevelType w:val="hybridMultilevel"/>
    <w:tmpl w:val="D9D41F96"/>
    <w:lvl w:ilvl="0" w:tplc="FB860D70">
      <w:numFmt w:val="bullet"/>
      <w:lvlText w:val="-"/>
      <w:lvlJc w:val="left"/>
      <w:pPr>
        <w:ind w:left="1248" w:hanging="360"/>
      </w:pPr>
      <w:rPr>
        <w:rFonts w:ascii="Calibri" w:eastAsia="MS Mincho" w:hAnsi="Calibri" w:cstheme="minorHAnsi"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4">
    <w:nsid w:val="346B1FE1"/>
    <w:multiLevelType w:val="hybridMultilevel"/>
    <w:tmpl w:val="648A75C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36CD059F"/>
    <w:multiLevelType w:val="hybridMultilevel"/>
    <w:tmpl w:val="C950BB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3AE63BA2"/>
    <w:multiLevelType w:val="hybridMultilevel"/>
    <w:tmpl w:val="004A8622"/>
    <w:lvl w:ilvl="0" w:tplc="6E8081BC">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F55A9"/>
    <w:multiLevelType w:val="hybridMultilevel"/>
    <w:tmpl w:val="D9B8261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FD4576D"/>
    <w:multiLevelType w:val="hybridMultilevel"/>
    <w:tmpl w:val="6C0C8918"/>
    <w:lvl w:ilvl="0" w:tplc="6E8081BC">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BF5D6B"/>
    <w:multiLevelType w:val="hybridMultilevel"/>
    <w:tmpl w:val="3578C9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3C057D7"/>
    <w:multiLevelType w:val="hybridMultilevel"/>
    <w:tmpl w:val="3A68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130F7"/>
    <w:multiLevelType w:val="multilevel"/>
    <w:tmpl w:val="B3E8646C"/>
    <w:lvl w:ilvl="0">
      <w:start w:val="1"/>
      <w:numFmt w:val="decimal"/>
      <w:lvlText w:val="%1."/>
      <w:lvlJc w:val="left"/>
      <w:pPr>
        <w:tabs>
          <w:tab w:val="num" w:pos="1260"/>
        </w:tabs>
        <w:ind w:left="1260" w:hanging="12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2"/>
      <w:lvlText w:val="%1.%2"/>
      <w:lvlJc w:val="left"/>
      <w:pPr>
        <w:tabs>
          <w:tab w:val="num" w:pos="1692"/>
        </w:tabs>
        <w:ind w:left="1692" w:hanging="1692"/>
      </w:pPr>
      <w:rPr>
        <w:rFonts w:ascii="Arial" w:hAnsi="Arial" w:cs="Arial" w:hint="default"/>
        <w:b/>
        <w:sz w:val="24"/>
        <w:szCs w:val="24"/>
      </w:rPr>
    </w:lvl>
    <w:lvl w:ilvl="2">
      <w:start w:val="1"/>
      <w:numFmt w:val="decimal"/>
      <w:lvlText w:val="%1.%2.%3"/>
      <w:lvlJc w:val="left"/>
      <w:pPr>
        <w:tabs>
          <w:tab w:val="num" w:pos="1504"/>
        </w:tabs>
        <w:ind w:left="1044" w:hanging="504"/>
      </w:pPr>
      <w:rPr>
        <w:rFonts w:hint="default"/>
        <w:b/>
      </w:rPr>
    </w:lvl>
    <w:lvl w:ilvl="3">
      <w:start w:val="1"/>
      <w:numFmt w:val="decimal"/>
      <w:lvlText w:val="%1.%2.%3.%4."/>
      <w:lvlJc w:val="left"/>
      <w:pPr>
        <w:tabs>
          <w:tab w:val="num" w:pos="3600"/>
        </w:tabs>
        <w:ind w:left="3168" w:hanging="648"/>
      </w:pPr>
      <w:rPr>
        <w:rFonts w:hint="default"/>
        <w:b/>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22">
    <w:nsid w:val="4B832D13"/>
    <w:multiLevelType w:val="hybridMultilevel"/>
    <w:tmpl w:val="EA06A1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4BD8614C"/>
    <w:multiLevelType w:val="hybridMultilevel"/>
    <w:tmpl w:val="FCEEFD5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43E266D"/>
    <w:multiLevelType w:val="hybridMultilevel"/>
    <w:tmpl w:val="2B0E43CC"/>
    <w:lvl w:ilvl="0" w:tplc="E166C4E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A81654"/>
    <w:multiLevelType w:val="hybridMultilevel"/>
    <w:tmpl w:val="93C8D6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nsid w:val="5B867BFB"/>
    <w:multiLevelType w:val="hybridMultilevel"/>
    <w:tmpl w:val="63C87DC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E4A1A10"/>
    <w:multiLevelType w:val="hybridMultilevel"/>
    <w:tmpl w:val="A35ED0E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F020CD3"/>
    <w:multiLevelType w:val="hybridMultilevel"/>
    <w:tmpl w:val="7B70EA2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nsid w:val="60A43B59"/>
    <w:multiLevelType w:val="multilevel"/>
    <w:tmpl w:val="EF041AA2"/>
    <w:styleLink w:val="tl1"/>
    <w:lvl w:ilvl="0">
      <w:start w:val="5"/>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0">
    <w:nsid w:val="62A1108F"/>
    <w:multiLevelType w:val="hybridMultilevel"/>
    <w:tmpl w:val="EE5E34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nsid w:val="67EA4834"/>
    <w:multiLevelType w:val="hybridMultilevel"/>
    <w:tmpl w:val="70BC523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8C46308"/>
    <w:multiLevelType w:val="hybridMultilevel"/>
    <w:tmpl w:val="0784AC64"/>
    <w:lvl w:ilvl="0" w:tplc="041B0017">
      <w:start w:val="1"/>
      <w:numFmt w:val="lowerLetter"/>
      <w:lvlText w:val="%1)"/>
      <w:lvlJc w:val="left"/>
      <w:pPr>
        <w:ind w:left="2711" w:hanging="360"/>
      </w:pPr>
    </w:lvl>
    <w:lvl w:ilvl="1" w:tplc="041B0019" w:tentative="1">
      <w:start w:val="1"/>
      <w:numFmt w:val="lowerLetter"/>
      <w:lvlText w:val="%2."/>
      <w:lvlJc w:val="left"/>
      <w:pPr>
        <w:ind w:left="3431" w:hanging="360"/>
      </w:pPr>
    </w:lvl>
    <w:lvl w:ilvl="2" w:tplc="041B001B" w:tentative="1">
      <w:start w:val="1"/>
      <w:numFmt w:val="lowerRoman"/>
      <w:lvlText w:val="%3."/>
      <w:lvlJc w:val="right"/>
      <w:pPr>
        <w:ind w:left="4151" w:hanging="180"/>
      </w:pPr>
    </w:lvl>
    <w:lvl w:ilvl="3" w:tplc="041B000F" w:tentative="1">
      <w:start w:val="1"/>
      <w:numFmt w:val="decimal"/>
      <w:lvlText w:val="%4."/>
      <w:lvlJc w:val="left"/>
      <w:pPr>
        <w:ind w:left="4871" w:hanging="360"/>
      </w:pPr>
    </w:lvl>
    <w:lvl w:ilvl="4" w:tplc="041B0019" w:tentative="1">
      <w:start w:val="1"/>
      <w:numFmt w:val="lowerLetter"/>
      <w:lvlText w:val="%5."/>
      <w:lvlJc w:val="left"/>
      <w:pPr>
        <w:ind w:left="5591" w:hanging="360"/>
      </w:pPr>
    </w:lvl>
    <w:lvl w:ilvl="5" w:tplc="041B001B" w:tentative="1">
      <w:start w:val="1"/>
      <w:numFmt w:val="lowerRoman"/>
      <w:lvlText w:val="%6."/>
      <w:lvlJc w:val="right"/>
      <w:pPr>
        <w:ind w:left="6311" w:hanging="180"/>
      </w:pPr>
    </w:lvl>
    <w:lvl w:ilvl="6" w:tplc="041B000F" w:tentative="1">
      <w:start w:val="1"/>
      <w:numFmt w:val="decimal"/>
      <w:lvlText w:val="%7."/>
      <w:lvlJc w:val="left"/>
      <w:pPr>
        <w:ind w:left="7031" w:hanging="360"/>
      </w:pPr>
    </w:lvl>
    <w:lvl w:ilvl="7" w:tplc="041B0019" w:tentative="1">
      <w:start w:val="1"/>
      <w:numFmt w:val="lowerLetter"/>
      <w:lvlText w:val="%8."/>
      <w:lvlJc w:val="left"/>
      <w:pPr>
        <w:ind w:left="7751" w:hanging="360"/>
      </w:pPr>
    </w:lvl>
    <w:lvl w:ilvl="8" w:tplc="041B001B" w:tentative="1">
      <w:start w:val="1"/>
      <w:numFmt w:val="lowerRoman"/>
      <w:lvlText w:val="%9."/>
      <w:lvlJc w:val="right"/>
      <w:pPr>
        <w:ind w:left="8471" w:hanging="180"/>
      </w:pPr>
    </w:lvl>
  </w:abstractNum>
  <w:abstractNum w:abstractNumId="33">
    <w:nsid w:val="69250A77"/>
    <w:multiLevelType w:val="hybridMultilevel"/>
    <w:tmpl w:val="64DCD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nsid w:val="6ECF3DD7"/>
    <w:multiLevelType w:val="hybridMultilevel"/>
    <w:tmpl w:val="464E7C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nsid w:val="753668D9"/>
    <w:multiLevelType w:val="hybridMultilevel"/>
    <w:tmpl w:val="19D2042C"/>
    <w:lvl w:ilvl="0" w:tplc="4FEEAE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8B6210E"/>
    <w:multiLevelType w:val="hybridMultilevel"/>
    <w:tmpl w:val="9F7865B2"/>
    <w:lvl w:ilvl="0" w:tplc="6E8081BC">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4547AD"/>
    <w:multiLevelType w:val="multilevel"/>
    <w:tmpl w:val="EF041AA2"/>
    <w:styleLink w:val="tl2"/>
    <w:lvl w:ilvl="0">
      <w:start w:val="4"/>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21"/>
  </w:num>
  <w:num w:numId="2">
    <w:abstractNumId w:val="29"/>
  </w:num>
  <w:num w:numId="3">
    <w:abstractNumId w:val="37"/>
  </w:num>
  <w:num w:numId="4">
    <w:abstractNumId w:val="32"/>
  </w:num>
  <w:num w:numId="5">
    <w:abstractNumId w:val="5"/>
  </w:num>
  <w:num w:numId="6">
    <w:abstractNumId w:val="8"/>
  </w:num>
  <w:num w:numId="7">
    <w:abstractNumId w:val="35"/>
  </w:num>
  <w:num w:numId="8">
    <w:abstractNumId w:val="23"/>
  </w:num>
  <w:num w:numId="9">
    <w:abstractNumId w:val="7"/>
  </w:num>
  <w:num w:numId="10">
    <w:abstractNumId w:val="3"/>
  </w:num>
  <w:num w:numId="11">
    <w:abstractNumId w:val="27"/>
  </w:num>
  <w:num w:numId="12">
    <w:abstractNumId w:val="17"/>
  </w:num>
  <w:num w:numId="13">
    <w:abstractNumId w:val="26"/>
  </w:num>
  <w:num w:numId="14">
    <w:abstractNumId w:val="12"/>
  </w:num>
  <w:num w:numId="15">
    <w:abstractNumId w:val="19"/>
  </w:num>
  <w:num w:numId="16">
    <w:abstractNumId w:val="6"/>
  </w:num>
  <w:num w:numId="17">
    <w:abstractNumId w:val="2"/>
  </w:num>
  <w:num w:numId="18">
    <w:abstractNumId w:val="14"/>
  </w:num>
  <w:num w:numId="19">
    <w:abstractNumId w:val="4"/>
  </w:num>
  <w:num w:numId="20">
    <w:abstractNumId w:val="31"/>
  </w:num>
  <w:num w:numId="21">
    <w:abstractNumId w:val="11"/>
  </w:num>
  <w:num w:numId="22">
    <w:abstractNumId w:val="13"/>
  </w:num>
  <w:num w:numId="23">
    <w:abstractNumId w:val="1"/>
  </w:num>
  <w:num w:numId="24">
    <w:abstractNumId w:val="18"/>
  </w:num>
  <w:num w:numId="25">
    <w:abstractNumId w:val="16"/>
  </w:num>
  <w:num w:numId="26">
    <w:abstractNumId w:val="36"/>
  </w:num>
  <w:num w:numId="27">
    <w:abstractNumId w:val="0"/>
  </w:num>
  <w:num w:numId="28">
    <w:abstractNumId w:val="25"/>
  </w:num>
  <w:num w:numId="29">
    <w:abstractNumId w:val="15"/>
  </w:num>
  <w:num w:numId="30">
    <w:abstractNumId w:val="34"/>
  </w:num>
  <w:num w:numId="31">
    <w:abstractNumId w:val="28"/>
  </w:num>
  <w:num w:numId="32">
    <w:abstractNumId w:val="30"/>
  </w:num>
  <w:num w:numId="33">
    <w:abstractNumId w:val="22"/>
  </w:num>
  <w:num w:numId="34">
    <w:abstractNumId w:val="33"/>
  </w:num>
  <w:num w:numId="35">
    <w:abstractNumId w:val="9"/>
  </w:num>
  <w:num w:numId="36">
    <w:abstractNumId w:val="10"/>
  </w:num>
  <w:num w:numId="37">
    <w:abstractNumId w:val="20"/>
  </w:num>
  <w:num w:numId="3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0617"/>
    <w:rsid w:val="00000FC9"/>
    <w:rsid w:val="0000659A"/>
    <w:rsid w:val="00020E65"/>
    <w:rsid w:val="00023ACB"/>
    <w:rsid w:val="00023FAC"/>
    <w:rsid w:val="00027DBB"/>
    <w:rsid w:val="00033FDD"/>
    <w:rsid w:val="00040A79"/>
    <w:rsid w:val="00040C97"/>
    <w:rsid w:val="000416CA"/>
    <w:rsid w:val="00044F9B"/>
    <w:rsid w:val="00044FDC"/>
    <w:rsid w:val="000506CB"/>
    <w:rsid w:val="0005292B"/>
    <w:rsid w:val="00053A91"/>
    <w:rsid w:val="000560AC"/>
    <w:rsid w:val="00056488"/>
    <w:rsid w:val="0006307B"/>
    <w:rsid w:val="00063181"/>
    <w:rsid w:val="00066908"/>
    <w:rsid w:val="00070429"/>
    <w:rsid w:val="00071C10"/>
    <w:rsid w:val="000723E9"/>
    <w:rsid w:val="00072D70"/>
    <w:rsid w:val="00076F24"/>
    <w:rsid w:val="00080729"/>
    <w:rsid w:val="00082386"/>
    <w:rsid w:val="00084FD7"/>
    <w:rsid w:val="00085ED5"/>
    <w:rsid w:val="00093969"/>
    <w:rsid w:val="00093D7E"/>
    <w:rsid w:val="000942AC"/>
    <w:rsid w:val="00095D05"/>
    <w:rsid w:val="000B308A"/>
    <w:rsid w:val="000B3C5B"/>
    <w:rsid w:val="000B7915"/>
    <w:rsid w:val="000C03B7"/>
    <w:rsid w:val="000C7931"/>
    <w:rsid w:val="000D5DBE"/>
    <w:rsid w:val="000D5F3B"/>
    <w:rsid w:val="000F4261"/>
    <w:rsid w:val="0011139A"/>
    <w:rsid w:val="00112ABF"/>
    <w:rsid w:val="00112CE5"/>
    <w:rsid w:val="00121B9F"/>
    <w:rsid w:val="00123623"/>
    <w:rsid w:val="0012395F"/>
    <w:rsid w:val="00126900"/>
    <w:rsid w:val="00130914"/>
    <w:rsid w:val="001353B9"/>
    <w:rsid w:val="0013702E"/>
    <w:rsid w:val="0013716E"/>
    <w:rsid w:val="001427B2"/>
    <w:rsid w:val="00151B5F"/>
    <w:rsid w:val="00153886"/>
    <w:rsid w:val="00163396"/>
    <w:rsid w:val="00167A0E"/>
    <w:rsid w:val="001724E5"/>
    <w:rsid w:val="001741BF"/>
    <w:rsid w:val="00174FB0"/>
    <w:rsid w:val="0018115E"/>
    <w:rsid w:val="00185115"/>
    <w:rsid w:val="0018623A"/>
    <w:rsid w:val="0019384C"/>
    <w:rsid w:val="00193F10"/>
    <w:rsid w:val="001A1F63"/>
    <w:rsid w:val="001A3384"/>
    <w:rsid w:val="001B3721"/>
    <w:rsid w:val="001B5F2C"/>
    <w:rsid w:val="001C1AF6"/>
    <w:rsid w:val="001C1D3F"/>
    <w:rsid w:val="001D362A"/>
    <w:rsid w:val="001D36DE"/>
    <w:rsid w:val="001E3B84"/>
    <w:rsid w:val="001E5221"/>
    <w:rsid w:val="001F1098"/>
    <w:rsid w:val="001F238A"/>
    <w:rsid w:val="001F246A"/>
    <w:rsid w:val="001F4279"/>
    <w:rsid w:val="001F42D4"/>
    <w:rsid w:val="00203D6B"/>
    <w:rsid w:val="00204744"/>
    <w:rsid w:val="00207FA8"/>
    <w:rsid w:val="00213958"/>
    <w:rsid w:val="00214DE3"/>
    <w:rsid w:val="00215936"/>
    <w:rsid w:val="00220D92"/>
    <w:rsid w:val="00221A0F"/>
    <w:rsid w:val="002238B8"/>
    <w:rsid w:val="002271A1"/>
    <w:rsid w:val="0023212E"/>
    <w:rsid w:val="00232347"/>
    <w:rsid w:val="002372FC"/>
    <w:rsid w:val="00237B63"/>
    <w:rsid w:val="00237CA3"/>
    <w:rsid w:val="00250DB7"/>
    <w:rsid w:val="0026098C"/>
    <w:rsid w:val="00261F89"/>
    <w:rsid w:val="00262C52"/>
    <w:rsid w:val="0026377F"/>
    <w:rsid w:val="0027123A"/>
    <w:rsid w:val="00285BD6"/>
    <w:rsid w:val="00285DB0"/>
    <w:rsid w:val="00292821"/>
    <w:rsid w:val="00293EA6"/>
    <w:rsid w:val="00295996"/>
    <w:rsid w:val="002A0751"/>
    <w:rsid w:val="002A0A83"/>
    <w:rsid w:val="002A1D89"/>
    <w:rsid w:val="002A3F3C"/>
    <w:rsid w:val="002A51F9"/>
    <w:rsid w:val="002A6010"/>
    <w:rsid w:val="002B494D"/>
    <w:rsid w:val="002B4A41"/>
    <w:rsid w:val="002B52DA"/>
    <w:rsid w:val="002B6AF1"/>
    <w:rsid w:val="002C544D"/>
    <w:rsid w:val="002D000E"/>
    <w:rsid w:val="002E1842"/>
    <w:rsid w:val="002E37C0"/>
    <w:rsid w:val="002E77E7"/>
    <w:rsid w:val="002F27ED"/>
    <w:rsid w:val="002F47FC"/>
    <w:rsid w:val="0030006A"/>
    <w:rsid w:val="003014AF"/>
    <w:rsid w:val="00311787"/>
    <w:rsid w:val="0031226A"/>
    <w:rsid w:val="00321C69"/>
    <w:rsid w:val="003241CB"/>
    <w:rsid w:val="003258A9"/>
    <w:rsid w:val="00327E3E"/>
    <w:rsid w:val="00340448"/>
    <w:rsid w:val="00341863"/>
    <w:rsid w:val="0034203A"/>
    <w:rsid w:val="00346B4A"/>
    <w:rsid w:val="0035175E"/>
    <w:rsid w:val="00353388"/>
    <w:rsid w:val="00356455"/>
    <w:rsid w:val="003571A1"/>
    <w:rsid w:val="00363BED"/>
    <w:rsid w:val="00365E9F"/>
    <w:rsid w:val="00375A92"/>
    <w:rsid w:val="003772DF"/>
    <w:rsid w:val="003804B1"/>
    <w:rsid w:val="00380557"/>
    <w:rsid w:val="00381936"/>
    <w:rsid w:val="003866CA"/>
    <w:rsid w:val="00392140"/>
    <w:rsid w:val="003A05CE"/>
    <w:rsid w:val="003A08BC"/>
    <w:rsid w:val="003A267B"/>
    <w:rsid w:val="003B4019"/>
    <w:rsid w:val="003C136B"/>
    <w:rsid w:val="003C264E"/>
    <w:rsid w:val="003C61C2"/>
    <w:rsid w:val="003D07CF"/>
    <w:rsid w:val="003D115B"/>
    <w:rsid w:val="003D2358"/>
    <w:rsid w:val="003D585F"/>
    <w:rsid w:val="003D5A6B"/>
    <w:rsid w:val="003E1DB6"/>
    <w:rsid w:val="003E2B5C"/>
    <w:rsid w:val="003E531D"/>
    <w:rsid w:val="003E723C"/>
    <w:rsid w:val="003F0B1A"/>
    <w:rsid w:val="00406D9F"/>
    <w:rsid w:val="00410DFF"/>
    <w:rsid w:val="004113FC"/>
    <w:rsid w:val="00417F18"/>
    <w:rsid w:val="004252C4"/>
    <w:rsid w:val="00427793"/>
    <w:rsid w:val="004306BD"/>
    <w:rsid w:val="00433FCF"/>
    <w:rsid w:val="00436EA4"/>
    <w:rsid w:val="00445D37"/>
    <w:rsid w:val="00450277"/>
    <w:rsid w:val="00455F1B"/>
    <w:rsid w:val="00460184"/>
    <w:rsid w:val="00471A84"/>
    <w:rsid w:val="00471B72"/>
    <w:rsid w:val="0048161C"/>
    <w:rsid w:val="00486550"/>
    <w:rsid w:val="0049069A"/>
    <w:rsid w:val="004910E2"/>
    <w:rsid w:val="00492D33"/>
    <w:rsid w:val="00496324"/>
    <w:rsid w:val="004A0B51"/>
    <w:rsid w:val="004A170E"/>
    <w:rsid w:val="004B730B"/>
    <w:rsid w:val="004B78FE"/>
    <w:rsid w:val="004D16DD"/>
    <w:rsid w:val="004E5427"/>
    <w:rsid w:val="004E728A"/>
    <w:rsid w:val="004F148B"/>
    <w:rsid w:val="004F1CB9"/>
    <w:rsid w:val="004F318A"/>
    <w:rsid w:val="004F7660"/>
    <w:rsid w:val="0051224F"/>
    <w:rsid w:val="005122EA"/>
    <w:rsid w:val="00516219"/>
    <w:rsid w:val="00517470"/>
    <w:rsid w:val="005219AC"/>
    <w:rsid w:val="00531100"/>
    <w:rsid w:val="005321F3"/>
    <w:rsid w:val="00536CF1"/>
    <w:rsid w:val="005400B4"/>
    <w:rsid w:val="00545F9B"/>
    <w:rsid w:val="00546A05"/>
    <w:rsid w:val="00547CA7"/>
    <w:rsid w:val="00547FF1"/>
    <w:rsid w:val="00552A42"/>
    <w:rsid w:val="00553B0B"/>
    <w:rsid w:val="005577AB"/>
    <w:rsid w:val="00561E59"/>
    <w:rsid w:val="00567392"/>
    <w:rsid w:val="00571461"/>
    <w:rsid w:val="00573E08"/>
    <w:rsid w:val="0058091F"/>
    <w:rsid w:val="00587603"/>
    <w:rsid w:val="00595F38"/>
    <w:rsid w:val="005965EA"/>
    <w:rsid w:val="005A1790"/>
    <w:rsid w:val="005A6455"/>
    <w:rsid w:val="005B0C01"/>
    <w:rsid w:val="005B1F1F"/>
    <w:rsid w:val="005C108E"/>
    <w:rsid w:val="005C38D6"/>
    <w:rsid w:val="005C3B3D"/>
    <w:rsid w:val="005C46B0"/>
    <w:rsid w:val="005C7D93"/>
    <w:rsid w:val="005D1691"/>
    <w:rsid w:val="005D6906"/>
    <w:rsid w:val="005E3DB7"/>
    <w:rsid w:val="005E77AF"/>
    <w:rsid w:val="005F0EB0"/>
    <w:rsid w:val="005F203B"/>
    <w:rsid w:val="005F429C"/>
    <w:rsid w:val="005F44F2"/>
    <w:rsid w:val="005F4E82"/>
    <w:rsid w:val="005F5718"/>
    <w:rsid w:val="0060785F"/>
    <w:rsid w:val="00621F51"/>
    <w:rsid w:val="00625471"/>
    <w:rsid w:val="00631016"/>
    <w:rsid w:val="00632306"/>
    <w:rsid w:val="00633380"/>
    <w:rsid w:val="00634F8C"/>
    <w:rsid w:val="00643A33"/>
    <w:rsid w:val="00644041"/>
    <w:rsid w:val="00646D63"/>
    <w:rsid w:val="0065033B"/>
    <w:rsid w:val="00651065"/>
    <w:rsid w:val="00662219"/>
    <w:rsid w:val="00667138"/>
    <w:rsid w:val="006674C3"/>
    <w:rsid w:val="006732F6"/>
    <w:rsid w:val="0067509C"/>
    <w:rsid w:val="006752D5"/>
    <w:rsid w:val="00675E02"/>
    <w:rsid w:val="00677671"/>
    <w:rsid w:val="006808B8"/>
    <w:rsid w:val="00684AC7"/>
    <w:rsid w:val="00686CDC"/>
    <w:rsid w:val="0069148E"/>
    <w:rsid w:val="00693069"/>
    <w:rsid w:val="00694A31"/>
    <w:rsid w:val="006A3709"/>
    <w:rsid w:val="006A4CE0"/>
    <w:rsid w:val="006A53E9"/>
    <w:rsid w:val="006A56F3"/>
    <w:rsid w:val="006A6667"/>
    <w:rsid w:val="006B3DBE"/>
    <w:rsid w:val="006B4AD9"/>
    <w:rsid w:val="006C1AB1"/>
    <w:rsid w:val="006C2579"/>
    <w:rsid w:val="006C3D6C"/>
    <w:rsid w:val="006D2E18"/>
    <w:rsid w:val="006D4A52"/>
    <w:rsid w:val="006D5283"/>
    <w:rsid w:val="006D7B1D"/>
    <w:rsid w:val="006E1D55"/>
    <w:rsid w:val="006E3B58"/>
    <w:rsid w:val="006E57A8"/>
    <w:rsid w:val="006E6DA0"/>
    <w:rsid w:val="006F171E"/>
    <w:rsid w:val="006F4AFD"/>
    <w:rsid w:val="006F52FA"/>
    <w:rsid w:val="006F7758"/>
    <w:rsid w:val="006F7A34"/>
    <w:rsid w:val="00700B15"/>
    <w:rsid w:val="00703D86"/>
    <w:rsid w:val="00707F40"/>
    <w:rsid w:val="007107E9"/>
    <w:rsid w:val="007121A6"/>
    <w:rsid w:val="0071221F"/>
    <w:rsid w:val="0071629C"/>
    <w:rsid w:val="007275CF"/>
    <w:rsid w:val="00731587"/>
    <w:rsid w:val="00734456"/>
    <w:rsid w:val="0073494B"/>
    <w:rsid w:val="00734C83"/>
    <w:rsid w:val="00735CA0"/>
    <w:rsid w:val="00737638"/>
    <w:rsid w:val="007377B4"/>
    <w:rsid w:val="0074055F"/>
    <w:rsid w:val="007430D9"/>
    <w:rsid w:val="00744230"/>
    <w:rsid w:val="007522F3"/>
    <w:rsid w:val="00754C90"/>
    <w:rsid w:val="0075675D"/>
    <w:rsid w:val="00757198"/>
    <w:rsid w:val="0075775B"/>
    <w:rsid w:val="007609D9"/>
    <w:rsid w:val="00762905"/>
    <w:rsid w:val="00764906"/>
    <w:rsid w:val="007668FF"/>
    <w:rsid w:val="00766A78"/>
    <w:rsid w:val="00767681"/>
    <w:rsid w:val="0077018E"/>
    <w:rsid w:val="00771D6D"/>
    <w:rsid w:val="007723B7"/>
    <w:rsid w:val="00774D8A"/>
    <w:rsid w:val="007812D0"/>
    <w:rsid w:val="00783AD3"/>
    <w:rsid w:val="00786AFB"/>
    <w:rsid w:val="00792771"/>
    <w:rsid w:val="00792887"/>
    <w:rsid w:val="00794E25"/>
    <w:rsid w:val="007A04A5"/>
    <w:rsid w:val="007A1FFF"/>
    <w:rsid w:val="007A388B"/>
    <w:rsid w:val="007A6F1F"/>
    <w:rsid w:val="007B250D"/>
    <w:rsid w:val="007B25D4"/>
    <w:rsid w:val="007B60C7"/>
    <w:rsid w:val="007B70AD"/>
    <w:rsid w:val="007C0324"/>
    <w:rsid w:val="007C524A"/>
    <w:rsid w:val="007D29D3"/>
    <w:rsid w:val="007D3944"/>
    <w:rsid w:val="007E4764"/>
    <w:rsid w:val="007E5E42"/>
    <w:rsid w:val="007E734E"/>
    <w:rsid w:val="007F06E7"/>
    <w:rsid w:val="007F1AC2"/>
    <w:rsid w:val="007F201E"/>
    <w:rsid w:val="007F41C5"/>
    <w:rsid w:val="007F4581"/>
    <w:rsid w:val="007F5771"/>
    <w:rsid w:val="007F6850"/>
    <w:rsid w:val="007F75F4"/>
    <w:rsid w:val="0080065B"/>
    <w:rsid w:val="0080526A"/>
    <w:rsid w:val="0080547B"/>
    <w:rsid w:val="00807842"/>
    <w:rsid w:val="00807D55"/>
    <w:rsid w:val="00810E4C"/>
    <w:rsid w:val="0081316A"/>
    <w:rsid w:val="008151C4"/>
    <w:rsid w:val="00822083"/>
    <w:rsid w:val="0082669B"/>
    <w:rsid w:val="00833E52"/>
    <w:rsid w:val="00834CB2"/>
    <w:rsid w:val="00841B51"/>
    <w:rsid w:val="00845D33"/>
    <w:rsid w:val="00853C31"/>
    <w:rsid w:val="0085741A"/>
    <w:rsid w:val="008665C7"/>
    <w:rsid w:val="0087004A"/>
    <w:rsid w:val="008710EF"/>
    <w:rsid w:val="00875A9A"/>
    <w:rsid w:val="00877A9A"/>
    <w:rsid w:val="0088048B"/>
    <w:rsid w:val="00890764"/>
    <w:rsid w:val="008A08BD"/>
    <w:rsid w:val="008A4AA0"/>
    <w:rsid w:val="008A5E9D"/>
    <w:rsid w:val="008A640A"/>
    <w:rsid w:val="008A6728"/>
    <w:rsid w:val="008B036C"/>
    <w:rsid w:val="008B1764"/>
    <w:rsid w:val="008B22F8"/>
    <w:rsid w:val="008B3A48"/>
    <w:rsid w:val="008C01F1"/>
    <w:rsid w:val="008C57D3"/>
    <w:rsid w:val="008C729C"/>
    <w:rsid w:val="008C779E"/>
    <w:rsid w:val="008E0229"/>
    <w:rsid w:val="008F4230"/>
    <w:rsid w:val="009014AF"/>
    <w:rsid w:val="009061B0"/>
    <w:rsid w:val="00915C8C"/>
    <w:rsid w:val="00916024"/>
    <w:rsid w:val="009242F4"/>
    <w:rsid w:val="00924C04"/>
    <w:rsid w:val="00926E3F"/>
    <w:rsid w:val="00927E28"/>
    <w:rsid w:val="00941D7D"/>
    <w:rsid w:val="00941F33"/>
    <w:rsid w:val="00942F3B"/>
    <w:rsid w:val="0094501E"/>
    <w:rsid w:val="00945CB6"/>
    <w:rsid w:val="0095093F"/>
    <w:rsid w:val="00953F9F"/>
    <w:rsid w:val="00960F4F"/>
    <w:rsid w:val="00961871"/>
    <w:rsid w:val="0096605A"/>
    <w:rsid w:val="00974443"/>
    <w:rsid w:val="00974D51"/>
    <w:rsid w:val="009803BA"/>
    <w:rsid w:val="00980F0D"/>
    <w:rsid w:val="00982A15"/>
    <w:rsid w:val="00983024"/>
    <w:rsid w:val="009905C3"/>
    <w:rsid w:val="009909FC"/>
    <w:rsid w:val="00993E84"/>
    <w:rsid w:val="009A0447"/>
    <w:rsid w:val="009B00CE"/>
    <w:rsid w:val="009B13A6"/>
    <w:rsid w:val="009B2C95"/>
    <w:rsid w:val="009C4402"/>
    <w:rsid w:val="009C5012"/>
    <w:rsid w:val="009C7070"/>
    <w:rsid w:val="009D5721"/>
    <w:rsid w:val="009D6B71"/>
    <w:rsid w:val="009E16B6"/>
    <w:rsid w:val="009E1D33"/>
    <w:rsid w:val="009E5A38"/>
    <w:rsid w:val="009E5DE0"/>
    <w:rsid w:val="009F0F69"/>
    <w:rsid w:val="009F522B"/>
    <w:rsid w:val="009F7BD9"/>
    <w:rsid w:val="00A005D5"/>
    <w:rsid w:val="00A014B3"/>
    <w:rsid w:val="00A03677"/>
    <w:rsid w:val="00A053B9"/>
    <w:rsid w:val="00A07D61"/>
    <w:rsid w:val="00A10996"/>
    <w:rsid w:val="00A11A31"/>
    <w:rsid w:val="00A1235B"/>
    <w:rsid w:val="00A14CF6"/>
    <w:rsid w:val="00A15BF2"/>
    <w:rsid w:val="00A20866"/>
    <w:rsid w:val="00A21BEF"/>
    <w:rsid w:val="00A22B18"/>
    <w:rsid w:val="00A271DD"/>
    <w:rsid w:val="00A31282"/>
    <w:rsid w:val="00A312FD"/>
    <w:rsid w:val="00A461C4"/>
    <w:rsid w:val="00A53066"/>
    <w:rsid w:val="00A56795"/>
    <w:rsid w:val="00A6191C"/>
    <w:rsid w:val="00A63B23"/>
    <w:rsid w:val="00A653D4"/>
    <w:rsid w:val="00A67E53"/>
    <w:rsid w:val="00A72FDE"/>
    <w:rsid w:val="00A75AE3"/>
    <w:rsid w:val="00A76E8F"/>
    <w:rsid w:val="00A77015"/>
    <w:rsid w:val="00A82DD3"/>
    <w:rsid w:val="00A847A1"/>
    <w:rsid w:val="00A87A79"/>
    <w:rsid w:val="00A9566D"/>
    <w:rsid w:val="00A95C39"/>
    <w:rsid w:val="00AA548A"/>
    <w:rsid w:val="00AA5FA6"/>
    <w:rsid w:val="00AA6AFC"/>
    <w:rsid w:val="00AB3E64"/>
    <w:rsid w:val="00AB495A"/>
    <w:rsid w:val="00AC03B3"/>
    <w:rsid w:val="00AC1E97"/>
    <w:rsid w:val="00AD7357"/>
    <w:rsid w:val="00AD7880"/>
    <w:rsid w:val="00AE430B"/>
    <w:rsid w:val="00AF0BD5"/>
    <w:rsid w:val="00AF10C2"/>
    <w:rsid w:val="00AF1BC0"/>
    <w:rsid w:val="00AF5EE2"/>
    <w:rsid w:val="00AF7046"/>
    <w:rsid w:val="00B01C7E"/>
    <w:rsid w:val="00B05956"/>
    <w:rsid w:val="00B2153D"/>
    <w:rsid w:val="00B2190B"/>
    <w:rsid w:val="00B26394"/>
    <w:rsid w:val="00B34E1C"/>
    <w:rsid w:val="00B3689A"/>
    <w:rsid w:val="00B40ECF"/>
    <w:rsid w:val="00B41232"/>
    <w:rsid w:val="00B41733"/>
    <w:rsid w:val="00B41E99"/>
    <w:rsid w:val="00B44500"/>
    <w:rsid w:val="00B55D51"/>
    <w:rsid w:val="00B602AD"/>
    <w:rsid w:val="00B61C64"/>
    <w:rsid w:val="00B64C93"/>
    <w:rsid w:val="00B66C65"/>
    <w:rsid w:val="00B7757D"/>
    <w:rsid w:val="00B81194"/>
    <w:rsid w:val="00B811E3"/>
    <w:rsid w:val="00B85D87"/>
    <w:rsid w:val="00B969A4"/>
    <w:rsid w:val="00B97AA1"/>
    <w:rsid w:val="00B97AD6"/>
    <w:rsid w:val="00BA18D5"/>
    <w:rsid w:val="00BA4A69"/>
    <w:rsid w:val="00BA52F9"/>
    <w:rsid w:val="00BA565B"/>
    <w:rsid w:val="00BB333B"/>
    <w:rsid w:val="00BB3A7C"/>
    <w:rsid w:val="00BC2C49"/>
    <w:rsid w:val="00BC4D0D"/>
    <w:rsid w:val="00BD2F9F"/>
    <w:rsid w:val="00BE3A7E"/>
    <w:rsid w:val="00BE4A73"/>
    <w:rsid w:val="00BE57EE"/>
    <w:rsid w:val="00C05387"/>
    <w:rsid w:val="00C064C2"/>
    <w:rsid w:val="00C06C4E"/>
    <w:rsid w:val="00C073A6"/>
    <w:rsid w:val="00C07F54"/>
    <w:rsid w:val="00C104B0"/>
    <w:rsid w:val="00C14E19"/>
    <w:rsid w:val="00C163B0"/>
    <w:rsid w:val="00C17E33"/>
    <w:rsid w:val="00C20EF0"/>
    <w:rsid w:val="00C23D3E"/>
    <w:rsid w:val="00C23D92"/>
    <w:rsid w:val="00C277F4"/>
    <w:rsid w:val="00C27FA2"/>
    <w:rsid w:val="00C327D1"/>
    <w:rsid w:val="00C32CBF"/>
    <w:rsid w:val="00C34AF3"/>
    <w:rsid w:val="00C37615"/>
    <w:rsid w:val="00C466F1"/>
    <w:rsid w:val="00C47091"/>
    <w:rsid w:val="00C518FA"/>
    <w:rsid w:val="00C5230B"/>
    <w:rsid w:val="00C56C40"/>
    <w:rsid w:val="00C625B5"/>
    <w:rsid w:val="00C704FB"/>
    <w:rsid w:val="00C70F07"/>
    <w:rsid w:val="00C72E2D"/>
    <w:rsid w:val="00C950EB"/>
    <w:rsid w:val="00C975A4"/>
    <w:rsid w:val="00CA2FF1"/>
    <w:rsid w:val="00CA3CE6"/>
    <w:rsid w:val="00CA66F9"/>
    <w:rsid w:val="00CB2499"/>
    <w:rsid w:val="00CB4933"/>
    <w:rsid w:val="00CB4C4C"/>
    <w:rsid w:val="00CD30C5"/>
    <w:rsid w:val="00CE0849"/>
    <w:rsid w:val="00CE4A06"/>
    <w:rsid w:val="00CE61AF"/>
    <w:rsid w:val="00CE6990"/>
    <w:rsid w:val="00CE72EC"/>
    <w:rsid w:val="00CF252E"/>
    <w:rsid w:val="00CF7719"/>
    <w:rsid w:val="00D0128F"/>
    <w:rsid w:val="00D03429"/>
    <w:rsid w:val="00D03CE3"/>
    <w:rsid w:val="00D04DEB"/>
    <w:rsid w:val="00D071C0"/>
    <w:rsid w:val="00D07594"/>
    <w:rsid w:val="00D07F22"/>
    <w:rsid w:val="00D12C33"/>
    <w:rsid w:val="00D13041"/>
    <w:rsid w:val="00D150B5"/>
    <w:rsid w:val="00D1707C"/>
    <w:rsid w:val="00D17BAA"/>
    <w:rsid w:val="00D2344B"/>
    <w:rsid w:val="00D277E7"/>
    <w:rsid w:val="00D32886"/>
    <w:rsid w:val="00D333A4"/>
    <w:rsid w:val="00D34342"/>
    <w:rsid w:val="00D36684"/>
    <w:rsid w:val="00D47BAE"/>
    <w:rsid w:val="00D5536C"/>
    <w:rsid w:val="00D613DF"/>
    <w:rsid w:val="00D65CE9"/>
    <w:rsid w:val="00D65E7A"/>
    <w:rsid w:val="00D73F2D"/>
    <w:rsid w:val="00D75CD0"/>
    <w:rsid w:val="00D76B0E"/>
    <w:rsid w:val="00D80679"/>
    <w:rsid w:val="00D8330C"/>
    <w:rsid w:val="00D8552B"/>
    <w:rsid w:val="00D86DC2"/>
    <w:rsid w:val="00D96DE3"/>
    <w:rsid w:val="00DA3646"/>
    <w:rsid w:val="00DA5D8E"/>
    <w:rsid w:val="00DB17A1"/>
    <w:rsid w:val="00DB55DA"/>
    <w:rsid w:val="00DC0B6C"/>
    <w:rsid w:val="00DC29E4"/>
    <w:rsid w:val="00DC5273"/>
    <w:rsid w:val="00DD5737"/>
    <w:rsid w:val="00DD6B82"/>
    <w:rsid w:val="00DD7B39"/>
    <w:rsid w:val="00DE17B8"/>
    <w:rsid w:val="00DE2C9E"/>
    <w:rsid w:val="00DF1B4C"/>
    <w:rsid w:val="00DF1ED1"/>
    <w:rsid w:val="00E041E2"/>
    <w:rsid w:val="00E10A38"/>
    <w:rsid w:val="00E146B8"/>
    <w:rsid w:val="00E17674"/>
    <w:rsid w:val="00E23FB5"/>
    <w:rsid w:val="00E24A42"/>
    <w:rsid w:val="00E27B18"/>
    <w:rsid w:val="00E3436E"/>
    <w:rsid w:val="00E35A85"/>
    <w:rsid w:val="00E3781E"/>
    <w:rsid w:val="00E42DB9"/>
    <w:rsid w:val="00E44D7C"/>
    <w:rsid w:val="00E54677"/>
    <w:rsid w:val="00E548C3"/>
    <w:rsid w:val="00E55077"/>
    <w:rsid w:val="00E553C2"/>
    <w:rsid w:val="00E56FE2"/>
    <w:rsid w:val="00E673BD"/>
    <w:rsid w:val="00E7098F"/>
    <w:rsid w:val="00E7536A"/>
    <w:rsid w:val="00E753D3"/>
    <w:rsid w:val="00E763B0"/>
    <w:rsid w:val="00E7777A"/>
    <w:rsid w:val="00E85487"/>
    <w:rsid w:val="00E92819"/>
    <w:rsid w:val="00E9375D"/>
    <w:rsid w:val="00E97C68"/>
    <w:rsid w:val="00EA3603"/>
    <w:rsid w:val="00EB1431"/>
    <w:rsid w:val="00EB3DB8"/>
    <w:rsid w:val="00EB4487"/>
    <w:rsid w:val="00EC0CD1"/>
    <w:rsid w:val="00EC318B"/>
    <w:rsid w:val="00EC4DF5"/>
    <w:rsid w:val="00ED0AA6"/>
    <w:rsid w:val="00ED4603"/>
    <w:rsid w:val="00ED526A"/>
    <w:rsid w:val="00ED5698"/>
    <w:rsid w:val="00EE58FF"/>
    <w:rsid w:val="00EE6387"/>
    <w:rsid w:val="00F00EF2"/>
    <w:rsid w:val="00F01ED7"/>
    <w:rsid w:val="00F062B5"/>
    <w:rsid w:val="00F10FB6"/>
    <w:rsid w:val="00F1378B"/>
    <w:rsid w:val="00F13C70"/>
    <w:rsid w:val="00F218E1"/>
    <w:rsid w:val="00F24249"/>
    <w:rsid w:val="00F24DC7"/>
    <w:rsid w:val="00F33F33"/>
    <w:rsid w:val="00F43972"/>
    <w:rsid w:val="00F46B84"/>
    <w:rsid w:val="00F55992"/>
    <w:rsid w:val="00F629FC"/>
    <w:rsid w:val="00F6440B"/>
    <w:rsid w:val="00F717A3"/>
    <w:rsid w:val="00F72759"/>
    <w:rsid w:val="00F75594"/>
    <w:rsid w:val="00F76005"/>
    <w:rsid w:val="00F80AB0"/>
    <w:rsid w:val="00F84035"/>
    <w:rsid w:val="00F85B8F"/>
    <w:rsid w:val="00F87860"/>
    <w:rsid w:val="00FA3F9F"/>
    <w:rsid w:val="00FB48A0"/>
    <w:rsid w:val="00FB6EC6"/>
    <w:rsid w:val="00FC0A07"/>
    <w:rsid w:val="00FC36FD"/>
    <w:rsid w:val="00FC78DF"/>
    <w:rsid w:val="00FD0992"/>
    <w:rsid w:val="00FD4164"/>
    <w:rsid w:val="00FD6E06"/>
    <w:rsid w:val="00FE381B"/>
    <w:rsid w:val="00FE77A0"/>
    <w:rsid w:val="00FE7817"/>
    <w:rsid w:val="00FF1D7A"/>
    <w:rsid w:val="00FF2686"/>
    <w:rsid w:val="00FF4DB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A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2F8"/>
    <w:rPr>
      <w:sz w:val="24"/>
      <w:szCs w:val="24"/>
      <w:lang w:val="en-US" w:eastAsia="en-US"/>
    </w:rPr>
  </w:style>
  <w:style w:type="paragraph" w:styleId="Nadpis1">
    <w:name w:val="heading 1"/>
    <w:basedOn w:val="Normlny"/>
    <w:next w:val="Normlny"/>
    <w:link w:val="Nadpis1Char"/>
    <w:qFormat/>
    <w:rsid w:val="002C544D"/>
    <w:pPr>
      <w:keepNext/>
      <w:spacing w:before="240" w:after="60"/>
      <w:outlineLvl w:val="0"/>
    </w:pPr>
    <w:rPr>
      <w:rFonts w:ascii="Arial" w:eastAsia="Times New Roman" w:hAnsi="Arial"/>
      <w:b/>
      <w:bCs/>
      <w:kern w:val="32"/>
      <w:sz w:val="32"/>
      <w:szCs w:val="32"/>
      <w:lang w:val="sk-SK" w:eastAsia="sk-SK"/>
    </w:rPr>
  </w:style>
  <w:style w:type="paragraph" w:styleId="Nadpis2">
    <w:name w:val="heading 2"/>
    <w:basedOn w:val="Normlny"/>
    <w:next w:val="Normlny"/>
    <w:link w:val="Nadpis2Char"/>
    <w:qFormat/>
    <w:rsid w:val="002C544D"/>
    <w:pPr>
      <w:keepNext/>
      <w:spacing w:before="240" w:after="60"/>
      <w:outlineLvl w:val="1"/>
    </w:pPr>
    <w:rPr>
      <w:rFonts w:ascii="Arial" w:eastAsia="Times New Roman" w:hAnsi="Arial"/>
      <w:b/>
      <w:bCs/>
      <w:i/>
      <w:iCs/>
      <w:sz w:val="28"/>
      <w:szCs w:val="28"/>
      <w:lang w:val="sk-SK" w:eastAsia="sk-SK"/>
    </w:rPr>
  </w:style>
  <w:style w:type="paragraph" w:styleId="Nadpis3">
    <w:name w:val="heading 3"/>
    <w:basedOn w:val="Normlny"/>
    <w:next w:val="Normlny"/>
    <w:link w:val="Nadpis3Char"/>
    <w:qFormat/>
    <w:rsid w:val="002C544D"/>
    <w:pPr>
      <w:keepNext/>
      <w:spacing w:before="240" w:after="60"/>
      <w:outlineLvl w:val="2"/>
    </w:pPr>
    <w:rPr>
      <w:rFonts w:ascii="Arial" w:eastAsia="Times New Roman" w:hAnsi="Arial"/>
      <w:b/>
      <w:bCs/>
      <w:sz w:val="26"/>
      <w:szCs w:val="26"/>
      <w:lang w:val="sk-SK" w:eastAsia="sk-SK"/>
    </w:rPr>
  </w:style>
  <w:style w:type="paragraph" w:styleId="Nadpis4">
    <w:name w:val="heading 4"/>
    <w:basedOn w:val="Normlny"/>
    <w:next w:val="Normlny"/>
    <w:link w:val="Nadpis4Char"/>
    <w:qFormat/>
    <w:rsid w:val="002C544D"/>
    <w:pPr>
      <w:keepNext/>
      <w:keepLines/>
      <w:spacing w:before="200" w:line="276" w:lineRule="auto"/>
      <w:outlineLvl w:val="3"/>
    </w:pPr>
    <w:rPr>
      <w:rFonts w:eastAsia="Times New Roman"/>
      <w:b/>
      <w:bCs/>
      <w:i/>
      <w:iCs/>
      <w:color w:val="244061"/>
      <w:sz w:val="22"/>
      <w:szCs w:val="22"/>
      <w:lang w:val="es-ES" w:eastAsia="es-ES"/>
    </w:rPr>
  </w:style>
  <w:style w:type="paragraph" w:styleId="Nadpis6">
    <w:name w:val="heading 6"/>
    <w:basedOn w:val="Normlny"/>
    <w:next w:val="Normlny"/>
    <w:link w:val="Nadpis6Char"/>
    <w:unhideWhenUsed/>
    <w:qFormat/>
    <w:rsid w:val="00460184"/>
    <w:pPr>
      <w:spacing w:before="240" w:after="60"/>
      <w:outlineLvl w:val="5"/>
    </w:pPr>
    <w:rPr>
      <w:rFonts w:ascii="Calibri" w:eastAsia="Times New Roman" w:hAnsi="Calibri"/>
      <w:b/>
      <w:bCs/>
      <w:sz w:val="22"/>
      <w:szCs w:val="22"/>
      <w:lang w:val="sk-SK"/>
    </w:rPr>
  </w:style>
  <w:style w:type="paragraph" w:styleId="Nadpis9">
    <w:name w:val="heading 9"/>
    <w:basedOn w:val="Normlny"/>
    <w:next w:val="Normlny"/>
    <w:link w:val="Nadpis9Char"/>
    <w:qFormat/>
    <w:rsid w:val="002C544D"/>
    <w:pPr>
      <w:spacing w:before="240" w:after="60"/>
      <w:outlineLvl w:val="8"/>
    </w:pPr>
    <w:rPr>
      <w:rFonts w:ascii="Arial" w:eastAsia="Times New Roman" w:hAnsi="Arial"/>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0006A"/>
    <w:pPr>
      <w:tabs>
        <w:tab w:val="center" w:pos="4320"/>
        <w:tab w:val="right" w:pos="8640"/>
      </w:tabs>
    </w:pPr>
  </w:style>
  <w:style w:type="character" w:customStyle="1" w:styleId="HlavikaChar">
    <w:name w:val="Hlavička Char"/>
    <w:basedOn w:val="Predvolenpsmoodseku"/>
    <w:link w:val="Hlavika"/>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nhideWhenUsed/>
    <w:rsid w:val="0030006A"/>
    <w:rPr>
      <w:rFonts w:ascii="Lucida Grande" w:hAnsi="Lucida Grande"/>
      <w:sz w:val="18"/>
      <w:szCs w:val="18"/>
      <w:lang w:val="x-none" w:eastAsia="x-none"/>
    </w:rPr>
  </w:style>
  <w:style w:type="character" w:customStyle="1" w:styleId="TextbublinyChar">
    <w:name w:val="Text bubliny Char"/>
    <w:link w:val="Textbubliny"/>
    <w:rsid w:val="0030006A"/>
    <w:rPr>
      <w:rFonts w:ascii="Lucida Grande" w:hAnsi="Lucida Grande"/>
      <w:sz w:val="18"/>
      <w:szCs w:val="18"/>
    </w:rPr>
  </w:style>
  <w:style w:type="character" w:styleId="slostrany">
    <w:name w:val="page number"/>
    <w:basedOn w:val="Predvolenpsmoodseku"/>
    <w:unhideWhenUsed/>
    <w:rsid w:val="0030006A"/>
  </w:style>
  <w:style w:type="paragraph" w:customStyle="1" w:styleId="Default">
    <w:name w:val="Default"/>
    <w:qFormat/>
    <w:rsid w:val="005A1790"/>
    <w:pPr>
      <w:widowControl w:val="0"/>
      <w:autoSpaceDE w:val="0"/>
      <w:autoSpaceDN w:val="0"/>
      <w:adjustRightInd w:val="0"/>
    </w:pPr>
    <w:rPr>
      <w:rFonts w:ascii="Myriad Pro" w:hAnsi="Myriad Pro" w:cs="Myriad Pro"/>
      <w:color w:val="000000"/>
      <w:sz w:val="24"/>
      <w:szCs w:val="24"/>
      <w:lang w:val="en-US" w:eastAsia="en-US"/>
    </w:rPr>
  </w:style>
  <w:style w:type="paragraph" w:styleId="Odsekzoznamu">
    <w:name w:val="List Paragraph"/>
    <w:basedOn w:val="Normlny"/>
    <w:uiPriority w:val="34"/>
    <w:qFormat/>
    <w:rsid w:val="00C47091"/>
    <w:pPr>
      <w:ind w:left="720"/>
      <w:contextualSpacing/>
    </w:pPr>
  </w:style>
  <w:style w:type="table" w:styleId="Mriekatabuky">
    <w:name w:val="Table Grid"/>
    <w:basedOn w:val="Normlnatabuka"/>
    <w:uiPriority w:val="59"/>
    <w:rsid w:val="006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uiPriority w:val="99"/>
    <w:semiHidden/>
    <w:unhideWhenUsed/>
    <w:rsid w:val="004F1CB9"/>
    <w:rPr>
      <w:rFonts w:ascii="Courier New" w:eastAsia="Times New Roman" w:hAnsi="Courier New" w:cs="Courier New"/>
      <w:sz w:val="20"/>
      <w:szCs w:val="20"/>
    </w:rPr>
  </w:style>
  <w:style w:type="character" w:styleId="Siln">
    <w:name w:val="Strong"/>
    <w:uiPriority w:val="22"/>
    <w:qFormat/>
    <w:rsid w:val="00D96DE3"/>
    <w:rPr>
      <w:b/>
      <w:bCs/>
      <w:i w:val="0"/>
      <w:iCs w:val="0"/>
    </w:rPr>
  </w:style>
  <w:style w:type="paragraph" w:styleId="Normlnywebov">
    <w:name w:val="Normal (Web)"/>
    <w:basedOn w:val="Normlny"/>
    <w:uiPriority w:val="99"/>
    <w:unhideWhenUsed/>
    <w:rsid w:val="00D96DE3"/>
    <w:pPr>
      <w:spacing w:before="100" w:beforeAutospacing="1" w:after="240"/>
    </w:pPr>
    <w:rPr>
      <w:rFonts w:ascii="Times New Roman" w:eastAsia="Times New Roman" w:hAnsi="Times New Roman"/>
      <w:lang w:val="sk-SK" w:eastAsia="sk-SK"/>
    </w:rPr>
  </w:style>
  <w:style w:type="character" w:customStyle="1" w:styleId="Nadpis1Char">
    <w:name w:val="Nadpis 1 Char"/>
    <w:link w:val="Nadpis1"/>
    <w:rsid w:val="002C544D"/>
    <w:rPr>
      <w:rFonts w:ascii="Arial" w:eastAsia="Times New Roman" w:hAnsi="Arial" w:cs="Arial"/>
      <w:b/>
      <w:bCs/>
      <w:kern w:val="32"/>
      <w:sz w:val="32"/>
      <w:szCs w:val="32"/>
      <w:lang w:val="sk-SK" w:eastAsia="sk-SK"/>
    </w:rPr>
  </w:style>
  <w:style w:type="character" w:customStyle="1" w:styleId="Nadpis2Char">
    <w:name w:val="Nadpis 2 Char"/>
    <w:link w:val="Nadpis2"/>
    <w:rsid w:val="002C544D"/>
    <w:rPr>
      <w:rFonts w:ascii="Arial" w:eastAsia="Times New Roman" w:hAnsi="Arial" w:cs="Arial"/>
      <w:b/>
      <w:bCs/>
      <w:i/>
      <w:iCs/>
      <w:sz w:val="28"/>
      <w:szCs w:val="28"/>
      <w:lang w:val="sk-SK" w:eastAsia="sk-SK"/>
    </w:rPr>
  </w:style>
  <w:style w:type="character" w:customStyle="1" w:styleId="Nadpis3Char">
    <w:name w:val="Nadpis 3 Char"/>
    <w:link w:val="Nadpis3"/>
    <w:rsid w:val="002C544D"/>
    <w:rPr>
      <w:rFonts w:ascii="Arial" w:eastAsia="Times New Roman" w:hAnsi="Arial" w:cs="Arial"/>
      <w:b/>
      <w:bCs/>
      <w:sz w:val="26"/>
      <w:szCs w:val="26"/>
      <w:lang w:val="sk-SK" w:eastAsia="sk-SK"/>
    </w:rPr>
  </w:style>
  <w:style w:type="character" w:customStyle="1" w:styleId="Nadpis4Char">
    <w:name w:val="Nadpis 4 Char"/>
    <w:link w:val="Nadpis4"/>
    <w:rsid w:val="002C544D"/>
    <w:rPr>
      <w:rFonts w:ascii="Cambria" w:eastAsia="Times New Roman" w:hAnsi="Cambria" w:cs="Times New Roman"/>
      <w:b/>
      <w:bCs/>
      <w:i/>
      <w:iCs/>
      <w:color w:val="244061"/>
      <w:sz w:val="22"/>
      <w:szCs w:val="22"/>
      <w:lang w:val="es-ES" w:eastAsia="es-ES"/>
    </w:rPr>
  </w:style>
  <w:style w:type="character" w:customStyle="1" w:styleId="Nadpis9Char">
    <w:name w:val="Nadpis 9 Char"/>
    <w:link w:val="Nadpis9"/>
    <w:rsid w:val="002C544D"/>
    <w:rPr>
      <w:rFonts w:ascii="Arial" w:eastAsia="Times New Roman" w:hAnsi="Arial" w:cs="Arial"/>
      <w:sz w:val="22"/>
      <w:szCs w:val="22"/>
      <w:lang w:val="sk-SK" w:eastAsia="sk-SK"/>
    </w:rPr>
  </w:style>
  <w:style w:type="character" w:styleId="Hypertextovprepojenie">
    <w:name w:val="Hyperlink"/>
    <w:rsid w:val="002C544D"/>
    <w:rPr>
      <w:rFonts w:cs="Times New Roman"/>
      <w:color w:val="0000FF"/>
      <w:u w:val="single"/>
    </w:rPr>
  </w:style>
  <w:style w:type="paragraph" w:styleId="Obyajntext">
    <w:name w:val="Plain Text"/>
    <w:basedOn w:val="Normlny"/>
    <w:link w:val="ObyajntextChar"/>
    <w:rsid w:val="002C544D"/>
    <w:rPr>
      <w:rFonts w:ascii="Courier New" w:eastAsia="Times New Roman" w:hAnsi="Courier New"/>
      <w:sz w:val="20"/>
      <w:szCs w:val="20"/>
      <w:lang w:val="sk-SK" w:eastAsia="cs-CZ"/>
    </w:rPr>
  </w:style>
  <w:style w:type="character" w:customStyle="1" w:styleId="ObyajntextChar">
    <w:name w:val="Obyčajný text Char"/>
    <w:link w:val="Obyajntext"/>
    <w:rsid w:val="002C544D"/>
    <w:rPr>
      <w:rFonts w:ascii="Courier New" w:eastAsia="Times New Roman" w:hAnsi="Courier New" w:cs="Times New Roman"/>
      <w:sz w:val="20"/>
      <w:szCs w:val="20"/>
      <w:lang w:val="sk-SK" w:eastAsia="cs-CZ"/>
    </w:rPr>
  </w:style>
  <w:style w:type="paragraph" w:styleId="Podtitul">
    <w:name w:val="Subtitle"/>
    <w:basedOn w:val="Normlny"/>
    <w:link w:val="PodtitulChar"/>
    <w:qFormat/>
    <w:rsid w:val="002C544D"/>
    <w:pPr>
      <w:jc w:val="both"/>
    </w:pPr>
    <w:rPr>
      <w:rFonts w:ascii="Times New Roman" w:eastAsia="Times New Roman" w:hAnsi="Times New Roman"/>
      <w:b/>
      <w:smallCaps/>
      <w:sz w:val="20"/>
      <w:szCs w:val="20"/>
      <w:lang w:val="sk-SK" w:eastAsia="cs-CZ"/>
    </w:rPr>
  </w:style>
  <w:style w:type="character" w:customStyle="1" w:styleId="PodtitulChar">
    <w:name w:val="Podtitul Char"/>
    <w:link w:val="Podtitul"/>
    <w:rsid w:val="002C544D"/>
    <w:rPr>
      <w:rFonts w:ascii="Times New Roman" w:eastAsia="Times New Roman" w:hAnsi="Times New Roman" w:cs="Times New Roman"/>
      <w:b/>
      <w:smallCaps/>
      <w:szCs w:val="20"/>
      <w:lang w:val="sk-SK" w:eastAsia="cs-CZ"/>
    </w:rPr>
  </w:style>
  <w:style w:type="paragraph" w:customStyle="1" w:styleId="Hlava">
    <w:name w:val="Hlava"/>
    <w:basedOn w:val="Nadpis3"/>
    <w:rsid w:val="002C544D"/>
    <w:pPr>
      <w:jc w:val="center"/>
    </w:pPr>
    <w:rPr>
      <w:lang w:eastAsia="en-US"/>
    </w:rPr>
  </w:style>
  <w:style w:type="paragraph" w:styleId="Textpoznmkypodiarou">
    <w:name w:val="footnote text"/>
    <w:basedOn w:val="Normlny"/>
    <w:link w:val="TextpoznmkypodiarouChar"/>
    <w:uiPriority w:val="99"/>
    <w:rsid w:val="002C544D"/>
    <w:rPr>
      <w:rFonts w:ascii="Times New Roman" w:eastAsia="Times New Roman" w:hAnsi="Times New Roman"/>
      <w:sz w:val="20"/>
      <w:szCs w:val="20"/>
      <w:lang w:val="sk-SK" w:eastAsia="cs-CZ"/>
    </w:rPr>
  </w:style>
  <w:style w:type="character" w:customStyle="1" w:styleId="TextpoznmkypodiarouChar">
    <w:name w:val="Text poznámky pod čiarou Char"/>
    <w:link w:val="Textpoznmkypodiarou"/>
    <w:uiPriority w:val="99"/>
    <w:rsid w:val="002C544D"/>
    <w:rPr>
      <w:rFonts w:ascii="Times New Roman" w:eastAsia="Times New Roman" w:hAnsi="Times New Roman" w:cs="Times New Roman"/>
      <w:sz w:val="20"/>
      <w:szCs w:val="20"/>
      <w:lang w:val="sk-SK" w:eastAsia="cs-CZ"/>
    </w:rPr>
  </w:style>
  <w:style w:type="character" w:styleId="Odkaznapoznmkupodiarou">
    <w:name w:val="footnote reference"/>
    <w:uiPriority w:val="99"/>
    <w:rsid w:val="002C544D"/>
    <w:rPr>
      <w:rFonts w:cs="Times New Roman"/>
      <w:vertAlign w:val="superscript"/>
    </w:rPr>
  </w:style>
  <w:style w:type="paragraph" w:styleId="Zarkazkladnhotextu2">
    <w:name w:val="Body Text Indent 2"/>
    <w:basedOn w:val="Normlny"/>
    <w:link w:val="Zarkazkladnhotextu2Char"/>
    <w:rsid w:val="002C544D"/>
    <w:pPr>
      <w:spacing w:after="120" w:line="480" w:lineRule="auto"/>
      <w:ind w:left="283"/>
    </w:pPr>
    <w:rPr>
      <w:rFonts w:ascii="Times New Roman" w:eastAsia="Times New Roman" w:hAnsi="Times New Roman"/>
      <w:sz w:val="20"/>
      <w:szCs w:val="20"/>
      <w:lang w:val="sk-SK" w:eastAsia="sk-SK"/>
    </w:rPr>
  </w:style>
  <w:style w:type="character" w:customStyle="1" w:styleId="Zarkazkladnhotextu2Char">
    <w:name w:val="Zarážka základného textu 2 Char"/>
    <w:link w:val="Zarkazkladnhotextu2"/>
    <w:rsid w:val="002C544D"/>
    <w:rPr>
      <w:rFonts w:ascii="Times New Roman" w:eastAsia="Times New Roman" w:hAnsi="Times New Roman" w:cs="Times New Roman"/>
      <w:lang w:val="sk-SK" w:eastAsia="sk-SK"/>
    </w:rPr>
  </w:style>
  <w:style w:type="character" w:styleId="PouitHypertextovPrepojenie">
    <w:name w:val="FollowedHyperlink"/>
    <w:rsid w:val="002C544D"/>
    <w:rPr>
      <w:color w:val="800080"/>
      <w:u w:val="single"/>
    </w:rPr>
  </w:style>
  <w:style w:type="paragraph" w:styleId="truktradokumentu">
    <w:name w:val="Document Map"/>
    <w:basedOn w:val="Normlny"/>
    <w:link w:val="truktradokumentuChar"/>
    <w:semiHidden/>
    <w:rsid w:val="002C544D"/>
    <w:pPr>
      <w:shd w:val="clear" w:color="auto" w:fill="000080"/>
    </w:pPr>
    <w:rPr>
      <w:rFonts w:ascii="Tahoma" w:eastAsia="Times New Roman" w:hAnsi="Tahoma"/>
      <w:sz w:val="20"/>
      <w:szCs w:val="20"/>
      <w:lang w:val="sk-SK" w:eastAsia="sk-SK"/>
    </w:rPr>
  </w:style>
  <w:style w:type="character" w:customStyle="1" w:styleId="truktradokumentuChar">
    <w:name w:val="Štruktúra dokumentu Char"/>
    <w:link w:val="truktradokumentu"/>
    <w:semiHidden/>
    <w:rsid w:val="002C544D"/>
    <w:rPr>
      <w:rFonts w:ascii="Tahoma" w:eastAsia="Times New Roman" w:hAnsi="Tahoma" w:cs="Tahoma"/>
      <w:sz w:val="20"/>
      <w:szCs w:val="20"/>
      <w:shd w:val="clear" w:color="auto" w:fill="000080"/>
      <w:lang w:val="sk-SK" w:eastAsia="sk-SK"/>
    </w:rPr>
  </w:style>
  <w:style w:type="paragraph" w:styleId="Zkladntext3">
    <w:name w:val="Body Text 3"/>
    <w:basedOn w:val="Normlny"/>
    <w:link w:val="Zkladntext3Char"/>
    <w:rsid w:val="002C544D"/>
    <w:pPr>
      <w:spacing w:after="120"/>
    </w:pPr>
    <w:rPr>
      <w:rFonts w:ascii="Times New Roman" w:eastAsia="Times New Roman" w:hAnsi="Times New Roman"/>
      <w:sz w:val="16"/>
      <w:szCs w:val="16"/>
      <w:lang w:val="sk-SK" w:eastAsia="sk-SK"/>
    </w:rPr>
  </w:style>
  <w:style w:type="character" w:customStyle="1" w:styleId="Zkladntext3Char">
    <w:name w:val="Základný text 3 Char"/>
    <w:link w:val="Zkladntext3"/>
    <w:rsid w:val="002C544D"/>
    <w:rPr>
      <w:rFonts w:ascii="Times New Roman" w:eastAsia="Times New Roman" w:hAnsi="Times New Roman" w:cs="Times New Roman"/>
      <w:sz w:val="16"/>
      <w:szCs w:val="16"/>
      <w:lang w:val="sk-SK" w:eastAsia="sk-SK"/>
    </w:rPr>
  </w:style>
  <w:style w:type="paragraph" w:styleId="Zarkazkladnhotextu3">
    <w:name w:val="Body Text Indent 3"/>
    <w:basedOn w:val="Normlny"/>
    <w:link w:val="Zarkazkladnhotextu3Char"/>
    <w:rsid w:val="002C544D"/>
    <w:pPr>
      <w:spacing w:after="120"/>
      <w:ind w:left="283"/>
    </w:pPr>
    <w:rPr>
      <w:rFonts w:ascii="Times New Roman" w:eastAsia="Times New Roman" w:hAnsi="Times New Roman"/>
      <w:sz w:val="16"/>
      <w:szCs w:val="16"/>
      <w:lang w:val="sk-SK" w:eastAsia="sk-SK"/>
    </w:rPr>
  </w:style>
  <w:style w:type="character" w:customStyle="1" w:styleId="Zarkazkladnhotextu3Char">
    <w:name w:val="Zarážka základného textu 3 Char"/>
    <w:link w:val="Zarkazkladnhotextu3"/>
    <w:rsid w:val="002C544D"/>
    <w:rPr>
      <w:rFonts w:ascii="Times New Roman" w:eastAsia="Times New Roman" w:hAnsi="Times New Roman" w:cs="Times New Roman"/>
      <w:sz w:val="16"/>
      <w:szCs w:val="16"/>
      <w:lang w:val="sk-SK" w:eastAsia="sk-SK"/>
    </w:rPr>
  </w:style>
  <w:style w:type="paragraph" w:styleId="Zkladntext">
    <w:name w:val="Body Text"/>
    <w:basedOn w:val="Normlny"/>
    <w:link w:val="ZkladntextChar"/>
    <w:rsid w:val="002C544D"/>
    <w:pPr>
      <w:spacing w:after="120"/>
    </w:pPr>
    <w:rPr>
      <w:rFonts w:ascii="Times New Roman" w:eastAsia="Times New Roman" w:hAnsi="Times New Roman"/>
      <w:sz w:val="20"/>
      <w:szCs w:val="20"/>
      <w:lang w:val="sk-SK" w:eastAsia="sk-SK"/>
    </w:rPr>
  </w:style>
  <w:style w:type="character" w:customStyle="1" w:styleId="ZkladntextChar">
    <w:name w:val="Základný text Char"/>
    <w:link w:val="Zkladntext"/>
    <w:rsid w:val="002C544D"/>
    <w:rPr>
      <w:rFonts w:ascii="Times New Roman" w:eastAsia="Times New Roman" w:hAnsi="Times New Roman" w:cs="Times New Roman"/>
      <w:lang w:val="sk-SK" w:eastAsia="sk-SK"/>
    </w:rPr>
  </w:style>
  <w:style w:type="paragraph" w:styleId="Zkladntext2">
    <w:name w:val="Body Text 2"/>
    <w:basedOn w:val="Normlny"/>
    <w:link w:val="Zkladntext2Char"/>
    <w:rsid w:val="002C544D"/>
    <w:pPr>
      <w:spacing w:after="120" w:line="480" w:lineRule="auto"/>
    </w:pPr>
    <w:rPr>
      <w:rFonts w:ascii="Times New Roman" w:eastAsia="Times New Roman" w:hAnsi="Times New Roman"/>
      <w:sz w:val="20"/>
      <w:szCs w:val="20"/>
      <w:lang w:val="sk-SK" w:eastAsia="sk-SK"/>
    </w:rPr>
  </w:style>
  <w:style w:type="character" w:customStyle="1" w:styleId="Zkladntext2Char">
    <w:name w:val="Základný text 2 Char"/>
    <w:link w:val="Zkladntext2"/>
    <w:rsid w:val="002C544D"/>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2C544D"/>
    <w:pPr>
      <w:spacing w:after="120"/>
      <w:ind w:left="283"/>
    </w:pPr>
    <w:rPr>
      <w:rFonts w:ascii="Times New Roman" w:eastAsia="Times New Roman" w:hAnsi="Times New Roman"/>
      <w:sz w:val="20"/>
      <w:szCs w:val="20"/>
      <w:lang w:val="sk-SK" w:eastAsia="sk-SK"/>
    </w:rPr>
  </w:style>
  <w:style w:type="character" w:customStyle="1" w:styleId="ZarkazkladnhotextuChar">
    <w:name w:val="Zarážka základného textu Char"/>
    <w:link w:val="Zarkazkladnhotextu"/>
    <w:rsid w:val="002C544D"/>
    <w:rPr>
      <w:rFonts w:ascii="Times New Roman" w:eastAsia="Times New Roman" w:hAnsi="Times New Roman" w:cs="Times New Roman"/>
      <w:lang w:val="sk-SK" w:eastAsia="sk-SK"/>
    </w:rPr>
  </w:style>
  <w:style w:type="paragraph" w:styleId="Nzov">
    <w:name w:val="Title"/>
    <w:basedOn w:val="Normlny"/>
    <w:link w:val="NzovChar"/>
    <w:qFormat/>
    <w:rsid w:val="002C544D"/>
    <w:pPr>
      <w:jc w:val="center"/>
    </w:pPr>
    <w:rPr>
      <w:rFonts w:ascii="Times New Roman" w:eastAsia="Times New Roman" w:hAnsi="Times New Roman"/>
      <w:b/>
      <w:bCs/>
      <w:sz w:val="20"/>
      <w:szCs w:val="20"/>
      <w:lang w:val="sk-SK" w:eastAsia="sk-SK"/>
    </w:rPr>
  </w:style>
  <w:style w:type="character" w:customStyle="1" w:styleId="NzovChar">
    <w:name w:val="Názov Char"/>
    <w:link w:val="Nzov"/>
    <w:rsid w:val="002C544D"/>
    <w:rPr>
      <w:rFonts w:ascii="Times New Roman" w:eastAsia="Times New Roman" w:hAnsi="Times New Roman" w:cs="Times New Roman"/>
      <w:b/>
      <w:bCs/>
      <w:lang w:val="sk-SK" w:eastAsia="sk-SK"/>
    </w:rPr>
  </w:style>
  <w:style w:type="paragraph" w:customStyle="1" w:styleId="C2">
    <w:name w:val="C2"/>
    <w:basedOn w:val="Normlny"/>
    <w:next w:val="Normlny"/>
    <w:link w:val="C2CharChar"/>
    <w:rsid w:val="002C544D"/>
    <w:pPr>
      <w:numPr>
        <w:ilvl w:val="1"/>
        <w:numId w:val="1"/>
      </w:numPr>
      <w:tabs>
        <w:tab w:val="clear" w:pos="1692"/>
        <w:tab w:val="num" w:pos="1260"/>
        <w:tab w:val="left" w:pos="1980"/>
        <w:tab w:val="left" w:pos="2880"/>
      </w:tabs>
      <w:spacing w:before="60"/>
      <w:ind w:left="1260" w:hanging="1260"/>
    </w:pPr>
    <w:rPr>
      <w:rFonts w:ascii="Times New Roman" w:eastAsia="Times New Roman" w:hAnsi="Times New Roman"/>
      <w:b/>
      <w:sz w:val="20"/>
      <w:szCs w:val="20"/>
      <w:lang w:val="x-none" w:eastAsia="cs-CZ"/>
    </w:rPr>
  </w:style>
  <w:style w:type="character" w:customStyle="1" w:styleId="C2CharChar">
    <w:name w:val="C2 Char Char"/>
    <w:link w:val="C2"/>
    <w:rsid w:val="002C544D"/>
    <w:rPr>
      <w:rFonts w:ascii="Times New Roman" w:eastAsia="Times New Roman" w:hAnsi="Times New Roman"/>
      <w:b/>
      <w:lang w:val="x-none" w:eastAsia="cs-CZ"/>
    </w:rPr>
  </w:style>
  <w:style w:type="paragraph" w:styleId="Zoznam">
    <w:name w:val="List"/>
    <w:basedOn w:val="Normlny"/>
    <w:rsid w:val="002C544D"/>
    <w:pPr>
      <w:ind w:left="283" w:hanging="283"/>
      <w:jc w:val="both"/>
    </w:pPr>
    <w:rPr>
      <w:rFonts w:ascii="Times New Roman" w:eastAsia="Times New Roman" w:hAnsi="Times New Roman"/>
      <w:szCs w:val="20"/>
      <w:lang w:val="sk-SK" w:eastAsia="sk-SK"/>
    </w:rPr>
  </w:style>
  <w:style w:type="numbering" w:customStyle="1" w:styleId="tl1">
    <w:name w:val="Štýl1"/>
    <w:rsid w:val="002C544D"/>
    <w:pPr>
      <w:numPr>
        <w:numId w:val="2"/>
      </w:numPr>
    </w:pPr>
  </w:style>
  <w:style w:type="numbering" w:customStyle="1" w:styleId="tl2">
    <w:name w:val="Štýl2"/>
    <w:rsid w:val="002C544D"/>
    <w:pPr>
      <w:numPr>
        <w:numId w:val="3"/>
      </w:numPr>
    </w:pPr>
  </w:style>
  <w:style w:type="character" w:styleId="Odkaznakomentr">
    <w:name w:val="annotation reference"/>
    <w:rsid w:val="002C544D"/>
    <w:rPr>
      <w:sz w:val="16"/>
      <w:szCs w:val="16"/>
    </w:rPr>
  </w:style>
  <w:style w:type="paragraph" w:styleId="Textkomentra">
    <w:name w:val="annotation text"/>
    <w:basedOn w:val="Normlny"/>
    <w:link w:val="TextkomentraChar"/>
    <w:rsid w:val="002C544D"/>
    <w:rPr>
      <w:rFonts w:ascii="Times New Roman" w:eastAsia="Times New Roman" w:hAnsi="Times New Roman"/>
      <w:sz w:val="20"/>
      <w:szCs w:val="20"/>
      <w:lang w:val="sk-SK" w:eastAsia="sk-SK"/>
    </w:rPr>
  </w:style>
  <w:style w:type="character" w:customStyle="1" w:styleId="TextkomentraChar">
    <w:name w:val="Text komentára Char"/>
    <w:link w:val="Textkomentra"/>
    <w:rsid w:val="002C544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rsid w:val="002C544D"/>
    <w:rPr>
      <w:b/>
      <w:bCs/>
    </w:rPr>
  </w:style>
  <w:style w:type="character" w:customStyle="1" w:styleId="PredmetkomentraChar">
    <w:name w:val="Predmet komentára Char"/>
    <w:link w:val="Predmetkomentra"/>
    <w:rsid w:val="002C544D"/>
    <w:rPr>
      <w:rFonts w:ascii="Times New Roman" w:eastAsia="Times New Roman" w:hAnsi="Times New Roman" w:cs="Times New Roman"/>
      <w:b/>
      <w:bCs/>
      <w:sz w:val="20"/>
      <w:szCs w:val="20"/>
      <w:lang w:val="sk-SK" w:eastAsia="sk-SK"/>
    </w:rPr>
  </w:style>
  <w:style w:type="character" w:customStyle="1" w:styleId="Zkladntext20">
    <w:name w:val="Základný text (2)_"/>
    <w:basedOn w:val="Predvolenpsmoodseku"/>
    <w:link w:val="Zkladntext21"/>
    <w:rsid w:val="00B7757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7757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7757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 w:type="character" w:customStyle="1" w:styleId="A0">
    <w:name w:val="A0"/>
    <w:rsid w:val="00945CB6"/>
    <w:rPr>
      <w:rFonts w:ascii="Helvetica" w:hAnsi="Helvetica" w:cs="Helvetica" w:hint="default"/>
      <w:color w:val="221E1F"/>
      <w:sz w:val="20"/>
      <w:szCs w:val="20"/>
    </w:rPr>
  </w:style>
  <w:style w:type="character" w:customStyle="1" w:styleId="Nadpis6Char">
    <w:name w:val="Nadpis 6 Char"/>
    <w:basedOn w:val="Predvolenpsmoodseku"/>
    <w:link w:val="Nadpis6"/>
    <w:rsid w:val="00460184"/>
    <w:rPr>
      <w:rFonts w:ascii="Calibri" w:eastAsia="Times New Roman" w:hAnsi="Calibri"/>
      <w:b/>
      <w:bCs/>
      <w:sz w:val="22"/>
      <w:szCs w:val="22"/>
      <w:lang w:eastAsia="en-US"/>
    </w:rPr>
  </w:style>
  <w:style w:type="character" w:customStyle="1" w:styleId="tl1Char">
    <w:name w:val="Štýl1 Char"/>
    <w:basedOn w:val="Predvolenpsmoodseku"/>
    <w:rsid w:val="00D03CE3"/>
    <w:rPr>
      <w:rFonts w:eastAsia="Times New Roman" w:cs="Times New Roman"/>
      <w:b/>
      <w:u w:val="single"/>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2F8"/>
    <w:rPr>
      <w:sz w:val="24"/>
      <w:szCs w:val="24"/>
      <w:lang w:val="en-US" w:eastAsia="en-US"/>
    </w:rPr>
  </w:style>
  <w:style w:type="paragraph" w:styleId="Nadpis1">
    <w:name w:val="heading 1"/>
    <w:basedOn w:val="Normlny"/>
    <w:next w:val="Normlny"/>
    <w:link w:val="Nadpis1Char"/>
    <w:qFormat/>
    <w:rsid w:val="002C544D"/>
    <w:pPr>
      <w:keepNext/>
      <w:spacing w:before="240" w:after="60"/>
      <w:outlineLvl w:val="0"/>
    </w:pPr>
    <w:rPr>
      <w:rFonts w:ascii="Arial" w:eastAsia="Times New Roman" w:hAnsi="Arial"/>
      <w:b/>
      <w:bCs/>
      <w:kern w:val="32"/>
      <w:sz w:val="32"/>
      <w:szCs w:val="32"/>
      <w:lang w:val="sk-SK" w:eastAsia="sk-SK"/>
    </w:rPr>
  </w:style>
  <w:style w:type="paragraph" w:styleId="Nadpis2">
    <w:name w:val="heading 2"/>
    <w:basedOn w:val="Normlny"/>
    <w:next w:val="Normlny"/>
    <w:link w:val="Nadpis2Char"/>
    <w:qFormat/>
    <w:rsid w:val="002C544D"/>
    <w:pPr>
      <w:keepNext/>
      <w:spacing w:before="240" w:after="60"/>
      <w:outlineLvl w:val="1"/>
    </w:pPr>
    <w:rPr>
      <w:rFonts w:ascii="Arial" w:eastAsia="Times New Roman" w:hAnsi="Arial"/>
      <w:b/>
      <w:bCs/>
      <w:i/>
      <w:iCs/>
      <w:sz w:val="28"/>
      <w:szCs w:val="28"/>
      <w:lang w:val="sk-SK" w:eastAsia="sk-SK"/>
    </w:rPr>
  </w:style>
  <w:style w:type="paragraph" w:styleId="Nadpis3">
    <w:name w:val="heading 3"/>
    <w:basedOn w:val="Normlny"/>
    <w:next w:val="Normlny"/>
    <w:link w:val="Nadpis3Char"/>
    <w:qFormat/>
    <w:rsid w:val="002C544D"/>
    <w:pPr>
      <w:keepNext/>
      <w:spacing w:before="240" w:after="60"/>
      <w:outlineLvl w:val="2"/>
    </w:pPr>
    <w:rPr>
      <w:rFonts w:ascii="Arial" w:eastAsia="Times New Roman" w:hAnsi="Arial"/>
      <w:b/>
      <w:bCs/>
      <w:sz w:val="26"/>
      <w:szCs w:val="26"/>
      <w:lang w:val="sk-SK" w:eastAsia="sk-SK"/>
    </w:rPr>
  </w:style>
  <w:style w:type="paragraph" w:styleId="Nadpis4">
    <w:name w:val="heading 4"/>
    <w:basedOn w:val="Normlny"/>
    <w:next w:val="Normlny"/>
    <w:link w:val="Nadpis4Char"/>
    <w:qFormat/>
    <w:rsid w:val="002C544D"/>
    <w:pPr>
      <w:keepNext/>
      <w:keepLines/>
      <w:spacing w:before="200" w:line="276" w:lineRule="auto"/>
      <w:outlineLvl w:val="3"/>
    </w:pPr>
    <w:rPr>
      <w:rFonts w:eastAsia="Times New Roman"/>
      <w:b/>
      <w:bCs/>
      <w:i/>
      <w:iCs/>
      <w:color w:val="244061"/>
      <w:sz w:val="22"/>
      <w:szCs w:val="22"/>
      <w:lang w:val="es-ES" w:eastAsia="es-ES"/>
    </w:rPr>
  </w:style>
  <w:style w:type="paragraph" w:styleId="Nadpis6">
    <w:name w:val="heading 6"/>
    <w:basedOn w:val="Normlny"/>
    <w:next w:val="Normlny"/>
    <w:link w:val="Nadpis6Char"/>
    <w:unhideWhenUsed/>
    <w:qFormat/>
    <w:rsid w:val="00460184"/>
    <w:pPr>
      <w:spacing w:before="240" w:after="60"/>
      <w:outlineLvl w:val="5"/>
    </w:pPr>
    <w:rPr>
      <w:rFonts w:ascii="Calibri" w:eastAsia="Times New Roman" w:hAnsi="Calibri"/>
      <w:b/>
      <w:bCs/>
      <w:sz w:val="22"/>
      <w:szCs w:val="22"/>
      <w:lang w:val="sk-SK"/>
    </w:rPr>
  </w:style>
  <w:style w:type="paragraph" w:styleId="Nadpis9">
    <w:name w:val="heading 9"/>
    <w:basedOn w:val="Normlny"/>
    <w:next w:val="Normlny"/>
    <w:link w:val="Nadpis9Char"/>
    <w:qFormat/>
    <w:rsid w:val="002C544D"/>
    <w:pPr>
      <w:spacing w:before="240" w:after="60"/>
      <w:outlineLvl w:val="8"/>
    </w:pPr>
    <w:rPr>
      <w:rFonts w:ascii="Arial" w:eastAsia="Times New Roman" w:hAnsi="Arial"/>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0006A"/>
    <w:pPr>
      <w:tabs>
        <w:tab w:val="center" w:pos="4320"/>
        <w:tab w:val="right" w:pos="8640"/>
      </w:tabs>
    </w:pPr>
  </w:style>
  <w:style w:type="character" w:customStyle="1" w:styleId="HlavikaChar">
    <w:name w:val="Hlavička Char"/>
    <w:basedOn w:val="Predvolenpsmoodseku"/>
    <w:link w:val="Hlavika"/>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nhideWhenUsed/>
    <w:rsid w:val="0030006A"/>
    <w:rPr>
      <w:rFonts w:ascii="Lucida Grande" w:hAnsi="Lucida Grande"/>
      <w:sz w:val="18"/>
      <w:szCs w:val="18"/>
      <w:lang w:val="x-none" w:eastAsia="x-none"/>
    </w:rPr>
  </w:style>
  <w:style w:type="character" w:customStyle="1" w:styleId="TextbublinyChar">
    <w:name w:val="Text bubliny Char"/>
    <w:link w:val="Textbubliny"/>
    <w:rsid w:val="0030006A"/>
    <w:rPr>
      <w:rFonts w:ascii="Lucida Grande" w:hAnsi="Lucida Grande"/>
      <w:sz w:val="18"/>
      <w:szCs w:val="18"/>
    </w:rPr>
  </w:style>
  <w:style w:type="character" w:styleId="slostrany">
    <w:name w:val="page number"/>
    <w:basedOn w:val="Predvolenpsmoodseku"/>
    <w:unhideWhenUsed/>
    <w:rsid w:val="0030006A"/>
  </w:style>
  <w:style w:type="paragraph" w:customStyle="1" w:styleId="Default">
    <w:name w:val="Default"/>
    <w:qFormat/>
    <w:rsid w:val="005A1790"/>
    <w:pPr>
      <w:widowControl w:val="0"/>
      <w:autoSpaceDE w:val="0"/>
      <w:autoSpaceDN w:val="0"/>
      <w:adjustRightInd w:val="0"/>
    </w:pPr>
    <w:rPr>
      <w:rFonts w:ascii="Myriad Pro" w:hAnsi="Myriad Pro" w:cs="Myriad Pro"/>
      <w:color w:val="000000"/>
      <w:sz w:val="24"/>
      <w:szCs w:val="24"/>
      <w:lang w:val="en-US" w:eastAsia="en-US"/>
    </w:rPr>
  </w:style>
  <w:style w:type="paragraph" w:styleId="Odsekzoznamu">
    <w:name w:val="List Paragraph"/>
    <w:basedOn w:val="Normlny"/>
    <w:uiPriority w:val="34"/>
    <w:qFormat/>
    <w:rsid w:val="00C47091"/>
    <w:pPr>
      <w:ind w:left="720"/>
      <w:contextualSpacing/>
    </w:pPr>
  </w:style>
  <w:style w:type="table" w:styleId="Mriekatabuky">
    <w:name w:val="Table Grid"/>
    <w:basedOn w:val="Normlnatabuka"/>
    <w:uiPriority w:val="59"/>
    <w:rsid w:val="006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uiPriority w:val="99"/>
    <w:semiHidden/>
    <w:unhideWhenUsed/>
    <w:rsid w:val="004F1CB9"/>
    <w:rPr>
      <w:rFonts w:ascii="Courier New" w:eastAsia="Times New Roman" w:hAnsi="Courier New" w:cs="Courier New"/>
      <w:sz w:val="20"/>
      <w:szCs w:val="20"/>
    </w:rPr>
  </w:style>
  <w:style w:type="character" w:styleId="Siln">
    <w:name w:val="Strong"/>
    <w:uiPriority w:val="22"/>
    <w:qFormat/>
    <w:rsid w:val="00D96DE3"/>
    <w:rPr>
      <w:b/>
      <w:bCs/>
      <w:i w:val="0"/>
      <w:iCs w:val="0"/>
    </w:rPr>
  </w:style>
  <w:style w:type="paragraph" w:styleId="Normlnywebov">
    <w:name w:val="Normal (Web)"/>
    <w:basedOn w:val="Normlny"/>
    <w:uiPriority w:val="99"/>
    <w:unhideWhenUsed/>
    <w:rsid w:val="00D96DE3"/>
    <w:pPr>
      <w:spacing w:before="100" w:beforeAutospacing="1" w:after="240"/>
    </w:pPr>
    <w:rPr>
      <w:rFonts w:ascii="Times New Roman" w:eastAsia="Times New Roman" w:hAnsi="Times New Roman"/>
      <w:lang w:val="sk-SK" w:eastAsia="sk-SK"/>
    </w:rPr>
  </w:style>
  <w:style w:type="character" w:customStyle="1" w:styleId="Nadpis1Char">
    <w:name w:val="Nadpis 1 Char"/>
    <w:link w:val="Nadpis1"/>
    <w:rsid w:val="002C544D"/>
    <w:rPr>
      <w:rFonts w:ascii="Arial" w:eastAsia="Times New Roman" w:hAnsi="Arial" w:cs="Arial"/>
      <w:b/>
      <w:bCs/>
      <w:kern w:val="32"/>
      <w:sz w:val="32"/>
      <w:szCs w:val="32"/>
      <w:lang w:val="sk-SK" w:eastAsia="sk-SK"/>
    </w:rPr>
  </w:style>
  <w:style w:type="character" w:customStyle="1" w:styleId="Nadpis2Char">
    <w:name w:val="Nadpis 2 Char"/>
    <w:link w:val="Nadpis2"/>
    <w:rsid w:val="002C544D"/>
    <w:rPr>
      <w:rFonts w:ascii="Arial" w:eastAsia="Times New Roman" w:hAnsi="Arial" w:cs="Arial"/>
      <w:b/>
      <w:bCs/>
      <w:i/>
      <w:iCs/>
      <w:sz w:val="28"/>
      <w:szCs w:val="28"/>
      <w:lang w:val="sk-SK" w:eastAsia="sk-SK"/>
    </w:rPr>
  </w:style>
  <w:style w:type="character" w:customStyle="1" w:styleId="Nadpis3Char">
    <w:name w:val="Nadpis 3 Char"/>
    <w:link w:val="Nadpis3"/>
    <w:rsid w:val="002C544D"/>
    <w:rPr>
      <w:rFonts w:ascii="Arial" w:eastAsia="Times New Roman" w:hAnsi="Arial" w:cs="Arial"/>
      <w:b/>
      <w:bCs/>
      <w:sz w:val="26"/>
      <w:szCs w:val="26"/>
      <w:lang w:val="sk-SK" w:eastAsia="sk-SK"/>
    </w:rPr>
  </w:style>
  <w:style w:type="character" w:customStyle="1" w:styleId="Nadpis4Char">
    <w:name w:val="Nadpis 4 Char"/>
    <w:link w:val="Nadpis4"/>
    <w:rsid w:val="002C544D"/>
    <w:rPr>
      <w:rFonts w:ascii="Cambria" w:eastAsia="Times New Roman" w:hAnsi="Cambria" w:cs="Times New Roman"/>
      <w:b/>
      <w:bCs/>
      <w:i/>
      <w:iCs/>
      <w:color w:val="244061"/>
      <w:sz w:val="22"/>
      <w:szCs w:val="22"/>
      <w:lang w:val="es-ES" w:eastAsia="es-ES"/>
    </w:rPr>
  </w:style>
  <w:style w:type="character" w:customStyle="1" w:styleId="Nadpis9Char">
    <w:name w:val="Nadpis 9 Char"/>
    <w:link w:val="Nadpis9"/>
    <w:rsid w:val="002C544D"/>
    <w:rPr>
      <w:rFonts w:ascii="Arial" w:eastAsia="Times New Roman" w:hAnsi="Arial" w:cs="Arial"/>
      <w:sz w:val="22"/>
      <w:szCs w:val="22"/>
      <w:lang w:val="sk-SK" w:eastAsia="sk-SK"/>
    </w:rPr>
  </w:style>
  <w:style w:type="character" w:styleId="Hypertextovprepojenie">
    <w:name w:val="Hyperlink"/>
    <w:rsid w:val="002C544D"/>
    <w:rPr>
      <w:rFonts w:cs="Times New Roman"/>
      <w:color w:val="0000FF"/>
      <w:u w:val="single"/>
    </w:rPr>
  </w:style>
  <w:style w:type="paragraph" w:styleId="Obyajntext">
    <w:name w:val="Plain Text"/>
    <w:basedOn w:val="Normlny"/>
    <w:link w:val="ObyajntextChar"/>
    <w:rsid w:val="002C544D"/>
    <w:rPr>
      <w:rFonts w:ascii="Courier New" w:eastAsia="Times New Roman" w:hAnsi="Courier New"/>
      <w:sz w:val="20"/>
      <w:szCs w:val="20"/>
      <w:lang w:val="sk-SK" w:eastAsia="cs-CZ"/>
    </w:rPr>
  </w:style>
  <w:style w:type="character" w:customStyle="1" w:styleId="ObyajntextChar">
    <w:name w:val="Obyčajný text Char"/>
    <w:link w:val="Obyajntext"/>
    <w:rsid w:val="002C544D"/>
    <w:rPr>
      <w:rFonts w:ascii="Courier New" w:eastAsia="Times New Roman" w:hAnsi="Courier New" w:cs="Times New Roman"/>
      <w:sz w:val="20"/>
      <w:szCs w:val="20"/>
      <w:lang w:val="sk-SK" w:eastAsia="cs-CZ"/>
    </w:rPr>
  </w:style>
  <w:style w:type="paragraph" w:styleId="Podtitul">
    <w:name w:val="Subtitle"/>
    <w:basedOn w:val="Normlny"/>
    <w:link w:val="PodtitulChar"/>
    <w:qFormat/>
    <w:rsid w:val="002C544D"/>
    <w:pPr>
      <w:jc w:val="both"/>
    </w:pPr>
    <w:rPr>
      <w:rFonts w:ascii="Times New Roman" w:eastAsia="Times New Roman" w:hAnsi="Times New Roman"/>
      <w:b/>
      <w:smallCaps/>
      <w:sz w:val="20"/>
      <w:szCs w:val="20"/>
      <w:lang w:val="sk-SK" w:eastAsia="cs-CZ"/>
    </w:rPr>
  </w:style>
  <w:style w:type="character" w:customStyle="1" w:styleId="PodtitulChar">
    <w:name w:val="Podtitul Char"/>
    <w:link w:val="Podtitul"/>
    <w:rsid w:val="002C544D"/>
    <w:rPr>
      <w:rFonts w:ascii="Times New Roman" w:eastAsia="Times New Roman" w:hAnsi="Times New Roman" w:cs="Times New Roman"/>
      <w:b/>
      <w:smallCaps/>
      <w:szCs w:val="20"/>
      <w:lang w:val="sk-SK" w:eastAsia="cs-CZ"/>
    </w:rPr>
  </w:style>
  <w:style w:type="paragraph" w:customStyle="1" w:styleId="Hlava">
    <w:name w:val="Hlava"/>
    <w:basedOn w:val="Nadpis3"/>
    <w:rsid w:val="002C544D"/>
    <w:pPr>
      <w:jc w:val="center"/>
    </w:pPr>
    <w:rPr>
      <w:lang w:eastAsia="en-US"/>
    </w:rPr>
  </w:style>
  <w:style w:type="paragraph" w:styleId="Textpoznmkypodiarou">
    <w:name w:val="footnote text"/>
    <w:basedOn w:val="Normlny"/>
    <w:link w:val="TextpoznmkypodiarouChar"/>
    <w:uiPriority w:val="99"/>
    <w:rsid w:val="002C544D"/>
    <w:rPr>
      <w:rFonts w:ascii="Times New Roman" w:eastAsia="Times New Roman" w:hAnsi="Times New Roman"/>
      <w:sz w:val="20"/>
      <w:szCs w:val="20"/>
      <w:lang w:val="sk-SK" w:eastAsia="cs-CZ"/>
    </w:rPr>
  </w:style>
  <w:style w:type="character" w:customStyle="1" w:styleId="TextpoznmkypodiarouChar">
    <w:name w:val="Text poznámky pod čiarou Char"/>
    <w:link w:val="Textpoznmkypodiarou"/>
    <w:uiPriority w:val="99"/>
    <w:rsid w:val="002C544D"/>
    <w:rPr>
      <w:rFonts w:ascii="Times New Roman" w:eastAsia="Times New Roman" w:hAnsi="Times New Roman" w:cs="Times New Roman"/>
      <w:sz w:val="20"/>
      <w:szCs w:val="20"/>
      <w:lang w:val="sk-SK" w:eastAsia="cs-CZ"/>
    </w:rPr>
  </w:style>
  <w:style w:type="character" w:styleId="Odkaznapoznmkupodiarou">
    <w:name w:val="footnote reference"/>
    <w:uiPriority w:val="99"/>
    <w:rsid w:val="002C544D"/>
    <w:rPr>
      <w:rFonts w:cs="Times New Roman"/>
      <w:vertAlign w:val="superscript"/>
    </w:rPr>
  </w:style>
  <w:style w:type="paragraph" w:styleId="Zarkazkladnhotextu2">
    <w:name w:val="Body Text Indent 2"/>
    <w:basedOn w:val="Normlny"/>
    <w:link w:val="Zarkazkladnhotextu2Char"/>
    <w:rsid w:val="002C544D"/>
    <w:pPr>
      <w:spacing w:after="120" w:line="480" w:lineRule="auto"/>
      <w:ind w:left="283"/>
    </w:pPr>
    <w:rPr>
      <w:rFonts w:ascii="Times New Roman" w:eastAsia="Times New Roman" w:hAnsi="Times New Roman"/>
      <w:sz w:val="20"/>
      <w:szCs w:val="20"/>
      <w:lang w:val="sk-SK" w:eastAsia="sk-SK"/>
    </w:rPr>
  </w:style>
  <w:style w:type="character" w:customStyle="1" w:styleId="Zarkazkladnhotextu2Char">
    <w:name w:val="Zarážka základného textu 2 Char"/>
    <w:link w:val="Zarkazkladnhotextu2"/>
    <w:rsid w:val="002C544D"/>
    <w:rPr>
      <w:rFonts w:ascii="Times New Roman" w:eastAsia="Times New Roman" w:hAnsi="Times New Roman" w:cs="Times New Roman"/>
      <w:lang w:val="sk-SK" w:eastAsia="sk-SK"/>
    </w:rPr>
  </w:style>
  <w:style w:type="character" w:styleId="PouitHypertextovPrepojenie">
    <w:name w:val="FollowedHyperlink"/>
    <w:rsid w:val="002C544D"/>
    <w:rPr>
      <w:color w:val="800080"/>
      <w:u w:val="single"/>
    </w:rPr>
  </w:style>
  <w:style w:type="paragraph" w:styleId="truktradokumentu">
    <w:name w:val="Document Map"/>
    <w:basedOn w:val="Normlny"/>
    <w:link w:val="truktradokumentuChar"/>
    <w:semiHidden/>
    <w:rsid w:val="002C544D"/>
    <w:pPr>
      <w:shd w:val="clear" w:color="auto" w:fill="000080"/>
    </w:pPr>
    <w:rPr>
      <w:rFonts w:ascii="Tahoma" w:eastAsia="Times New Roman" w:hAnsi="Tahoma"/>
      <w:sz w:val="20"/>
      <w:szCs w:val="20"/>
      <w:lang w:val="sk-SK" w:eastAsia="sk-SK"/>
    </w:rPr>
  </w:style>
  <w:style w:type="character" w:customStyle="1" w:styleId="truktradokumentuChar">
    <w:name w:val="Štruktúra dokumentu Char"/>
    <w:link w:val="truktradokumentu"/>
    <w:semiHidden/>
    <w:rsid w:val="002C544D"/>
    <w:rPr>
      <w:rFonts w:ascii="Tahoma" w:eastAsia="Times New Roman" w:hAnsi="Tahoma" w:cs="Tahoma"/>
      <w:sz w:val="20"/>
      <w:szCs w:val="20"/>
      <w:shd w:val="clear" w:color="auto" w:fill="000080"/>
      <w:lang w:val="sk-SK" w:eastAsia="sk-SK"/>
    </w:rPr>
  </w:style>
  <w:style w:type="paragraph" w:styleId="Zkladntext3">
    <w:name w:val="Body Text 3"/>
    <w:basedOn w:val="Normlny"/>
    <w:link w:val="Zkladntext3Char"/>
    <w:rsid w:val="002C544D"/>
    <w:pPr>
      <w:spacing w:after="120"/>
    </w:pPr>
    <w:rPr>
      <w:rFonts w:ascii="Times New Roman" w:eastAsia="Times New Roman" w:hAnsi="Times New Roman"/>
      <w:sz w:val="16"/>
      <w:szCs w:val="16"/>
      <w:lang w:val="sk-SK" w:eastAsia="sk-SK"/>
    </w:rPr>
  </w:style>
  <w:style w:type="character" w:customStyle="1" w:styleId="Zkladntext3Char">
    <w:name w:val="Základný text 3 Char"/>
    <w:link w:val="Zkladntext3"/>
    <w:rsid w:val="002C544D"/>
    <w:rPr>
      <w:rFonts w:ascii="Times New Roman" w:eastAsia="Times New Roman" w:hAnsi="Times New Roman" w:cs="Times New Roman"/>
      <w:sz w:val="16"/>
      <w:szCs w:val="16"/>
      <w:lang w:val="sk-SK" w:eastAsia="sk-SK"/>
    </w:rPr>
  </w:style>
  <w:style w:type="paragraph" w:styleId="Zarkazkladnhotextu3">
    <w:name w:val="Body Text Indent 3"/>
    <w:basedOn w:val="Normlny"/>
    <w:link w:val="Zarkazkladnhotextu3Char"/>
    <w:rsid w:val="002C544D"/>
    <w:pPr>
      <w:spacing w:after="120"/>
      <w:ind w:left="283"/>
    </w:pPr>
    <w:rPr>
      <w:rFonts w:ascii="Times New Roman" w:eastAsia="Times New Roman" w:hAnsi="Times New Roman"/>
      <w:sz w:val="16"/>
      <w:szCs w:val="16"/>
      <w:lang w:val="sk-SK" w:eastAsia="sk-SK"/>
    </w:rPr>
  </w:style>
  <w:style w:type="character" w:customStyle="1" w:styleId="Zarkazkladnhotextu3Char">
    <w:name w:val="Zarážka základného textu 3 Char"/>
    <w:link w:val="Zarkazkladnhotextu3"/>
    <w:rsid w:val="002C544D"/>
    <w:rPr>
      <w:rFonts w:ascii="Times New Roman" w:eastAsia="Times New Roman" w:hAnsi="Times New Roman" w:cs="Times New Roman"/>
      <w:sz w:val="16"/>
      <w:szCs w:val="16"/>
      <w:lang w:val="sk-SK" w:eastAsia="sk-SK"/>
    </w:rPr>
  </w:style>
  <w:style w:type="paragraph" w:styleId="Zkladntext">
    <w:name w:val="Body Text"/>
    <w:basedOn w:val="Normlny"/>
    <w:link w:val="ZkladntextChar"/>
    <w:rsid w:val="002C544D"/>
    <w:pPr>
      <w:spacing w:after="120"/>
    </w:pPr>
    <w:rPr>
      <w:rFonts w:ascii="Times New Roman" w:eastAsia="Times New Roman" w:hAnsi="Times New Roman"/>
      <w:sz w:val="20"/>
      <w:szCs w:val="20"/>
      <w:lang w:val="sk-SK" w:eastAsia="sk-SK"/>
    </w:rPr>
  </w:style>
  <w:style w:type="character" w:customStyle="1" w:styleId="ZkladntextChar">
    <w:name w:val="Základný text Char"/>
    <w:link w:val="Zkladntext"/>
    <w:rsid w:val="002C544D"/>
    <w:rPr>
      <w:rFonts w:ascii="Times New Roman" w:eastAsia="Times New Roman" w:hAnsi="Times New Roman" w:cs="Times New Roman"/>
      <w:lang w:val="sk-SK" w:eastAsia="sk-SK"/>
    </w:rPr>
  </w:style>
  <w:style w:type="paragraph" w:styleId="Zkladntext2">
    <w:name w:val="Body Text 2"/>
    <w:basedOn w:val="Normlny"/>
    <w:link w:val="Zkladntext2Char"/>
    <w:rsid w:val="002C544D"/>
    <w:pPr>
      <w:spacing w:after="120" w:line="480" w:lineRule="auto"/>
    </w:pPr>
    <w:rPr>
      <w:rFonts w:ascii="Times New Roman" w:eastAsia="Times New Roman" w:hAnsi="Times New Roman"/>
      <w:sz w:val="20"/>
      <w:szCs w:val="20"/>
      <w:lang w:val="sk-SK" w:eastAsia="sk-SK"/>
    </w:rPr>
  </w:style>
  <w:style w:type="character" w:customStyle="1" w:styleId="Zkladntext2Char">
    <w:name w:val="Základný text 2 Char"/>
    <w:link w:val="Zkladntext2"/>
    <w:rsid w:val="002C544D"/>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2C544D"/>
    <w:pPr>
      <w:spacing w:after="120"/>
      <w:ind w:left="283"/>
    </w:pPr>
    <w:rPr>
      <w:rFonts w:ascii="Times New Roman" w:eastAsia="Times New Roman" w:hAnsi="Times New Roman"/>
      <w:sz w:val="20"/>
      <w:szCs w:val="20"/>
      <w:lang w:val="sk-SK" w:eastAsia="sk-SK"/>
    </w:rPr>
  </w:style>
  <w:style w:type="character" w:customStyle="1" w:styleId="ZarkazkladnhotextuChar">
    <w:name w:val="Zarážka základného textu Char"/>
    <w:link w:val="Zarkazkladnhotextu"/>
    <w:rsid w:val="002C544D"/>
    <w:rPr>
      <w:rFonts w:ascii="Times New Roman" w:eastAsia="Times New Roman" w:hAnsi="Times New Roman" w:cs="Times New Roman"/>
      <w:lang w:val="sk-SK" w:eastAsia="sk-SK"/>
    </w:rPr>
  </w:style>
  <w:style w:type="paragraph" w:styleId="Nzov">
    <w:name w:val="Title"/>
    <w:basedOn w:val="Normlny"/>
    <w:link w:val="NzovChar"/>
    <w:qFormat/>
    <w:rsid w:val="002C544D"/>
    <w:pPr>
      <w:jc w:val="center"/>
    </w:pPr>
    <w:rPr>
      <w:rFonts w:ascii="Times New Roman" w:eastAsia="Times New Roman" w:hAnsi="Times New Roman"/>
      <w:b/>
      <w:bCs/>
      <w:sz w:val="20"/>
      <w:szCs w:val="20"/>
      <w:lang w:val="sk-SK" w:eastAsia="sk-SK"/>
    </w:rPr>
  </w:style>
  <w:style w:type="character" w:customStyle="1" w:styleId="NzovChar">
    <w:name w:val="Názov Char"/>
    <w:link w:val="Nzov"/>
    <w:rsid w:val="002C544D"/>
    <w:rPr>
      <w:rFonts w:ascii="Times New Roman" w:eastAsia="Times New Roman" w:hAnsi="Times New Roman" w:cs="Times New Roman"/>
      <w:b/>
      <w:bCs/>
      <w:lang w:val="sk-SK" w:eastAsia="sk-SK"/>
    </w:rPr>
  </w:style>
  <w:style w:type="paragraph" w:customStyle="1" w:styleId="C2">
    <w:name w:val="C2"/>
    <w:basedOn w:val="Normlny"/>
    <w:next w:val="Normlny"/>
    <w:link w:val="C2CharChar"/>
    <w:rsid w:val="002C544D"/>
    <w:pPr>
      <w:numPr>
        <w:ilvl w:val="1"/>
        <w:numId w:val="1"/>
      </w:numPr>
      <w:tabs>
        <w:tab w:val="clear" w:pos="1692"/>
        <w:tab w:val="num" w:pos="1260"/>
        <w:tab w:val="left" w:pos="1980"/>
        <w:tab w:val="left" w:pos="2880"/>
      </w:tabs>
      <w:spacing w:before="60"/>
      <w:ind w:left="1260" w:hanging="1260"/>
    </w:pPr>
    <w:rPr>
      <w:rFonts w:ascii="Times New Roman" w:eastAsia="Times New Roman" w:hAnsi="Times New Roman"/>
      <w:b/>
      <w:sz w:val="20"/>
      <w:szCs w:val="20"/>
      <w:lang w:val="x-none" w:eastAsia="cs-CZ"/>
    </w:rPr>
  </w:style>
  <w:style w:type="character" w:customStyle="1" w:styleId="C2CharChar">
    <w:name w:val="C2 Char Char"/>
    <w:link w:val="C2"/>
    <w:rsid w:val="002C544D"/>
    <w:rPr>
      <w:rFonts w:ascii="Times New Roman" w:eastAsia="Times New Roman" w:hAnsi="Times New Roman"/>
      <w:b/>
      <w:lang w:val="x-none" w:eastAsia="cs-CZ"/>
    </w:rPr>
  </w:style>
  <w:style w:type="paragraph" w:styleId="Zoznam">
    <w:name w:val="List"/>
    <w:basedOn w:val="Normlny"/>
    <w:rsid w:val="002C544D"/>
    <w:pPr>
      <w:ind w:left="283" w:hanging="283"/>
      <w:jc w:val="both"/>
    </w:pPr>
    <w:rPr>
      <w:rFonts w:ascii="Times New Roman" w:eastAsia="Times New Roman" w:hAnsi="Times New Roman"/>
      <w:szCs w:val="20"/>
      <w:lang w:val="sk-SK" w:eastAsia="sk-SK"/>
    </w:rPr>
  </w:style>
  <w:style w:type="numbering" w:customStyle="1" w:styleId="tl1">
    <w:name w:val="Štýl1"/>
    <w:rsid w:val="002C544D"/>
    <w:pPr>
      <w:numPr>
        <w:numId w:val="2"/>
      </w:numPr>
    </w:pPr>
  </w:style>
  <w:style w:type="numbering" w:customStyle="1" w:styleId="tl2">
    <w:name w:val="Štýl2"/>
    <w:rsid w:val="002C544D"/>
    <w:pPr>
      <w:numPr>
        <w:numId w:val="3"/>
      </w:numPr>
    </w:pPr>
  </w:style>
  <w:style w:type="character" w:styleId="Odkaznakomentr">
    <w:name w:val="annotation reference"/>
    <w:rsid w:val="002C544D"/>
    <w:rPr>
      <w:sz w:val="16"/>
      <w:szCs w:val="16"/>
    </w:rPr>
  </w:style>
  <w:style w:type="paragraph" w:styleId="Textkomentra">
    <w:name w:val="annotation text"/>
    <w:basedOn w:val="Normlny"/>
    <w:link w:val="TextkomentraChar"/>
    <w:rsid w:val="002C544D"/>
    <w:rPr>
      <w:rFonts w:ascii="Times New Roman" w:eastAsia="Times New Roman" w:hAnsi="Times New Roman"/>
      <w:sz w:val="20"/>
      <w:szCs w:val="20"/>
      <w:lang w:val="sk-SK" w:eastAsia="sk-SK"/>
    </w:rPr>
  </w:style>
  <w:style w:type="character" w:customStyle="1" w:styleId="TextkomentraChar">
    <w:name w:val="Text komentára Char"/>
    <w:link w:val="Textkomentra"/>
    <w:rsid w:val="002C544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rsid w:val="002C544D"/>
    <w:rPr>
      <w:b/>
      <w:bCs/>
    </w:rPr>
  </w:style>
  <w:style w:type="character" w:customStyle="1" w:styleId="PredmetkomentraChar">
    <w:name w:val="Predmet komentára Char"/>
    <w:link w:val="Predmetkomentra"/>
    <w:rsid w:val="002C544D"/>
    <w:rPr>
      <w:rFonts w:ascii="Times New Roman" w:eastAsia="Times New Roman" w:hAnsi="Times New Roman" w:cs="Times New Roman"/>
      <w:b/>
      <w:bCs/>
      <w:sz w:val="20"/>
      <w:szCs w:val="20"/>
      <w:lang w:val="sk-SK" w:eastAsia="sk-SK"/>
    </w:rPr>
  </w:style>
  <w:style w:type="character" w:customStyle="1" w:styleId="Zkladntext20">
    <w:name w:val="Základný text (2)_"/>
    <w:basedOn w:val="Predvolenpsmoodseku"/>
    <w:link w:val="Zkladntext21"/>
    <w:rsid w:val="00B7757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7757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7757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 w:type="character" w:customStyle="1" w:styleId="A0">
    <w:name w:val="A0"/>
    <w:rsid w:val="00945CB6"/>
    <w:rPr>
      <w:rFonts w:ascii="Helvetica" w:hAnsi="Helvetica" w:cs="Helvetica" w:hint="default"/>
      <w:color w:val="221E1F"/>
      <w:sz w:val="20"/>
      <w:szCs w:val="20"/>
    </w:rPr>
  </w:style>
  <w:style w:type="character" w:customStyle="1" w:styleId="Nadpis6Char">
    <w:name w:val="Nadpis 6 Char"/>
    <w:basedOn w:val="Predvolenpsmoodseku"/>
    <w:link w:val="Nadpis6"/>
    <w:rsid w:val="00460184"/>
    <w:rPr>
      <w:rFonts w:ascii="Calibri" w:eastAsia="Times New Roman" w:hAnsi="Calibri"/>
      <w:b/>
      <w:bCs/>
      <w:sz w:val="22"/>
      <w:szCs w:val="22"/>
      <w:lang w:eastAsia="en-US"/>
    </w:rPr>
  </w:style>
  <w:style w:type="character" w:customStyle="1" w:styleId="tl1Char">
    <w:name w:val="Štýl1 Char"/>
    <w:basedOn w:val="Predvolenpsmoodseku"/>
    <w:rsid w:val="00D03CE3"/>
    <w:rPr>
      <w:rFonts w:eastAsia="Times New Roman" w:cs="Times New Roman"/>
      <w:b/>
      <w:u w:val="single"/>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507">
      <w:bodyDiv w:val="1"/>
      <w:marLeft w:val="0"/>
      <w:marRight w:val="0"/>
      <w:marTop w:val="0"/>
      <w:marBottom w:val="0"/>
      <w:divBdr>
        <w:top w:val="none" w:sz="0" w:space="0" w:color="auto"/>
        <w:left w:val="none" w:sz="0" w:space="0" w:color="auto"/>
        <w:bottom w:val="none" w:sz="0" w:space="0" w:color="auto"/>
        <w:right w:val="none" w:sz="0" w:space="0" w:color="auto"/>
      </w:divBdr>
    </w:div>
    <w:div w:id="405811320">
      <w:bodyDiv w:val="1"/>
      <w:marLeft w:val="0"/>
      <w:marRight w:val="0"/>
      <w:marTop w:val="0"/>
      <w:marBottom w:val="0"/>
      <w:divBdr>
        <w:top w:val="none" w:sz="0" w:space="0" w:color="auto"/>
        <w:left w:val="none" w:sz="0" w:space="0" w:color="auto"/>
        <w:bottom w:val="none" w:sz="0" w:space="0" w:color="auto"/>
        <w:right w:val="none" w:sz="0" w:space="0" w:color="auto"/>
      </w:divBdr>
    </w:div>
    <w:div w:id="438182629">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603422401">
      <w:bodyDiv w:val="1"/>
      <w:marLeft w:val="0"/>
      <w:marRight w:val="0"/>
      <w:marTop w:val="0"/>
      <w:marBottom w:val="0"/>
      <w:divBdr>
        <w:top w:val="none" w:sz="0" w:space="0" w:color="auto"/>
        <w:left w:val="none" w:sz="0" w:space="0" w:color="auto"/>
        <w:bottom w:val="none" w:sz="0" w:space="0" w:color="auto"/>
        <w:right w:val="none" w:sz="0" w:space="0" w:color="auto"/>
      </w:divBdr>
    </w:div>
    <w:div w:id="657272395">
      <w:bodyDiv w:val="1"/>
      <w:marLeft w:val="0"/>
      <w:marRight w:val="0"/>
      <w:marTop w:val="0"/>
      <w:marBottom w:val="0"/>
      <w:divBdr>
        <w:top w:val="none" w:sz="0" w:space="0" w:color="auto"/>
        <w:left w:val="none" w:sz="0" w:space="0" w:color="auto"/>
        <w:bottom w:val="none" w:sz="0" w:space="0" w:color="auto"/>
        <w:right w:val="none" w:sz="0" w:space="0" w:color="auto"/>
      </w:divBdr>
    </w:div>
    <w:div w:id="705301014">
      <w:bodyDiv w:val="1"/>
      <w:marLeft w:val="0"/>
      <w:marRight w:val="0"/>
      <w:marTop w:val="0"/>
      <w:marBottom w:val="0"/>
      <w:divBdr>
        <w:top w:val="none" w:sz="0" w:space="0" w:color="auto"/>
        <w:left w:val="none" w:sz="0" w:space="0" w:color="auto"/>
        <w:bottom w:val="none" w:sz="0" w:space="0" w:color="auto"/>
        <w:right w:val="none" w:sz="0" w:space="0" w:color="auto"/>
      </w:divBdr>
    </w:div>
    <w:div w:id="834691686">
      <w:bodyDiv w:val="1"/>
      <w:marLeft w:val="0"/>
      <w:marRight w:val="0"/>
      <w:marTop w:val="0"/>
      <w:marBottom w:val="0"/>
      <w:divBdr>
        <w:top w:val="none" w:sz="0" w:space="0" w:color="auto"/>
        <w:left w:val="none" w:sz="0" w:space="0" w:color="auto"/>
        <w:bottom w:val="none" w:sz="0" w:space="0" w:color="auto"/>
        <w:right w:val="none" w:sz="0" w:space="0" w:color="auto"/>
      </w:divBdr>
    </w:div>
    <w:div w:id="1052919400">
      <w:bodyDiv w:val="1"/>
      <w:marLeft w:val="0"/>
      <w:marRight w:val="0"/>
      <w:marTop w:val="0"/>
      <w:marBottom w:val="0"/>
      <w:divBdr>
        <w:top w:val="none" w:sz="0" w:space="0" w:color="auto"/>
        <w:left w:val="none" w:sz="0" w:space="0" w:color="auto"/>
        <w:bottom w:val="none" w:sz="0" w:space="0" w:color="auto"/>
        <w:right w:val="none" w:sz="0" w:space="0" w:color="auto"/>
      </w:divBdr>
    </w:div>
    <w:div w:id="1321421392">
      <w:bodyDiv w:val="1"/>
      <w:marLeft w:val="0"/>
      <w:marRight w:val="0"/>
      <w:marTop w:val="0"/>
      <w:marBottom w:val="0"/>
      <w:divBdr>
        <w:top w:val="none" w:sz="0" w:space="0" w:color="auto"/>
        <w:left w:val="none" w:sz="0" w:space="0" w:color="auto"/>
        <w:bottom w:val="none" w:sz="0" w:space="0" w:color="auto"/>
        <w:right w:val="none" w:sz="0" w:space="0" w:color="auto"/>
      </w:divBdr>
    </w:div>
    <w:div w:id="138787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cakova\Documents\STU\Zasadania%20RSTU\kosielka_gremium_STU.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6229-7146-48FD-8BF2-2AD445D1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1</TotalTime>
  <Pages>8</Pages>
  <Words>3082</Words>
  <Characters>17574</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20615</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5308448</vt:i4>
      </vt:variant>
      <vt:variant>
        <vt:i4>6</vt:i4>
      </vt:variant>
      <vt:variant>
        <vt:i4>0</vt:i4>
      </vt:variant>
      <vt:variant>
        <vt:i4>5</vt:i4>
      </vt:variant>
      <vt:variant>
        <vt:lpwstr>mailto:igor.kolenicka@stuba.sk</vt:lpwstr>
      </vt:variant>
      <vt:variant>
        <vt:lpwstr/>
      </vt:variant>
      <vt:variant>
        <vt:i4>6553722</vt:i4>
      </vt:variant>
      <vt:variant>
        <vt:i4>3</vt:i4>
      </vt:variant>
      <vt:variant>
        <vt:i4>0</vt:i4>
      </vt:variant>
      <vt:variant>
        <vt:i4>5</vt:i4>
      </vt:variant>
      <vt:variant>
        <vt:lpwstr>http://www.uvo.gov.sk/test-beznej-dostupnosti-424.html</vt:lpwstr>
      </vt:variant>
      <vt:variant>
        <vt:lpwstr/>
      </vt:variant>
      <vt:variant>
        <vt:i4>6357118</vt:i4>
      </vt:variant>
      <vt:variant>
        <vt:i4>0</vt:i4>
      </vt:variant>
      <vt:variant>
        <vt:i4>0</vt:i4>
      </vt:variant>
      <vt:variant>
        <vt:i4>5</vt:i4>
      </vt:variant>
      <vt:variant>
        <vt:lpwstr>http://www.eks.sk/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Gogorova</cp:lastModifiedBy>
  <cp:revision>2</cp:revision>
  <cp:lastPrinted>2018-08-22T05:51:00Z</cp:lastPrinted>
  <dcterms:created xsi:type="dcterms:W3CDTF">2019-07-02T07:36:00Z</dcterms:created>
  <dcterms:modified xsi:type="dcterms:W3CDTF">2019-07-02T07:36:00Z</dcterms:modified>
</cp:coreProperties>
</file>